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70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700"/>
      </w:tblGrid>
      <w:tr w:rsidR="00A96B34" w:rsidRPr="00A96B34" w:rsidTr="00A96B3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63"/>
            </w:tblGrid>
            <w:tr w:rsidR="00A96B34" w:rsidRPr="00A96B34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A96B34" w:rsidRPr="00A96B34" w:rsidRDefault="00A96B34" w:rsidP="00A96B34">
                  <w:pPr>
                    <w:spacing w:after="0" w:line="240" w:lineRule="auto"/>
                    <w:jc w:val="right"/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</w:pPr>
                  <w:r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  <w:t>Sentencias</w:t>
                  </w:r>
                </w:p>
              </w:tc>
            </w:tr>
          </w:tbl>
          <w:p w:rsidR="00A96B34" w:rsidRPr="00A96B34" w:rsidRDefault="00A96B34" w:rsidP="00A96B3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s-AR"/>
              </w:rPr>
            </w:pPr>
          </w:p>
        </w:tc>
      </w:tr>
      <w:tr w:rsidR="00A96B34" w:rsidRPr="00A96B34" w:rsidTr="00A96B34">
        <w:trPr>
          <w:trHeight w:val="225"/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96B34" w:rsidRPr="00A96B34" w:rsidRDefault="00A96B34" w:rsidP="00A96B34">
            <w:pPr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eastAsia="es-AR"/>
              </w:rPr>
            </w:pPr>
          </w:p>
        </w:tc>
      </w:tr>
      <w:tr w:rsidR="00A96B34" w:rsidRPr="00A96B34" w:rsidTr="00A96B3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3750" w:type="pct"/>
              <w:jc w:val="center"/>
              <w:tblCellSpacing w:w="7" w:type="dxa"/>
              <w:shd w:val="clear" w:color="auto" w:fill="004D92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2019"/>
              <w:gridCol w:w="3378"/>
              <w:gridCol w:w="3378"/>
            </w:tblGrid>
            <w:tr w:rsidR="00A96B34" w:rsidRPr="00A96B3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6699CC"/>
                  <w:vAlign w:val="center"/>
                  <w:hideMark/>
                </w:tcPr>
                <w:p w:rsidR="00A96B34" w:rsidRPr="00A96B34" w:rsidRDefault="00A96B34" w:rsidP="00A96B34">
                  <w:pPr>
                    <w:spacing w:after="0" w:line="240" w:lineRule="auto"/>
                    <w:rPr>
                      <w:rFonts w:ascii="Verdana" w:eastAsia="Times New Roman" w:hAnsi="Verdana"/>
                      <w:color w:val="FFFFFF"/>
                      <w:sz w:val="16"/>
                      <w:szCs w:val="16"/>
                      <w:lang w:eastAsia="es-AR"/>
                    </w:rPr>
                  </w:pPr>
                  <w:r w:rsidRPr="00A96B34">
                    <w:rPr>
                      <w:rFonts w:ascii="Verdana" w:eastAsia="Times New Roman" w:hAnsi="Verdana"/>
                      <w:color w:val="FFFFFF"/>
                      <w:sz w:val="16"/>
                      <w:szCs w:val="16"/>
                      <w:lang w:eastAsia="es-AR"/>
                    </w:rPr>
                    <w:t>Numero :</w:t>
                  </w:r>
                  <w:r w:rsidRPr="00A96B34">
                    <w:rPr>
                      <w:rFonts w:ascii="Verdana" w:eastAsia="Times New Roman" w:hAnsi="Verdana"/>
                      <w:color w:val="FFFFFF"/>
                      <w:sz w:val="16"/>
                      <w:lang w:eastAsia="es-AR"/>
                    </w:rPr>
                    <w:t> </w:t>
                  </w:r>
                  <w:r w:rsidRPr="00A96B34">
                    <w:rPr>
                      <w:rFonts w:ascii="Verdana" w:eastAsia="Times New Roman" w:hAnsi="Verdana"/>
                      <w:b/>
                      <w:bCs/>
                      <w:color w:val="FFFFFF"/>
                      <w:sz w:val="16"/>
                      <w:szCs w:val="16"/>
                      <w:lang w:eastAsia="es-AR"/>
                    </w:rPr>
                    <w:t>157</w:t>
                  </w:r>
                </w:p>
              </w:tc>
              <w:tc>
                <w:tcPr>
                  <w:tcW w:w="0" w:type="auto"/>
                  <w:shd w:val="clear" w:color="auto" w:fill="6699CC"/>
                  <w:vAlign w:val="center"/>
                  <w:hideMark/>
                </w:tcPr>
                <w:p w:rsidR="00A96B34" w:rsidRPr="00A96B34" w:rsidRDefault="00A96B34" w:rsidP="00A96B34">
                  <w:pPr>
                    <w:spacing w:after="0" w:line="240" w:lineRule="auto"/>
                    <w:rPr>
                      <w:rFonts w:ascii="Verdana" w:eastAsia="Times New Roman" w:hAnsi="Verdana"/>
                      <w:color w:val="FFFFFF"/>
                      <w:sz w:val="16"/>
                      <w:szCs w:val="16"/>
                      <w:lang w:eastAsia="es-AR"/>
                    </w:rPr>
                  </w:pPr>
                  <w:r w:rsidRPr="00A96B34">
                    <w:rPr>
                      <w:rFonts w:ascii="Verdana" w:eastAsia="Times New Roman" w:hAnsi="Verdana"/>
                      <w:color w:val="FFFFFF"/>
                      <w:sz w:val="16"/>
                      <w:szCs w:val="16"/>
                      <w:lang w:eastAsia="es-AR"/>
                    </w:rPr>
                    <w:t>N° Expediente :</w:t>
                  </w:r>
                  <w:r w:rsidRPr="00A96B34">
                    <w:rPr>
                      <w:rFonts w:ascii="Verdana" w:eastAsia="Times New Roman" w:hAnsi="Verdana"/>
                      <w:color w:val="FFFFFF"/>
                      <w:sz w:val="16"/>
                      <w:lang w:eastAsia="es-AR"/>
                    </w:rPr>
                    <w:t> </w:t>
                  </w:r>
                  <w:r w:rsidRPr="00A96B34">
                    <w:rPr>
                      <w:rFonts w:ascii="Verdana" w:eastAsia="Times New Roman" w:hAnsi="Verdana"/>
                      <w:b/>
                      <w:bCs/>
                      <w:color w:val="FFFFFF"/>
                      <w:sz w:val="16"/>
                      <w:szCs w:val="16"/>
                      <w:lang w:eastAsia="es-AR"/>
                    </w:rPr>
                    <w:t>17-0323</w:t>
                  </w:r>
                </w:p>
              </w:tc>
              <w:tc>
                <w:tcPr>
                  <w:tcW w:w="0" w:type="auto"/>
                  <w:shd w:val="clear" w:color="auto" w:fill="D9D9D9"/>
                  <w:vAlign w:val="center"/>
                  <w:hideMark/>
                </w:tcPr>
                <w:p w:rsidR="00A96B34" w:rsidRPr="00A96B34" w:rsidRDefault="00A96B34" w:rsidP="00A96B34">
                  <w:pPr>
                    <w:spacing w:after="0" w:line="240" w:lineRule="auto"/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</w:pPr>
                  <w:r w:rsidRPr="00A96B34"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  <w:t>Fecha:</w:t>
                  </w:r>
                  <w:r w:rsidRPr="00A96B34">
                    <w:rPr>
                      <w:rFonts w:ascii="Verdana" w:eastAsia="Times New Roman" w:hAnsi="Verdana"/>
                      <w:color w:val="000000"/>
                      <w:sz w:val="16"/>
                      <w:lang w:eastAsia="es-AR"/>
                    </w:rPr>
                    <w:t> </w:t>
                  </w:r>
                  <w:r w:rsidRPr="00A96B34">
                    <w:rPr>
                      <w:rFonts w:ascii="Verdana" w:eastAsia="Times New Roman" w:hAnsi="Verdana"/>
                      <w:b/>
                      <w:bCs/>
                      <w:color w:val="000000"/>
                      <w:sz w:val="16"/>
                      <w:szCs w:val="16"/>
                      <w:lang w:eastAsia="es-AR"/>
                    </w:rPr>
                    <w:t>01/04/2017</w:t>
                  </w:r>
                </w:p>
              </w:tc>
            </w:tr>
            <w:tr w:rsidR="00A96B34" w:rsidRPr="00A96B34">
              <w:trPr>
                <w:tblCellSpacing w:w="7" w:type="dxa"/>
                <w:jc w:val="center"/>
              </w:trPr>
              <w:tc>
                <w:tcPr>
                  <w:tcW w:w="0" w:type="auto"/>
                  <w:gridSpan w:val="3"/>
                  <w:shd w:val="clear" w:color="auto" w:fill="FFFFFF"/>
                  <w:vAlign w:val="center"/>
                  <w:hideMark/>
                </w:tcPr>
                <w:p w:rsidR="00A96B34" w:rsidRPr="00A96B34" w:rsidRDefault="00A96B34" w:rsidP="00A96B34">
                  <w:pPr>
                    <w:spacing w:after="0" w:line="240" w:lineRule="auto"/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</w:pPr>
                  <w:r w:rsidRPr="00A96B34">
                    <w:rPr>
                      <w:rFonts w:ascii="Verdana" w:eastAsia="Times New Roman" w:hAnsi="Verdana"/>
                      <w:b/>
                      <w:bCs/>
                      <w:color w:val="000000"/>
                      <w:sz w:val="15"/>
                      <w:szCs w:val="15"/>
                      <w:lang w:eastAsia="es-AR"/>
                    </w:rPr>
                    <w:t>Procedimiento:</w:t>
                  </w:r>
                  <w:r w:rsidRPr="00A96B34"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  <w:br/>
                    <w:t>Aclaratoria</w:t>
                  </w:r>
                </w:p>
              </w:tc>
            </w:tr>
            <w:tr w:rsidR="00A96B34" w:rsidRPr="00A96B34">
              <w:trPr>
                <w:tblCellSpacing w:w="7" w:type="dxa"/>
                <w:jc w:val="center"/>
              </w:trPr>
              <w:tc>
                <w:tcPr>
                  <w:tcW w:w="0" w:type="auto"/>
                  <w:gridSpan w:val="3"/>
                  <w:shd w:val="clear" w:color="auto" w:fill="FFFFFF"/>
                  <w:vAlign w:val="center"/>
                  <w:hideMark/>
                </w:tcPr>
                <w:p w:rsidR="00A96B34" w:rsidRPr="00A96B34" w:rsidRDefault="00A96B34" w:rsidP="00A96B34">
                  <w:pPr>
                    <w:spacing w:after="0" w:line="240" w:lineRule="auto"/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</w:pPr>
                  <w:r w:rsidRPr="00A96B34">
                    <w:rPr>
                      <w:rFonts w:ascii="Verdana" w:eastAsia="Times New Roman" w:hAnsi="Verdana"/>
                      <w:b/>
                      <w:bCs/>
                      <w:color w:val="000000"/>
                      <w:sz w:val="15"/>
                      <w:szCs w:val="15"/>
                      <w:lang w:eastAsia="es-AR"/>
                    </w:rPr>
                    <w:t>Partes:</w:t>
                  </w:r>
                  <w:r w:rsidRPr="00A96B34"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  <w:br/>
                    <w:t>Héctor Rodríguez Castro, en su carácter de Diputado de la Asamblea Nacional</w:t>
                  </w:r>
                </w:p>
              </w:tc>
            </w:tr>
            <w:tr w:rsidR="00A96B34" w:rsidRPr="00A96B34">
              <w:trPr>
                <w:tblCellSpacing w:w="7" w:type="dxa"/>
                <w:jc w:val="center"/>
              </w:trPr>
              <w:tc>
                <w:tcPr>
                  <w:tcW w:w="0" w:type="auto"/>
                  <w:gridSpan w:val="3"/>
                  <w:shd w:val="clear" w:color="auto" w:fill="FFE3A2"/>
                  <w:vAlign w:val="center"/>
                  <w:hideMark/>
                </w:tcPr>
                <w:p w:rsidR="00A96B34" w:rsidRPr="00A96B34" w:rsidRDefault="00A96B34" w:rsidP="00A96B34">
                  <w:pPr>
                    <w:spacing w:after="0" w:line="240" w:lineRule="auto"/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</w:pPr>
                  <w:r w:rsidRPr="00A96B34">
                    <w:rPr>
                      <w:rFonts w:ascii="Verdana" w:eastAsia="Times New Roman" w:hAnsi="Verdana"/>
                      <w:b/>
                      <w:bCs/>
                      <w:color w:val="000000"/>
                      <w:sz w:val="15"/>
                      <w:szCs w:val="15"/>
                      <w:lang w:eastAsia="es-AR"/>
                    </w:rPr>
                    <w:t>Decisión:</w:t>
                  </w:r>
                  <w:r w:rsidRPr="00A96B34"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  <w:br/>
                    <w:t>Se Aclara de Oficio la sentencia N° 155 de fecha 28 de marzo de 2017, en lo que respecta a la inmunidad parlamentaria. Se suprime dicho contenido. Se suprime la cautelar 5.1.1 de dicho fallo.</w:t>
                  </w:r>
                </w:p>
              </w:tc>
            </w:tr>
            <w:tr w:rsidR="00A96B34" w:rsidRPr="00A96B34">
              <w:trPr>
                <w:tblCellSpacing w:w="7" w:type="dxa"/>
                <w:jc w:val="center"/>
              </w:trPr>
              <w:tc>
                <w:tcPr>
                  <w:tcW w:w="0" w:type="auto"/>
                  <w:gridSpan w:val="3"/>
                  <w:shd w:val="clear" w:color="auto" w:fill="FFFFFF"/>
                  <w:vAlign w:val="center"/>
                  <w:hideMark/>
                </w:tcPr>
                <w:p w:rsidR="00A96B34" w:rsidRPr="00A96B34" w:rsidRDefault="00A96B34" w:rsidP="00A96B34">
                  <w:pPr>
                    <w:spacing w:after="0" w:line="240" w:lineRule="auto"/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</w:pPr>
                  <w:r w:rsidRPr="00A96B34">
                    <w:rPr>
                      <w:rFonts w:ascii="Verdana" w:eastAsia="Times New Roman" w:hAnsi="Verdana"/>
                      <w:b/>
                      <w:bCs/>
                      <w:color w:val="000000"/>
                      <w:sz w:val="15"/>
                      <w:szCs w:val="15"/>
                      <w:lang w:eastAsia="es-AR"/>
                    </w:rPr>
                    <w:t>Ponente:</w:t>
                  </w:r>
                  <w:r w:rsidRPr="00A96B34"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  <w:br/>
                    <w:t>Ponencia Conjunta</w:t>
                  </w:r>
                </w:p>
              </w:tc>
            </w:tr>
          </w:tbl>
          <w:p w:rsidR="00A96B34" w:rsidRPr="00A96B34" w:rsidRDefault="00A96B34" w:rsidP="00A96B34">
            <w:pPr>
              <w:spacing w:after="0" w:line="240" w:lineRule="auto"/>
              <w:rPr>
                <w:rFonts w:ascii="Times New Roman" w:eastAsia="Times New Roman" w:hAnsi="Times New Roman"/>
                <w:vanish/>
                <w:sz w:val="24"/>
                <w:szCs w:val="24"/>
                <w:lang w:eastAsia="es-AR"/>
              </w:rPr>
            </w:pPr>
          </w:p>
          <w:p w:rsidR="00A96B34" w:rsidRPr="00A96B34" w:rsidRDefault="00A96B34" w:rsidP="00A96B3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AR"/>
              </w:rPr>
            </w:pPr>
          </w:p>
          <w:tbl>
            <w:tblPr>
              <w:tblW w:w="3750" w:type="pct"/>
              <w:jc w:val="center"/>
              <w:tblCellSpacing w:w="7" w:type="dxa"/>
              <w:shd w:val="clear" w:color="auto" w:fill="004D92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1995"/>
              <w:gridCol w:w="3274"/>
              <w:gridCol w:w="3506"/>
            </w:tblGrid>
            <w:tr w:rsidR="00A96B34" w:rsidRPr="00A96B3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6699CC"/>
                  <w:vAlign w:val="center"/>
                  <w:hideMark/>
                </w:tcPr>
                <w:p w:rsidR="00A96B34" w:rsidRPr="00A96B34" w:rsidRDefault="00A96B34" w:rsidP="00A96B34">
                  <w:pPr>
                    <w:spacing w:after="0" w:line="240" w:lineRule="auto"/>
                    <w:rPr>
                      <w:rFonts w:ascii="Verdana" w:eastAsia="Times New Roman" w:hAnsi="Verdana"/>
                      <w:color w:val="FFFFFF"/>
                      <w:sz w:val="16"/>
                      <w:szCs w:val="16"/>
                      <w:lang w:eastAsia="es-AR"/>
                    </w:rPr>
                  </w:pPr>
                  <w:r w:rsidRPr="00A96B34">
                    <w:rPr>
                      <w:rFonts w:ascii="Verdana" w:eastAsia="Times New Roman" w:hAnsi="Verdana"/>
                      <w:color w:val="FFFFFF"/>
                      <w:sz w:val="16"/>
                      <w:szCs w:val="16"/>
                      <w:lang w:eastAsia="es-AR"/>
                    </w:rPr>
                    <w:t>Numero :</w:t>
                  </w:r>
                  <w:r w:rsidRPr="00A96B34">
                    <w:rPr>
                      <w:rFonts w:ascii="Verdana" w:eastAsia="Times New Roman" w:hAnsi="Verdana"/>
                      <w:color w:val="FFFFFF"/>
                      <w:sz w:val="16"/>
                      <w:lang w:eastAsia="es-AR"/>
                    </w:rPr>
                    <w:t> </w:t>
                  </w:r>
                  <w:r w:rsidRPr="00A96B34">
                    <w:rPr>
                      <w:rFonts w:ascii="Verdana" w:eastAsia="Times New Roman" w:hAnsi="Verdana"/>
                      <w:b/>
                      <w:bCs/>
                      <w:color w:val="FFFFFF"/>
                      <w:sz w:val="16"/>
                      <w:szCs w:val="16"/>
                      <w:lang w:eastAsia="es-AR"/>
                    </w:rPr>
                    <w:t>158</w:t>
                  </w:r>
                </w:p>
              </w:tc>
              <w:tc>
                <w:tcPr>
                  <w:tcW w:w="0" w:type="auto"/>
                  <w:shd w:val="clear" w:color="auto" w:fill="6699CC"/>
                  <w:vAlign w:val="center"/>
                  <w:hideMark/>
                </w:tcPr>
                <w:p w:rsidR="00A96B34" w:rsidRPr="00A96B34" w:rsidRDefault="00A96B34" w:rsidP="00A96B34">
                  <w:pPr>
                    <w:spacing w:after="0" w:line="240" w:lineRule="auto"/>
                    <w:rPr>
                      <w:rFonts w:ascii="Verdana" w:eastAsia="Times New Roman" w:hAnsi="Verdana"/>
                      <w:color w:val="FFFFFF"/>
                      <w:sz w:val="16"/>
                      <w:szCs w:val="16"/>
                      <w:lang w:eastAsia="es-AR"/>
                    </w:rPr>
                  </w:pPr>
                  <w:r w:rsidRPr="00A96B34">
                    <w:rPr>
                      <w:rFonts w:ascii="Verdana" w:eastAsia="Times New Roman" w:hAnsi="Verdana"/>
                      <w:color w:val="FFFFFF"/>
                      <w:sz w:val="16"/>
                      <w:szCs w:val="16"/>
                      <w:lang w:eastAsia="es-AR"/>
                    </w:rPr>
                    <w:t>N° Expediente :</w:t>
                  </w:r>
                  <w:r w:rsidRPr="00A96B34">
                    <w:rPr>
                      <w:rFonts w:ascii="Verdana" w:eastAsia="Times New Roman" w:hAnsi="Verdana"/>
                      <w:color w:val="FFFFFF"/>
                      <w:sz w:val="16"/>
                      <w:lang w:eastAsia="es-AR"/>
                    </w:rPr>
                    <w:t> </w:t>
                  </w:r>
                  <w:r w:rsidRPr="00A96B34">
                    <w:rPr>
                      <w:rFonts w:ascii="Verdana" w:eastAsia="Times New Roman" w:hAnsi="Verdana"/>
                      <w:b/>
                      <w:bCs/>
                      <w:color w:val="FFFFFF"/>
                      <w:sz w:val="16"/>
                      <w:szCs w:val="16"/>
                      <w:lang w:eastAsia="es-AR"/>
                    </w:rPr>
                    <w:t>17-0325</w:t>
                  </w:r>
                </w:p>
              </w:tc>
              <w:tc>
                <w:tcPr>
                  <w:tcW w:w="0" w:type="auto"/>
                  <w:shd w:val="clear" w:color="auto" w:fill="D9D9D9"/>
                  <w:vAlign w:val="center"/>
                  <w:hideMark/>
                </w:tcPr>
                <w:p w:rsidR="00A96B34" w:rsidRPr="00A96B34" w:rsidRDefault="00A96B34" w:rsidP="00A96B34">
                  <w:pPr>
                    <w:spacing w:after="0" w:line="240" w:lineRule="auto"/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</w:pPr>
                  <w:r w:rsidRPr="00A96B34"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  <w:t>Fecha:</w:t>
                  </w:r>
                  <w:r w:rsidRPr="00A96B34">
                    <w:rPr>
                      <w:rFonts w:ascii="Verdana" w:eastAsia="Times New Roman" w:hAnsi="Verdana"/>
                      <w:color w:val="000000"/>
                      <w:sz w:val="16"/>
                      <w:lang w:eastAsia="es-AR"/>
                    </w:rPr>
                    <w:t> </w:t>
                  </w:r>
                  <w:r w:rsidRPr="00A96B34">
                    <w:rPr>
                      <w:rFonts w:ascii="Verdana" w:eastAsia="Times New Roman" w:hAnsi="Verdana"/>
                      <w:b/>
                      <w:bCs/>
                      <w:color w:val="000000"/>
                      <w:sz w:val="16"/>
                      <w:szCs w:val="16"/>
                      <w:lang w:eastAsia="es-AR"/>
                    </w:rPr>
                    <w:t>01/04/2017</w:t>
                  </w:r>
                </w:p>
              </w:tc>
            </w:tr>
            <w:tr w:rsidR="00A96B34" w:rsidRPr="00A96B34">
              <w:trPr>
                <w:tblCellSpacing w:w="7" w:type="dxa"/>
                <w:jc w:val="center"/>
              </w:trPr>
              <w:tc>
                <w:tcPr>
                  <w:tcW w:w="0" w:type="auto"/>
                  <w:gridSpan w:val="3"/>
                  <w:shd w:val="clear" w:color="auto" w:fill="FFFFFF"/>
                  <w:vAlign w:val="center"/>
                  <w:hideMark/>
                </w:tcPr>
                <w:p w:rsidR="00A96B34" w:rsidRPr="00A96B34" w:rsidRDefault="00A96B34" w:rsidP="00A96B34">
                  <w:pPr>
                    <w:spacing w:after="0" w:line="240" w:lineRule="auto"/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</w:pPr>
                  <w:r w:rsidRPr="00A96B34">
                    <w:rPr>
                      <w:rFonts w:ascii="Verdana" w:eastAsia="Times New Roman" w:hAnsi="Verdana"/>
                      <w:b/>
                      <w:bCs/>
                      <w:color w:val="000000"/>
                      <w:sz w:val="15"/>
                      <w:szCs w:val="15"/>
                      <w:lang w:eastAsia="es-AR"/>
                    </w:rPr>
                    <w:t>Procedimiento:</w:t>
                  </w:r>
                  <w:r w:rsidRPr="00A96B34"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  <w:br/>
                    <w:t>Aclaratoria</w:t>
                  </w:r>
                </w:p>
              </w:tc>
            </w:tr>
            <w:tr w:rsidR="00A96B34" w:rsidRPr="00A96B34">
              <w:trPr>
                <w:tblCellSpacing w:w="7" w:type="dxa"/>
                <w:jc w:val="center"/>
              </w:trPr>
              <w:tc>
                <w:tcPr>
                  <w:tcW w:w="0" w:type="auto"/>
                  <w:gridSpan w:val="3"/>
                  <w:shd w:val="clear" w:color="auto" w:fill="FFFFFF"/>
                  <w:vAlign w:val="center"/>
                  <w:hideMark/>
                </w:tcPr>
                <w:p w:rsidR="00A96B34" w:rsidRPr="00A96B34" w:rsidRDefault="00A96B34" w:rsidP="00A96B34">
                  <w:pPr>
                    <w:spacing w:after="0" w:line="240" w:lineRule="auto"/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</w:pPr>
                  <w:r w:rsidRPr="00A96B34">
                    <w:rPr>
                      <w:rFonts w:ascii="Verdana" w:eastAsia="Times New Roman" w:hAnsi="Verdana"/>
                      <w:b/>
                      <w:bCs/>
                      <w:color w:val="000000"/>
                      <w:sz w:val="15"/>
                      <w:szCs w:val="15"/>
                      <w:lang w:eastAsia="es-AR"/>
                    </w:rPr>
                    <w:t>Partes:</w:t>
                  </w:r>
                  <w:r w:rsidRPr="00A96B34"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  <w:br/>
                    <w:t>Corporación Venezolana del Petróleo, S.A. (CVP)</w:t>
                  </w:r>
                </w:p>
              </w:tc>
            </w:tr>
            <w:tr w:rsidR="00A96B34" w:rsidRPr="00A96B34">
              <w:trPr>
                <w:tblCellSpacing w:w="7" w:type="dxa"/>
                <w:jc w:val="center"/>
              </w:trPr>
              <w:tc>
                <w:tcPr>
                  <w:tcW w:w="0" w:type="auto"/>
                  <w:gridSpan w:val="3"/>
                  <w:shd w:val="clear" w:color="auto" w:fill="FFE3A2"/>
                  <w:vAlign w:val="center"/>
                  <w:hideMark/>
                </w:tcPr>
                <w:p w:rsidR="00A96B34" w:rsidRPr="00A96B34" w:rsidRDefault="00A96B34" w:rsidP="00A96B34">
                  <w:pPr>
                    <w:spacing w:after="0" w:line="240" w:lineRule="auto"/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</w:pPr>
                  <w:r w:rsidRPr="00A96B34">
                    <w:rPr>
                      <w:rFonts w:ascii="Verdana" w:eastAsia="Times New Roman" w:hAnsi="Verdana"/>
                      <w:b/>
                      <w:bCs/>
                      <w:color w:val="000000"/>
                      <w:sz w:val="15"/>
                      <w:szCs w:val="15"/>
                      <w:lang w:eastAsia="es-AR"/>
                    </w:rPr>
                    <w:t>Decisión:</w:t>
                  </w:r>
                  <w:r w:rsidRPr="00A96B34"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  <w:br/>
                    <w:t>Se Aclara de Oficio la sentencia N° 156 de fecha 29 de marzo de 2017, en lo que respecta al punto 4.4 del dispositivo referido a que la Sala Constitucional garantizará que las competencias parlamentarias sean ejercidas directamente por ésta o por el órgano que ella disponga, para velar por el Estado de Derecho; cuyo contenido se suprime.</w:t>
                  </w:r>
                </w:p>
              </w:tc>
            </w:tr>
            <w:tr w:rsidR="00A96B34" w:rsidRPr="00A96B34">
              <w:trPr>
                <w:tblCellSpacing w:w="7" w:type="dxa"/>
                <w:jc w:val="center"/>
              </w:trPr>
              <w:tc>
                <w:tcPr>
                  <w:tcW w:w="0" w:type="auto"/>
                  <w:gridSpan w:val="3"/>
                  <w:shd w:val="clear" w:color="auto" w:fill="FFFFFF"/>
                  <w:vAlign w:val="center"/>
                  <w:hideMark/>
                </w:tcPr>
                <w:p w:rsidR="00A96B34" w:rsidRPr="00A96B34" w:rsidRDefault="00A96B34" w:rsidP="00A96B34">
                  <w:pPr>
                    <w:spacing w:after="0" w:line="240" w:lineRule="auto"/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</w:pPr>
                  <w:r w:rsidRPr="00A96B34">
                    <w:rPr>
                      <w:rFonts w:ascii="Verdana" w:eastAsia="Times New Roman" w:hAnsi="Verdana"/>
                      <w:b/>
                      <w:bCs/>
                      <w:color w:val="000000"/>
                      <w:sz w:val="15"/>
                      <w:szCs w:val="15"/>
                      <w:lang w:eastAsia="es-AR"/>
                    </w:rPr>
                    <w:t>Ponente:</w:t>
                  </w:r>
                  <w:r w:rsidRPr="00A96B34">
                    <w:rPr>
                      <w:rFonts w:ascii="Verdana" w:eastAsia="Times New Roman" w:hAnsi="Verdana"/>
                      <w:color w:val="000000"/>
                      <w:sz w:val="16"/>
                      <w:szCs w:val="16"/>
                      <w:lang w:eastAsia="es-AR"/>
                    </w:rPr>
                    <w:br/>
                    <w:t>Ponencia Conjunta</w:t>
                  </w:r>
                </w:p>
              </w:tc>
            </w:tr>
          </w:tbl>
          <w:p w:rsidR="00A96B34" w:rsidRPr="00A96B34" w:rsidRDefault="00A96B34" w:rsidP="00A96B3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AR"/>
              </w:rPr>
            </w:pPr>
          </w:p>
        </w:tc>
      </w:tr>
    </w:tbl>
    <w:p w:rsidR="00076AF9" w:rsidRDefault="00076AF9"/>
    <w:p w:rsidR="00A96B34" w:rsidRDefault="00A96B34"/>
    <w:p w:rsidR="00A96B34" w:rsidRDefault="00A96B34"/>
    <w:p w:rsidR="00A96B34" w:rsidRDefault="00A96B34"/>
    <w:sectPr w:rsidR="00A96B34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A96B34"/>
    <w:rsid w:val="00076AF9"/>
    <w:rsid w:val="002A142D"/>
    <w:rsid w:val="002D58F6"/>
    <w:rsid w:val="004E2843"/>
    <w:rsid w:val="005A7934"/>
    <w:rsid w:val="005B3968"/>
    <w:rsid w:val="005C42E8"/>
    <w:rsid w:val="00651326"/>
    <w:rsid w:val="00850883"/>
    <w:rsid w:val="009C6C6F"/>
    <w:rsid w:val="00A96B34"/>
    <w:rsid w:val="00B77A95"/>
    <w:rsid w:val="00C27C79"/>
    <w:rsid w:val="00EA6D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A96B34"/>
  </w:style>
  <w:style w:type="character" w:styleId="Hipervnculo">
    <w:name w:val="Hyperlink"/>
    <w:basedOn w:val="Fuentedeprrafopredeter"/>
    <w:uiPriority w:val="99"/>
    <w:semiHidden/>
    <w:unhideWhenUsed/>
    <w:rsid w:val="00A96B3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56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799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2</cp:revision>
  <dcterms:created xsi:type="dcterms:W3CDTF">2017-04-01T19:13:00Z</dcterms:created>
  <dcterms:modified xsi:type="dcterms:W3CDTF">2017-04-01T19:14:00Z</dcterms:modified>
</cp:coreProperties>
</file>