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25A" w:rsidRPr="00530144" w:rsidRDefault="005D025A" w:rsidP="005D025A">
      <w:pPr>
        <w:rPr>
          <w:b/>
          <w:sz w:val="28"/>
          <w:szCs w:val="28"/>
          <w:u w:val="single"/>
          <w:lang w:val="en-US"/>
        </w:rPr>
      </w:pPr>
      <w:r w:rsidRPr="00530144">
        <w:rPr>
          <w:b/>
          <w:sz w:val="28"/>
          <w:szCs w:val="28"/>
          <w:u w:val="single"/>
          <w:lang w:val="en-US"/>
        </w:rPr>
        <w:t xml:space="preserve">Additional Evidence: </w:t>
      </w:r>
    </w:p>
    <w:p w:rsidR="005D025A" w:rsidRPr="00530144" w:rsidRDefault="005D025A" w:rsidP="005D025A">
      <w:pPr>
        <w:rPr>
          <w:b/>
          <w:sz w:val="28"/>
          <w:szCs w:val="28"/>
          <w:u w:val="single"/>
          <w:lang w:val="en-US"/>
        </w:rPr>
      </w:pPr>
      <w:r w:rsidRPr="00530144">
        <w:rPr>
          <w:b/>
          <w:sz w:val="28"/>
          <w:szCs w:val="28"/>
          <w:u w:val="single"/>
          <w:lang w:val="en-US"/>
        </w:rPr>
        <w:t>JURISPRUDENCE ON INTERNATIONAL HUMANITARIAN LAW VIOLATIONS</w:t>
      </w:r>
    </w:p>
    <w:p w:rsidR="005D025A" w:rsidRPr="004406D2" w:rsidRDefault="006801A6" w:rsidP="005D025A">
      <w:pPr>
        <w:rPr>
          <w:lang w:val="en-US"/>
        </w:rPr>
      </w:pPr>
      <w:r w:rsidRPr="004406D2">
        <w:rPr>
          <w:lang w:val="en-US"/>
        </w:rPr>
        <w:t>(</w:t>
      </w:r>
      <w:r w:rsidR="004406D2">
        <w:rPr>
          <w:lang w:val="en-US"/>
        </w:rPr>
        <w:t xml:space="preserve">Citation: </w:t>
      </w:r>
      <w:r w:rsidRPr="004406D2">
        <w:rPr>
          <w:lang w:val="en-US"/>
        </w:rPr>
        <w:t xml:space="preserve">International </w:t>
      </w:r>
      <w:r w:rsidR="00784E7C" w:rsidRPr="004406D2">
        <w:rPr>
          <w:lang w:val="en-US"/>
        </w:rPr>
        <w:t xml:space="preserve">Committee </w:t>
      </w:r>
      <w:r w:rsidR="006155D3" w:rsidRPr="004406D2">
        <w:rPr>
          <w:lang w:val="en-US"/>
        </w:rPr>
        <w:t xml:space="preserve">of the </w:t>
      </w:r>
      <w:r w:rsidRPr="004406D2">
        <w:rPr>
          <w:lang w:val="en-US"/>
        </w:rPr>
        <w:t>Red Cross</w:t>
      </w:r>
      <w:r w:rsidR="004406D2" w:rsidRPr="004406D2">
        <w:rPr>
          <w:lang w:val="en-US"/>
        </w:rPr>
        <w:t>. Customary IHL Database. https://ihl-databases.icrc.org/customary-ihl/eng/docs/v1_rul</w:t>
      </w:r>
      <w:r w:rsidRPr="004406D2">
        <w:rPr>
          <w:lang w:val="en-US"/>
        </w:rPr>
        <w:t>)</w:t>
      </w:r>
    </w:p>
    <w:p w:rsidR="006801A6" w:rsidRPr="00530144" w:rsidRDefault="006801A6" w:rsidP="005D025A">
      <w:pPr>
        <w:rPr>
          <w:sz w:val="28"/>
          <w:szCs w:val="28"/>
          <w:lang w:val="en-US"/>
        </w:rPr>
      </w:pPr>
    </w:p>
    <w:p w:rsidR="005D025A" w:rsidRPr="00530144" w:rsidRDefault="005D025A" w:rsidP="005D025A">
      <w:pPr>
        <w:rPr>
          <w:b/>
          <w:sz w:val="28"/>
          <w:szCs w:val="28"/>
          <w:lang w:val="en-US"/>
        </w:rPr>
      </w:pPr>
      <w:r w:rsidRPr="00530144">
        <w:rPr>
          <w:b/>
          <w:sz w:val="28"/>
          <w:szCs w:val="28"/>
          <w:lang w:val="en-US"/>
        </w:rPr>
        <w:t>Part I * Command Responsibility for Failure to Prevent, Punish or Report War Crimes</w:t>
      </w:r>
    </w:p>
    <w:p w:rsidR="00530144" w:rsidRPr="00530144" w:rsidRDefault="00530144" w:rsidP="005D025A">
      <w:pPr>
        <w:rPr>
          <w:b/>
          <w:sz w:val="28"/>
          <w:szCs w:val="28"/>
          <w:lang w:val="en-US"/>
        </w:rPr>
      </w:pPr>
    </w:p>
    <w:p w:rsidR="005D025A" w:rsidRPr="00530144" w:rsidRDefault="005D025A" w:rsidP="005D025A">
      <w:pPr>
        <w:rPr>
          <w:b/>
          <w:sz w:val="28"/>
          <w:szCs w:val="28"/>
          <w:lang w:val="en-US"/>
        </w:rPr>
      </w:pPr>
      <w:r w:rsidRPr="00530144">
        <w:rPr>
          <w:b/>
          <w:sz w:val="28"/>
          <w:szCs w:val="28"/>
          <w:lang w:val="en-US"/>
        </w:rPr>
        <w:t>Part II * Due Regard for the Natural Environment in Military Operations</w:t>
      </w:r>
    </w:p>
    <w:p w:rsidR="00530144" w:rsidRPr="00530144" w:rsidRDefault="00530144" w:rsidP="005D025A">
      <w:pPr>
        <w:rPr>
          <w:b/>
          <w:sz w:val="28"/>
          <w:szCs w:val="28"/>
          <w:lang w:val="en-US"/>
        </w:rPr>
      </w:pPr>
    </w:p>
    <w:p w:rsidR="005D025A" w:rsidRPr="00530144" w:rsidRDefault="005D025A" w:rsidP="005D025A">
      <w:pPr>
        <w:rPr>
          <w:b/>
          <w:sz w:val="28"/>
          <w:szCs w:val="28"/>
          <w:lang w:val="en-US"/>
        </w:rPr>
      </w:pPr>
      <w:r w:rsidRPr="00530144">
        <w:rPr>
          <w:b/>
          <w:sz w:val="28"/>
          <w:szCs w:val="28"/>
          <w:lang w:val="en-US"/>
        </w:rPr>
        <w:t>Part III * Rape and Other Forms of Sexual Violence</w:t>
      </w:r>
    </w:p>
    <w:p w:rsidR="00530144" w:rsidRPr="00530144" w:rsidRDefault="00530144" w:rsidP="005D025A">
      <w:pPr>
        <w:rPr>
          <w:b/>
          <w:sz w:val="28"/>
          <w:szCs w:val="28"/>
          <w:lang w:val="en-US"/>
        </w:rPr>
      </w:pPr>
    </w:p>
    <w:p w:rsidR="005D025A" w:rsidRPr="00530144" w:rsidRDefault="005D025A" w:rsidP="005D025A">
      <w:pPr>
        <w:rPr>
          <w:b/>
          <w:sz w:val="28"/>
          <w:szCs w:val="28"/>
          <w:lang w:val="en-US"/>
        </w:rPr>
      </w:pPr>
      <w:r w:rsidRPr="00530144">
        <w:rPr>
          <w:b/>
          <w:sz w:val="28"/>
          <w:szCs w:val="28"/>
          <w:lang w:val="en-US"/>
        </w:rPr>
        <w:t>Part IV * Slavery and Slave Trade</w:t>
      </w:r>
    </w:p>
    <w:p w:rsidR="00530144" w:rsidRPr="00530144" w:rsidRDefault="00530144" w:rsidP="005D025A">
      <w:pPr>
        <w:rPr>
          <w:b/>
          <w:sz w:val="28"/>
          <w:szCs w:val="28"/>
          <w:lang w:val="en-US"/>
        </w:rPr>
      </w:pPr>
    </w:p>
    <w:p w:rsidR="005D025A" w:rsidRPr="00530144" w:rsidRDefault="005D025A" w:rsidP="005D025A">
      <w:pPr>
        <w:rPr>
          <w:b/>
          <w:sz w:val="28"/>
          <w:szCs w:val="28"/>
          <w:lang w:val="en-US"/>
        </w:rPr>
      </w:pPr>
      <w:r w:rsidRPr="00530144">
        <w:rPr>
          <w:b/>
          <w:sz w:val="28"/>
          <w:szCs w:val="28"/>
          <w:lang w:val="en-US"/>
        </w:rPr>
        <w:t>Part V * Responsibility for Violations of International Humanitarian Law</w:t>
      </w:r>
    </w:p>
    <w:p w:rsidR="00530144" w:rsidRPr="00530144" w:rsidRDefault="00530144" w:rsidP="005D025A">
      <w:pPr>
        <w:rPr>
          <w:b/>
          <w:sz w:val="28"/>
          <w:szCs w:val="28"/>
          <w:lang w:val="en-US"/>
        </w:rPr>
      </w:pPr>
    </w:p>
    <w:p w:rsidR="005D025A" w:rsidRPr="00530144" w:rsidRDefault="005D025A" w:rsidP="005D025A">
      <w:pPr>
        <w:rPr>
          <w:b/>
          <w:sz w:val="28"/>
          <w:szCs w:val="28"/>
          <w:lang w:val="en-US"/>
        </w:rPr>
      </w:pPr>
      <w:r w:rsidRPr="00530144">
        <w:rPr>
          <w:b/>
          <w:sz w:val="28"/>
          <w:szCs w:val="28"/>
          <w:lang w:val="en-US"/>
        </w:rPr>
        <w:t>Part VI * Reparation</w:t>
      </w:r>
    </w:p>
    <w:p w:rsidR="005D025A" w:rsidRPr="00530144" w:rsidRDefault="005D025A">
      <w:pPr>
        <w:rPr>
          <w:lang w:val="en-US"/>
        </w:rPr>
      </w:pPr>
    </w:p>
    <w:p w:rsidR="005D025A" w:rsidRDefault="005D025A">
      <w:pPr>
        <w:rPr>
          <w:lang w:val="en-US"/>
        </w:rPr>
      </w:pPr>
    </w:p>
    <w:p w:rsidR="00530144" w:rsidRDefault="00530144">
      <w:pPr>
        <w:rPr>
          <w:lang w:val="en-US"/>
        </w:rPr>
      </w:pPr>
    </w:p>
    <w:p w:rsidR="00530144" w:rsidRDefault="00530144">
      <w:pPr>
        <w:rPr>
          <w:lang w:val="en-US"/>
        </w:rPr>
      </w:pPr>
    </w:p>
    <w:p w:rsidR="00530144" w:rsidRDefault="00530144">
      <w:pPr>
        <w:rPr>
          <w:lang w:val="en-US"/>
        </w:rPr>
      </w:pPr>
    </w:p>
    <w:p w:rsidR="00530144" w:rsidRDefault="00530144">
      <w:pPr>
        <w:rPr>
          <w:lang w:val="en-US"/>
        </w:rPr>
      </w:pPr>
    </w:p>
    <w:p w:rsidR="00530144" w:rsidRDefault="00530144">
      <w:pPr>
        <w:rPr>
          <w:lang w:val="en-US"/>
        </w:rPr>
      </w:pPr>
    </w:p>
    <w:p w:rsidR="00530144" w:rsidRDefault="00530144">
      <w:pPr>
        <w:rPr>
          <w:lang w:val="en-US"/>
        </w:rPr>
      </w:pPr>
    </w:p>
    <w:p w:rsidR="00530144" w:rsidRDefault="00530144">
      <w:pPr>
        <w:rPr>
          <w:lang w:val="en-US"/>
        </w:rPr>
      </w:pPr>
    </w:p>
    <w:p w:rsidR="004406D2" w:rsidRPr="00530144" w:rsidRDefault="004406D2">
      <w:pPr>
        <w:rPr>
          <w:lang w:val="en-US"/>
        </w:rPr>
      </w:pPr>
    </w:p>
    <w:p w:rsidR="00530144" w:rsidRPr="004D74E4" w:rsidRDefault="00530144" w:rsidP="00530144">
      <w:pPr>
        <w:rPr>
          <w:b/>
          <w:sz w:val="28"/>
          <w:szCs w:val="28"/>
          <w:lang w:val="en-US"/>
        </w:rPr>
      </w:pPr>
      <w:r w:rsidRPr="004D74E4">
        <w:rPr>
          <w:b/>
          <w:sz w:val="28"/>
          <w:szCs w:val="28"/>
          <w:lang w:val="en-US"/>
        </w:rPr>
        <w:t>Part I * Command Responsibility for Failure to Prevent, Punish or Report War Crimes</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Command Responsibility for Failure to Prevent, Repress or Report War Crimes</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b/>
          <w:bCs/>
          <w:sz w:val="24"/>
          <w:szCs w:val="24"/>
          <w:lang w:val="en-US"/>
        </w:rPr>
        <w:t>Rule 153. Commanders and other superiors are criminally responsible for war crimes committed by their subordinates if they knew, or had reason to know, that the subordinates were about to commit or were committing such crimes and did not take all necessary and reasonable measures in their power to prevent their commission, or if such crimes had been committed, to punish the persons responsible.</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Summary</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State practice establishes this rule as a norm of customary international law applicable in both international and non-international armed conflicts.</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International armed conflicts</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The criminal responsibility of commanders for war crimes committed by their subordinates, based on the commanders’ failure to take measures to prevent or punish the commission of such crimes is a long-standing rule of customary international law. It is on this basis that a number of commanders were found guilty of war crimes committed by their subordinates in several trials following the Second World War.</w:t>
      </w:r>
      <w:bookmarkStart w:id="0" w:name="refFn_28_1"/>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w:t>
      </w:r>
      <w:r w:rsidRPr="00530144">
        <w:rPr>
          <w:rFonts w:ascii="Times New Roman" w:eastAsia="Times New Roman" w:hAnsi="Times New Roman" w:cs="Times New Roman"/>
          <w:sz w:val="24"/>
          <w:szCs w:val="24"/>
        </w:rPr>
        <w:fldChar w:fldCharType="end"/>
      </w:r>
      <w:bookmarkEnd w:id="0"/>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sz w:val="24"/>
          <w:szCs w:val="24"/>
          <w:lang w:val="en-US"/>
        </w:rPr>
        <w:br/>
        <w:t>This rule is to be found in Additional Protocol I, as well as in the Statutes of the International Criminal Court and of the International Criminal Tribunal for the former Yugoslavia.</w:t>
      </w:r>
      <w:bookmarkStart w:id="1" w:name="refFn_28_2"/>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w:t>
      </w:r>
      <w:r w:rsidRPr="00530144">
        <w:rPr>
          <w:rFonts w:ascii="Times New Roman" w:eastAsia="Times New Roman" w:hAnsi="Times New Roman" w:cs="Times New Roman"/>
          <w:sz w:val="24"/>
          <w:szCs w:val="24"/>
        </w:rPr>
        <w:fldChar w:fldCharType="end"/>
      </w:r>
      <w:bookmarkEnd w:id="1"/>
      <w:r w:rsidRPr="00530144">
        <w:rPr>
          <w:rFonts w:ascii="Times New Roman" w:eastAsia="Times New Roman" w:hAnsi="Times New Roman" w:cs="Times New Roman"/>
          <w:sz w:val="24"/>
          <w:szCs w:val="24"/>
          <w:lang w:val="en-US"/>
        </w:rPr>
        <w:t>  It has also been confirmed in several cases before the International Criminal Tribunal for the former Yugoslavia.</w:t>
      </w:r>
      <w:bookmarkStart w:id="2" w:name="refFn_28_3"/>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w:t>
      </w:r>
      <w:r w:rsidRPr="00530144">
        <w:rPr>
          <w:rFonts w:ascii="Times New Roman" w:eastAsia="Times New Roman" w:hAnsi="Times New Roman" w:cs="Times New Roman"/>
          <w:sz w:val="24"/>
          <w:szCs w:val="24"/>
        </w:rPr>
        <w:fldChar w:fldCharType="end"/>
      </w:r>
      <w:bookmarkEnd w:id="2"/>
      <w:r w:rsidRPr="00530144">
        <w:rPr>
          <w:rFonts w:ascii="Times New Roman" w:eastAsia="Times New Roman" w:hAnsi="Times New Roman" w:cs="Times New Roman"/>
          <w:sz w:val="24"/>
          <w:szCs w:val="24"/>
          <w:lang w:val="en-US"/>
        </w:rPr>
        <w:t> </w:t>
      </w:r>
      <w:r w:rsidRPr="00530144">
        <w:rPr>
          <w:rFonts w:ascii="Times New Roman" w:eastAsia="Times New Roman" w:hAnsi="Times New Roman" w:cs="Times New Roman"/>
          <w:sz w:val="24"/>
          <w:szCs w:val="24"/>
          <w:lang w:val="en-US"/>
        </w:rPr>
        <w:br/>
        <w:t>Military manuals, military instructions and the legislation of a number of States specify the responsibility of commanders for the crimes of their subordinates, including States not, or not at the time, party to Additional Protocol I.</w:t>
      </w:r>
      <w:bookmarkStart w:id="3" w:name="refFn_28_4"/>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[4]</w:t>
      </w:r>
      <w:r w:rsidRPr="00530144">
        <w:rPr>
          <w:rFonts w:ascii="Times New Roman" w:eastAsia="Times New Roman" w:hAnsi="Times New Roman" w:cs="Times New Roman"/>
          <w:sz w:val="24"/>
          <w:szCs w:val="24"/>
        </w:rPr>
        <w:fldChar w:fldCharType="end"/>
      </w:r>
      <w:bookmarkEnd w:id="3"/>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sz w:val="24"/>
          <w:szCs w:val="24"/>
          <w:lang w:val="en-US"/>
        </w:rPr>
        <w:br/>
        <w:t>This rule was recalled in resolutions on the conflict in the former Yugoslavia adopted by the UN General Assembly and UN Commission on Human Rights.</w:t>
      </w:r>
      <w:bookmarkStart w:id="4" w:name="refFn_28_5"/>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"Fn_28_5"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[5]</w:t>
      </w:r>
      <w:r w:rsidRPr="00530144">
        <w:rPr>
          <w:rFonts w:ascii="Times New Roman" w:eastAsia="Times New Roman" w:hAnsi="Times New Roman" w:cs="Times New Roman"/>
          <w:sz w:val="24"/>
          <w:szCs w:val="24"/>
        </w:rPr>
        <w:fldChar w:fldCharType="end"/>
      </w:r>
      <w:bookmarkEnd w:id="4"/>
      <w:r w:rsidRPr="00530144">
        <w:rPr>
          <w:rFonts w:ascii="Times New Roman" w:eastAsia="Times New Roman" w:hAnsi="Times New Roman" w:cs="Times New Roman"/>
          <w:sz w:val="24"/>
          <w:szCs w:val="24"/>
          <w:lang w:val="en-US"/>
        </w:rPr>
        <w:t> </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Non-international armed conflicts</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Practice with respect to non-international armed conflicts is less extensive and more recent. However, the practice that does exist indicates that it is uncontroversial that this rule also applies to war crimes committed in non-international armed conflicts. In particular, the Statutes of the International Criminal Court, of the International Criminal Tribunals for the former Yugoslavia and for Rwanda and of the Special Court for Sierra Leone and UNTAET Regulation No. 2000/15 for East Timor explicitly provide for this rule in the context of non-international armed conflicts.</w:t>
      </w:r>
      <w:bookmarkStart w:id="5" w:name="refFn_28_6"/>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"Fn_28_6"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[6]</w:t>
      </w:r>
      <w:r w:rsidRPr="00530144">
        <w:rPr>
          <w:rFonts w:ascii="Times New Roman" w:eastAsia="Times New Roman" w:hAnsi="Times New Roman" w:cs="Times New Roman"/>
          <w:sz w:val="24"/>
          <w:szCs w:val="24"/>
        </w:rPr>
        <w:fldChar w:fldCharType="end"/>
      </w:r>
      <w:bookmarkEnd w:id="5"/>
      <w:r w:rsidRPr="00530144">
        <w:rPr>
          <w:rFonts w:ascii="Times New Roman" w:eastAsia="Times New Roman" w:hAnsi="Times New Roman" w:cs="Times New Roman"/>
          <w:sz w:val="24"/>
          <w:szCs w:val="24"/>
          <w:lang w:val="en-US"/>
        </w:rPr>
        <w:t>  The fact that this rule would also apply to crimes committed in non-international armed conflicts did not occasion any controversy during the negotiation of the Statute of the International Criminal Court.</w:t>
      </w:r>
      <w:r w:rsidRPr="00530144">
        <w:rPr>
          <w:rFonts w:ascii="Times New Roman" w:eastAsia="Times New Roman" w:hAnsi="Times New Roman" w:cs="Times New Roman"/>
          <w:sz w:val="24"/>
          <w:szCs w:val="24"/>
          <w:lang w:val="en-US"/>
        </w:rPr>
        <w:br/>
        <w:t xml:space="preserve">In the </w:t>
      </w:r>
      <w:r w:rsidRPr="00530144">
        <w:rPr>
          <w:rFonts w:ascii="Times New Roman" w:eastAsia="Times New Roman" w:hAnsi="Times New Roman" w:cs="Times New Roman"/>
          <w:i/>
          <w:iCs/>
          <w:sz w:val="24"/>
          <w:szCs w:val="24"/>
          <w:lang w:val="en-US"/>
        </w:rPr>
        <w:t>Hadžihasanović and Others case</w:t>
      </w:r>
      <w:r w:rsidRPr="00530144">
        <w:rPr>
          <w:rFonts w:ascii="Times New Roman" w:eastAsia="Times New Roman" w:hAnsi="Times New Roman" w:cs="Times New Roman"/>
          <w:sz w:val="24"/>
          <w:szCs w:val="24"/>
          <w:lang w:val="en-US"/>
        </w:rPr>
        <w:t>,</w:t>
      </w:r>
      <w:r w:rsidRPr="00530144">
        <w:rPr>
          <w:rFonts w:ascii="Times New Roman" w:eastAsia="Times New Roman" w:hAnsi="Times New Roman" w:cs="Times New Roman"/>
          <w:i/>
          <w:iCs/>
          <w:sz w:val="24"/>
          <w:szCs w:val="24"/>
          <w:lang w:val="en-US"/>
        </w:rPr>
        <w:t xml:space="preserve"> </w:t>
      </w:r>
      <w:r w:rsidRPr="00530144">
        <w:rPr>
          <w:rFonts w:ascii="Times New Roman" w:eastAsia="Times New Roman" w:hAnsi="Times New Roman" w:cs="Times New Roman"/>
          <w:sz w:val="24"/>
          <w:szCs w:val="24"/>
          <w:lang w:val="en-US"/>
        </w:rPr>
        <w:t>the International Criminal Tribunal for the former Yugoslavia held that the doctrine of command responsibility, as a principle of customary international law, also applies with regard to non-international armed conflicts.</w:t>
      </w:r>
      <w:bookmarkStart w:id="6" w:name="refFn_28_7"/>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"Fn_28_7"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[7]</w:t>
      </w:r>
      <w:r w:rsidRPr="00530144">
        <w:rPr>
          <w:rFonts w:ascii="Times New Roman" w:eastAsia="Times New Roman" w:hAnsi="Times New Roman" w:cs="Times New Roman"/>
          <w:sz w:val="24"/>
          <w:szCs w:val="24"/>
        </w:rPr>
        <w:fldChar w:fldCharType="end"/>
      </w:r>
      <w:bookmarkEnd w:id="6"/>
      <w:r w:rsidRPr="00530144">
        <w:rPr>
          <w:rFonts w:ascii="Times New Roman" w:eastAsia="Times New Roman" w:hAnsi="Times New Roman" w:cs="Times New Roman"/>
          <w:sz w:val="24"/>
          <w:szCs w:val="24"/>
          <w:lang w:val="en-US"/>
        </w:rPr>
        <w:t>  This rule has also been confirmed in several cases brought before the International Criminal Tribunal for Rwanda.</w:t>
      </w:r>
      <w:bookmarkStart w:id="7" w:name="refFn_28_8"/>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"Fn_28_8"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[8]</w:t>
      </w:r>
      <w:r w:rsidRPr="00530144">
        <w:rPr>
          <w:rFonts w:ascii="Times New Roman" w:eastAsia="Times New Roman" w:hAnsi="Times New Roman" w:cs="Times New Roman"/>
          <w:sz w:val="24"/>
          <w:szCs w:val="24"/>
        </w:rPr>
        <w:fldChar w:fldCharType="end"/>
      </w:r>
      <w:bookmarkEnd w:id="7"/>
      <w:r w:rsidRPr="00530144">
        <w:rPr>
          <w:rFonts w:ascii="Times New Roman" w:eastAsia="Times New Roman" w:hAnsi="Times New Roman" w:cs="Times New Roman"/>
          <w:sz w:val="24"/>
          <w:szCs w:val="24"/>
          <w:lang w:val="en-US"/>
        </w:rPr>
        <w:t> </w:t>
      </w:r>
      <w:r w:rsidRPr="00530144">
        <w:rPr>
          <w:rFonts w:ascii="Times New Roman" w:eastAsia="Times New Roman" w:hAnsi="Times New Roman" w:cs="Times New Roman"/>
          <w:sz w:val="24"/>
          <w:szCs w:val="24"/>
          <w:lang w:val="en-US"/>
        </w:rPr>
        <w:br/>
        <w:t xml:space="preserve">There is national case-law applying this rule to situations outside international armed conflicts. A US Federal Court in Florida applied it in the </w:t>
      </w:r>
      <w:r w:rsidRPr="00530144">
        <w:rPr>
          <w:rFonts w:ascii="Times New Roman" w:eastAsia="Times New Roman" w:hAnsi="Times New Roman" w:cs="Times New Roman"/>
          <w:i/>
          <w:iCs/>
          <w:sz w:val="24"/>
          <w:szCs w:val="24"/>
          <w:lang w:val="en-US"/>
        </w:rPr>
        <w:t>Ford v. García case</w:t>
      </w:r>
      <w:r w:rsidRPr="00530144">
        <w:rPr>
          <w:rFonts w:ascii="Times New Roman" w:eastAsia="Times New Roman" w:hAnsi="Times New Roman" w:cs="Times New Roman"/>
          <w:sz w:val="24"/>
          <w:szCs w:val="24"/>
          <w:lang w:val="en-US"/>
        </w:rPr>
        <w:t xml:space="preserve"> in 2000, which concerned a civil lawsuit dealing with acts of extra-judicial killing and torture committed in El Salvador.</w:t>
      </w:r>
      <w:bookmarkStart w:id="8" w:name="refFn_28_9"/>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"Fn_28_9"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[9]</w:t>
      </w:r>
      <w:r w:rsidRPr="00530144">
        <w:rPr>
          <w:rFonts w:ascii="Times New Roman" w:eastAsia="Times New Roman" w:hAnsi="Times New Roman" w:cs="Times New Roman"/>
          <w:sz w:val="24"/>
          <w:szCs w:val="24"/>
        </w:rPr>
        <w:fldChar w:fldCharType="end"/>
      </w:r>
      <w:bookmarkEnd w:id="8"/>
      <w:r w:rsidRPr="00530144">
        <w:rPr>
          <w:rFonts w:ascii="Times New Roman" w:eastAsia="Times New Roman" w:hAnsi="Times New Roman" w:cs="Times New Roman"/>
          <w:sz w:val="24"/>
          <w:szCs w:val="24"/>
          <w:lang w:val="en-US"/>
        </w:rPr>
        <w:t xml:space="preserve">  The Ad Hoc Tribunal on Human Rights for East Timor </w:t>
      </w:r>
      <w:r w:rsidRPr="00530144">
        <w:rPr>
          <w:rFonts w:ascii="Times New Roman" w:eastAsia="Times New Roman" w:hAnsi="Times New Roman" w:cs="Times New Roman"/>
          <w:sz w:val="24"/>
          <w:szCs w:val="24"/>
          <w:lang w:val="en-US"/>
        </w:rPr>
        <w:lastRenderedPageBreak/>
        <w:t xml:space="preserve">applied it in the </w:t>
      </w:r>
      <w:r w:rsidRPr="00530144">
        <w:rPr>
          <w:rFonts w:ascii="Times New Roman" w:eastAsia="Times New Roman" w:hAnsi="Times New Roman" w:cs="Times New Roman"/>
          <w:i/>
          <w:iCs/>
          <w:sz w:val="24"/>
          <w:szCs w:val="24"/>
          <w:lang w:val="en-US"/>
        </w:rPr>
        <w:t>Abilio Soares case</w:t>
      </w:r>
      <w:r w:rsidRPr="00530144">
        <w:rPr>
          <w:rFonts w:ascii="Times New Roman" w:eastAsia="Times New Roman" w:hAnsi="Times New Roman" w:cs="Times New Roman"/>
          <w:sz w:val="24"/>
          <w:szCs w:val="24"/>
          <w:lang w:val="en-US"/>
        </w:rPr>
        <w:t xml:space="preserve"> in 2002 in which the Tribunal considered that the conflict in East Timor was an internal one within the meaning of common Article 3 of the Geneva Conventions.</w:t>
      </w:r>
      <w:bookmarkStart w:id="9" w:name="refFn_28_10"/>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"Fn_28_10"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[10]</w:t>
      </w:r>
      <w:r w:rsidRPr="00530144">
        <w:rPr>
          <w:rFonts w:ascii="Times New Roman" w:eastAsia="Times New Roman" w:hAnsi="Times New Roman" w:cs="Times New Roman"/>
          <w:sz w:val="24"/>
          <w:szCs w:val="24"/>
        </w:rPr>
        <w:fldChar w:fldCharType="end"/>
      </w:r>
      <w:bookmarkEnd w:id="9"/>
      <w:r w:rsidRPr="00530144">
        <w:rPr>
          <w:rFonts w:ascii="Times New Roman" w:eastAsia="Times New Roman" w:hAnsi="Times New Roman" w:cs="Times New Roman"/>
          <w:sz w:val="24"/>
          <w:szCs w:val="24"/>
          <w:lang w:val="en-US"/>
        </w:rPr>
        <w:t xml:space="preserve">  In the </w:t>
      </w:r>
      <w:r w:rsidRPr="00530144">
        <w:rPr>
          <w:rFonts w:ascii="Times New Roman" w:eastAsia="Times New Roman" w:hAnsi="Times New Roman" w:cs="Times New Roman"/>
          <w:i/>
          <w:iCs/>
          <w:sz w:val="24"/>
          <w:szCs w:val="24"/>
          <w:lang w:val="en-US"/>
        </w:rPr>
        <w:t xml:space="preserve">Boland case </w:t>
      </w:r>
      <w:r w:rsidRPr="00530144">
        <w:rPr>
          <w:rFonts w:ascii="Times New Roman" w:eastAsia="Times New Roman" w:hAnsi="Times New Roman" w:cs="Times New Roman"/>
          <w:sz w:val="24"/>
          <w:szCs w:val="24"/>
          <w:lang w:val="en-US"/>
        </w:rPr>
        <w:t>in 1995, Canada’s Court Martial Appeal Court found a superior guilty of having neglected to prevent the death of a prisoner even though he had grounds to fear that his subordinate would endanger the prisoner’s life.</w:t>
      </w:r>
      <w:bookmarkStart w:id="10" w:name="refFn_28_11"/>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[11]</w:t>
      </w:r>
      <w:r w:rsidRPr="00530144">
        <w:rPr>
          <w:rFonts w:ascii="Times New Roman" w:eastAsia="Times New Roman" w:hAnsi="Times New Roman" w:cs="Times New Roman"/>
          <w:sz w:val="24"/>
          <w:szCs w:val="24"/>
        </w:rPr>
        <w:fldChar w:fldCharType="end"/>
      </w:r>
      <w:bookmarkEnd w:id="10"/>
      <w:r w:rsidRPr="00530144">
        <w:rPr>
          <w:rFonts w:ascii="Times New Roman" w:eastAsia="Times New Roman" w:hAnsi="Times New Roman" w:cs="Times New Roman"/>
          <w:sz w:val="24"/>
          <w:szCs w:val="24"/>
          <w:lang w:val="en-US"/>
        </w:rPr>
        <w:t xml:space="preserve">  In the </w:t>
      </w:r>
      <w:r w:rsidRPr="00530144">
        <w:rPr>
          <w:rFonts w:ascii="Times New Roman" w:eastAsia="Times New Roman" w:hAnsi="Times New Roman" w:cs="Times New Roman"/>
          <w:i/>
          <w:iCs/>
          <w:sz w:val="24"/>
          <w:szCs w:val="24"/>
          <w:lang w:val="en-US"/>
        </w:rPr>
        <w:t>Military Junta case</w:t>
      </w:r>
      <w:r w:rsidRPr="00530144">
        <w:rPr>
          <w:rFonts w:ascii="Times New Roman" w:eastAsia="Times New Roman" w:hAnsi="Times New Roman" w:cs="Times New Roman"/>
          <w:sz w:val="24"/>
          <w:szCs w:val="24"/>
          <w:lang w:val="en-US"/>
        </w:rPr>
        <w:t>, Argentina’s Court of Appeal based its judgment on the failure of commanders to punish perpetrators of torture and extra-judicial killings.</w:t>
      </w:r>
      <w:bookmarkStart w:id="11" w:name="refFn_28_12"/>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[12]</w:t>
      </w:r>
      <w:r w:rsidRPr="00530144">
        <w:rPr>
          <w:rFonts w:ascii="Times New Roman" w:eastAsia="Times New Roman" w:hAnsi="Times New Roman" w:cs="Times New Roman"/>
          <w:sz w:val="24"/>
          <w:szCs w:val="24"/>
        </w:rPr>
        <w:fldChar w:fldCharType="end"/>
      </w:r>
      <w:bookmarkEnd w:id="11"/>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sz w:val="24"/>
          <w:szCs w:val="24"/>
          <w:lang w:val="en-US"/>
        </w:rPr>
        <w:br/>
        <w:t>Other practice to this effect includes the report of the UN Commission on the Truth for El Salvador in 1993, which pointed out that the judicial instances failed to take steps to determine the criminal responsibility of the superiors of persons guilty of arbitrary killings.</w:t>
      </w:r>
      <w:bookmarkStart w:id="12" w:name="refFn_28_13"/>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"Fn_28_13" </w:instrText>
      </w:r>
      <w:r w:rsidRPr="00530144">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[13]</w:t>
      </w:r>
      <w:r w:rsidRPr="00530144">
        <w:rPr>
          <w:rFonts w:ascii="Times New Roman" w:eastAsia="Times New Roman" w:hAnsi="Times New Roman" w:cs="Times New Roman"/>
          <w:sz w:val="24"/>
          <w:szCs w:val="24"/>
        </w:rPr>
        <w:fldChar w:fldCharType="end"/>
      </w:r>
      <w:bookmarkEnd w:id="12"/>
      <w:r w:rsidRPr="006155D3">
        <w:rPr>
          <w:rFonts w:ascii="Times New Roman" w:eastAsia="Times New Roman" w:hAnsi="Times New Roman" w:cs="Times New Roman"/>
          <w:sz w:val="24"/>
          <w:szCs w:val="24"/>
          <w:lang w:val="en-US"/>
        </w:rPr>
        <w:t> </w:t>
      </w:r>
    </w:p>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Interpretation</w:t>
      </w:r>
    </w:p>
    <w:p w:rsidR="00530144" w:rsidRPr="00530144" w:rsidRDefault="00530144" w:rsidP="00530144">
      <w:pPr>
        <w:spacing w:after="24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lang w:val="en-US"/>
        </w:rPr>
        <w:t>This rule has been interpreted in case-law following the Second World War and also in the case-law of the International Criminal Tribunals for the former Yugoslavia and for Rwanda. This includes, but is not limited to, the following points:</w:t>
      </w:r>
      <w:r w:rsidRPr="00530144">
        <w:rPr>
          <w:rFonts w:ascii="Times New Roman" w:eastAsia="Times New Roman" w:hAnsi="Times New Roman" w:cs="Times New Roman"/>
          <w:sz w:val="24"/>
          <w:szCs w:val="24"/>
          <w:lang w:val="en-US"/>
        </w:rPr>
        <w:br/>
      </w:r>
      <w:r w:rsidRPr="00530144">
        <w:rPr>
          <w:rFonts w:ascii="Times New Roman" w:eastAsia="Times New Roman" w:hAnsi="Times New Roman" w:cs="Times New Roman"/>
          <w:i/>
          <w:iCs/>
          <w:sz w:val="24"/>
          <w:szCs w:val="24"/>
          <w:lang w:val="en-US"/>
        </w:rPr>
        <w:t xml:space="preserve">(i) Civilian command authority. </w:t>
      </w:r>
      <w:r w:rsidRPr="00530144">
        <w:rPr>
          <w:rFonts w:ascii="Times New Roman" w:eastAsia="Times New Roman" w:hAnsi="Times New Roman" w:cs="Times New Roman"/>
          <w:sz w:val="24"/>
          <w:szCs w:val="24"/>
          <w:lang w:val="en-US"/>
        </w:rPr>
        <w:t xml:space="preserve">Not only military personnel but also civilians can be liable for war crimes on the basis of command responsibility. The International Criminal Tribunal for Rwanda, in the </w:t>
      </w:r>
      <w:r w:rsidRPr="00530144">
        <w:rPr>
          <w:rFonts w:ascii="Times New Roman" w:eastAsia="Times New Roman" w:hAnsi="Times New Roman" w:cs="Times New Roman"/>
          <w:i/>
          <w:iCs/>
          <w:sz w:val="24"/>
          <w:szCs w:val="24"/>
          <w:lang w:val="en-US"/>
        </w:rPr>
        <w:t>Akayesu case</w:t>
      </w:r>
      <w:r w:rsidRPr="00530144">
        <w:rPr>
          <w:rFonts w:ascii="Times New Roman" w:eastAsia="Times New Roman" w:hAnsi="Times New Roman" w:cs="Times New Roman"/>
          <w:sz w:val="24"/>
          <w:szCs w:val="24"/>
          <w:lang w:val="en-US"/>
        </w:rPr>
        <w:t xml:space="preserve"> in 1998 and in the </w:t>
      </w:r>
      <w:r w:rsidRPr="00530144">
        <w:rPr>
          <w:rFonts w:ascii="Times New Roman" w:eastAsia="Times New Roman" w:hAnsi="Times New Roman" w:cs="Times New Roman"/>
          <w:i/>
          <w:iCs/>
          <w:sz w:val="24"/>
          <w:szCs w:val="24"/>
          <w:lang w:val="en-US"/>
        </w:rPr>
        <w:t>Kayishema and Ruzindana case</w:t>
      </w:r>
      <w:r w:rsidRPr="00530144">
        <w:rPr>
          <w:rFonts w:ascii="Times New Roman" w:eastAsia="Times New Roman" w:hAnsi="Times New Roman" w:cs="Times New Roman"/>
          <w:sz w:val="24"/>
          <w:szCs w:val="24"/>
          <w:lang w:val="en-US"/>
        </w:rPr>
        <w:t xml:space="preserve"> in 1999, and the International Criminal Tribunal for the former Yugoslavia, in the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xml:space="preserve"> in 1998, have adopted this principle.</w:t>
      </w:r>
      <w:bookmarkStart w:id="13" w:name="refFn_28_14"/>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[14]</w:t>
      </w:r>
      <w:r w:rsidRPr="00530144">
        <w:rPr>
          <w:rFonts w:ascii="Times New Roman" w:eastAsia="Times New Roman" w:hAnsi="Times New Roman" w:cs="Times New Roman"/>
          <w:sz w:val="24"/>
          <w:szCs w:val="24"/>
        </w:rPr>
        <w:fldChar w:fldCharType="end"/>
      </w:r>
      <w:bookmarkEnd w:id="13"/>
      <w:r w:rsidRPr="00530144">
        <w:rPr>
          <w:rFonts w:ascii="Times New Roman" w:eastAsia="Times New Roman" w:hAnsi="Times New Roman" w:cs="Times New Roman"/>
          <w:sz w:val="24"/>
          <w:szCs w:val="24"/>
          <w:lang w:val="en-US"/>
        </w:rPr>
        <w:t>  It is also contained in the Statute of the International Criminal Court.</w:t>
      </w:r>
      <w:bookmarkStart w:id="14" w:name="refFn_28_15"/>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"Fn_28_15"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[15]</w:t>
      </w:r>
      <w:r w:rsidRPr="00530144">
        <w:rPr>
          <w:rFonts w:ascii="Times New Roman" w:eastAsia="Times New Roman" w:hAnsi="Times New Roman" w:cs="Times New Roman"/>
          <w:sz w:val="24"/>
          <w:szCs w:val="24"/>
        </w:rPr>
        <w:fldChar w:fldCharType="end"/>
      </w:r>
      <w:bookmarkEnd w:id="14"/>
      <w:r w:rsidRPr="00530144">
        <w:rPr>
          <w:rFonts w:ascii="Times New Roman" w:eastAsia="Times New Roman" w:hAnsi="Times New Roman" w:cs="Times New Roman"/>
          <w:sz w:val="24"/>
          <w:szCs w:val="24"/>
          <w:lang w:val="en-US"/>
        </w:rPr>
        <w:t>  The Statutes of the International Criminal Tribunals for the former Yugoslavia and for Rwanda and of the Special Court for Sierra Leone refer in general terms to a “superior,</w:t>
      </w:r>
      <w:bookmarkStart w:id="15" w:name="refFn_28_16"/>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"Fn_28_16"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[16]</w:t>
      </w:r>
      <w:r w:rsidRPr="00530144">
        <w:rPr>
          <w:rFonts w:ascii="Times New Roman" w:eastAsia="Times New Roman" w:hAnsi="Times New Roman" w:cs="Times New Roman"/>
          <w:sz w:val="24"/>
          <w:szCs w:val="24"/>
        </w:rPr>
        <w:fldChar w:fldCharType="end"/>
      </w:r>
      <w:bookmarkEnd w:id="15"/>
      <w:r w:rsidRPr="00530144">
        <w:rPr>
          <w:rFonts w:ascii="Times New Roman" w:eastAsia="Times New Roman" w:hAnsi="Times New Roman" w:cs="Times New Roman"/>
          <w:sz w:val="24"/>
          <w:szCs w:val="24"/>
          <w:lang w:val="en-US"/>
        </w:rPr>
        <w:t>  as do many military manuals and national legislation.</w:t>
      </w:r>
      <w:bookmarkStart w:id="16" w:name="refFn_28_17"/>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"Fn_28_17"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[17]</w:t>
      </w:r>
      <w:r w:rsidRPr="00530144">
        <w:rPr>
          <w:rFonts w:ascii="Times New Roman" w:eastAsia="Times New Roman" w:hAnsi="Times New Roman" w:cs="Times New Roman"/>
          <w:sz w:val="24"/>
          <w:szCs w:val="24"/>
        </w:rPr>
        <w:fldChar w:fldCharType="end"/>
      </w:r>
      <w:bookmarkEnd w:id="16"/>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sz w:val="24"/>
          <w:szCs w:val="24"/>
          <w:lang w:val="en-US"/>
        </w:rPr>
        <w:br/>
      </w:r>
      <w:r w:rsidRPr="00530144">
        <w:rPr>
          <w:rFonts w:ascii="Times New Roman" w:eastAsia="Times New Roman" w:hAnsi="Times New Roman" w:cs="Times New Roman"/>
          <w:i/>
          <w:iCs/>
          <w:sz w:val="24"/>
          <w:szCs w:val="24"/>
          <w:lang w:val="en-US"/>
        </w:rPr>
        <w:t>(ii) Commander/subordinate relationship.</w:t>
      </w:r>
      <w:r w:rsidRPr="00530144">
        <w:rPr>
          <w:rFonts w:ascii="Times New Roman" w:eastAsia="Times New Roman" w:hAnsi="Times New Roman" w:cs="Times New Roman"/>
          <w:sz w:val="24"/>
          <w:szCs w:val="24"/>
          <w:lang w:val="en-US"/>
        </w:rPr>
        <w:t xml:space="preserve"> The relationship between the commander and the subordinate does not necessarily need to be a direct </w:t>
      </w:r>
      <w:r w:rsidRPr="00530144">
        <w:rPr>
          <w:rFonts w:ascii="Times New Roman" w:eastAsia="Times New Roman" w:hAnsi="Times New Roman" w:cs="Times New Roman"/>
          <w:i/>
          <w:iCs/>
          <w:sz w:val="24"/>
          <w:szCs w:val="24"/>
          <w:lang w:val="en-US"/>
        </w:rPr>
        <w:t>de jure</w:t>
      </w:r>
      <w:r w:rsidRPr="00530144">
        <w:rPr>
          <w:rFonts w:ascii="Times New Roman" w:eastAsia="Times New Roman" w:hAnsi="Times New Roman" w:cs="Times New Roman"/>
          <w:sz w:val="24"/>
          <w:szCs w:val="24"/>
          <w:lang w:val="en-US"/>
        </w:rPr>
        <w:t xml:space="preserve"> one. </w:t>
      </w:r>
      <w:r w:rsidRPr="00530144">
        <w:rPr>
          <w:rFonts w:ascii="Times New Roman" w:eastAsia="Times New Roman" w:hAnsi="Times New Roman" w:cs="Times New Roman"/>
          <w:i/>
          <w:iCs/>
          <w:sz w:val="24"/>
          <w:szCs w:val="24"/>
          <w:lang w:val="en-US"/>
        </w:rPr>
        <w:t>De facto</w:t>
      </w:r>
      <w:r w:rsidRPr="00530144">
        <w:rPr>
          <w:rFonts w:ascii="Times New Roman" w:eastAsia="Times New Roman" w:hAnsi="Times New Roman" w:cs="Times New Roman"/>
          <w:sz w:val="24"/>
          <w:szCs w:val="24"/>
          <w:lang w:val="en-US"/>
        </w:rPr>
        <w:t xml:space="preserve"> command responsibility is sufficient to occasion liability of the commander. This principle is recognized in various judgments of the International Criminal Tribunals for the former Yugoslavia and for Rwanda.</w:t>
      </w:r>
      <w:bookmarkStart w:id="17" w:name="refFn_28_18"/>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"Fn_28_18"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[18]</w:t>
      </w:r>
      <w:r w:rsidRPr="00530144">
        <w:rPr>
          <w:rFonts w:ascii="Times New Roman" w:eastAsia="Times New Roman" w:hAnsi="Times New Roman" w:cs="Times New Roman"/>
          <w:sz w:val="24"/>
          <w:szCs w:val="24"/>
        </w:rPr>
        <w:fldChar w:fldCharType="end"/>
      </w:r>
      <w:bookmarkEnd w:id="17"/>
      <w:r w:rsidRPr="00530144">
        <w:rPr>
          <w:rFonts w:ascii="Times New Roman" w:eastAsia="Times New Roman" w:hAnsi="Times New Roman" w:cs="Times New Roman"/>
          <w:sz w:val="24"/>
          <w:szCs w:val="24"/>
          <w:lang w:val="en-US"/>
        </w:rPr>
        <w:t>  The Tribunals identified the actual possession of control over the actions of subordinates, in the sense of material ability to prevent and punish the commission of crimes, as the crucial criterion.</w:t>
      </w:r>
      <w:bookmarkStart w:id="18" w:name="refFn_28_19"/>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"Fn_28_19"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[19]</w:t>
      </w:r>
      <w:r w:rsidRPr="00530144">
        <w:rPr>
          <w:rFonts w:ascii="Times New Roman" w:eastAsia="Times New Roman" w:hAnsi="Times New Roman" w:cs="Times New Roman"/>
          <w:sz w:val="24"/>
          <w:szCs w:val="24"/>
        </w:rPr>
        <w:fldChar w:fldCharType="end"/>
      </w:r>
      <w:bookmarkEnd w:id="18"/>
      <w:r w:rsidRPr="00530144">
        <w:rPr>
          <w:rFonts w:ascii="Times New Roman" w:eastAsia="Times New Roman" w:hAnsi="Times New Roman" w:cs="Times New Roman"/>
          <w:sz w:val="24"/>
          <w:szCs w:val="24"/>
          <w:lang w:val="en-US"/>
        </w:rPr>
        <w:t>  The same idea is reflected in Article 28 of the Statute of the International Criminal Court.</w:t>
      </w:r>
      <w:bookmarkStart w:id="19" w:name="refFn_28_20"/>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"Fn_28_20"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[20]</w:t>
      </w:r>
      <w:r w:rsidRPr="00530144">
        <w:rPr>
          <w:rFonts w:ascii="Times New Roman" w:eastAsia="Times New Roman" w:hAnsi="Times New Roman" w:cs="Times New Roman"/>
          <w:sz w:val="24"/>
          <w:szCs w:val="24"/>
        </w:rPr>
        <w:fldChar w:fldCharType="end"/>
      </w:r>
      <w:bookmarkEnd w:id="19"/>
      <w:r w:rsidRPr="00530144">
        <w:rPr>
          <w:rFonts w:ascii="Times New Roman" w:eastAsia="Times New Roman" w:hAnsi="Times New Roman" w:cs="Times New Roman"/>
          <w:sz w:val="24"/>
          <w:szCs w:val="24"/>
          <w:lang w:val="en-US"/>
        </w:rPr>
        <w:t> </w:t>
      </w:r>
      <w:r w:rsidRPr="00530144">
        <w:rPr>
          <w:rFonts w:ascii="Times New Roman" w:eastAsia="Times New Roman" w:hAnsi="Times New Roman" w:cs="Times New Roman"/>
          <w:sz w:val="24"/>
          <w:szCs w:val="24"/>
          <w:lang w:val="en-US"/>
        </w:rPr>
        <w:br/>
      </w:r>
      <w:r w:rsidRPr="00530144">
        <w:rPr>
          <w:rFonts w:ascii="Times New Roman" w:eastAsia="Times New Roman" w:hAnsi="Times New Roman" w:cs="Times New Roman"/>
          <w:i/>
          <w:iCs/>
          <w:sz w:val="24"/>
          <w:szCs w:val="24"/>
          <w:lang w:val="en-US"/>
        </w:rPr>
        <w:t>(iii) The commander/superior knew, or had reason to know.</w:t>
      </w:r>
      <w:r w:rsidRPr="00530144">
        <w:rPr>
          <w:rFonts w:ascii="Times New Roman" w:eastAsia="Times New Roman" w:hAnsi="Times New Roman" w:cs="Times New Roman"/>
          <w:sz w:val="24"/>
          <w:szCs w:val="24"/>
          <w:lang w:val="en-US"/>
        </w:rPr>
        <w:t xml:space="preserve"> Practice confirms that command responsibility is not limited to situations where the commander/superior has actual knowledge of the crimes committed or about to be committed by his or her subordinates, but that constructive knowledge is sufficient. The latter idea is expressed in various sources with slightly different formulations: “had reason to know”,</w:t>
      </w:r>
      <w:bookmarkStart w:id="20" w:name="refFn_28_21"/>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[21]</w:t>
      </w:r>
      <w:r w:rsidRPr="00530144">
        <w:rPr>
          <w:rFonts w:ascii="Times New Roman" w:eastAsia="Times New Roman" w:hAnsi="Times New Roman" w:cs="Times New Roman"/>
          <w:sz w:val="24"/>
          <w:szCs w:val="24"/>
        </w:rPr>
        <w:fldChar w:fldCharType="end"/>
      </w:r>
      <w:bookmarkEnd w:id="20"/>
      <w:r w:rsidRPr="00530144">
        <w:rPr>
          <w:rFonts w:ascii="Times New Roman" w:eastAsia="Times New Roman" w:hAnsi="Times New Roman" w:cs="Times New Roman"/>
          <w:sz w:val="24"/>
          <w:szCs w:val="24"/>
          <w:lang w:val="en-US"/>
        </w:rPr>
        <w:t>  “had information which should have enabled [the commander/superior] to conclude in the circumstances at the time”,</w:t>
      </w:r>
      <w:bookmarkStart w:id="21" w:name="refFn_28_22"/>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[22]</w:t>
      </w:r>
      <w:r w:rsidRPr="00530144">
        <w:rPr>
          <w:rFonts w:ascii="Times New Roman" w:eastAsia="Times New Roman" w:hAnsi="Times New Roman" w:cs="Times New Roman"/>
          <w:sz w:val="24"/>
          <w:szCs w:val="24"/>
        </w:rPr>
        <w:fldChar w:fldCharType="end"/>
      </w:r>
      <w:bookmarkEnd w:id="21"/>
      <w:r w:rsidRPr="00530144">
        <w:rPr>
          <w:rFonts w:ascii="Times New Roman" w:eastAsia="Times New Roman" w:hAnsi="Times New Roman" w:cs="Times New Roman"/>
          <w:sz w:val="24"/>
          <w:szCs w:val="24"/>
          <w:lang w:val="en-US"/>
        </w:rPr>
        <w:t>  the commander/superior “(owing to the circumstances at the time,) should have known”,</w:t>
      </w:r>
      <w:bookmarkStart w:id="22" w:name="refFn_28_23"/>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[23]</w:t>
      </w:r>
      <w:r w:rsidRPr="00530144">
        <w:rPr>
          <w:rFonts w:ascii="Times New Roman" w:eastAsia="Times New Roman" w:hAnsi="Times New Roman" w:cs="Times New Roman"/>
          <w:sz w:val="24"/>
          <w:szCs w:val="24"/>
        </w:rPr>
        <w:fldChar w:fldCharType="end"/>
      </w:r>
      <w:bookmarkEnd w:id="22"/>
      <w:r w:rsidRPr="00530144">
        <w:rPr>
          <w:rFonts w:ascii="Times New Roman" w:eastAsia="Times New Roman" w:hAnsi="Times New Roman" w:cs="Times New Roman"/>
          <w:sz w:val="24"/>
          <w:szCs w:val="24"/>
          <w:lang w:val="en-US"/>
        </w:rPr>
        <w:t>  the commander/superior was “at fault in having failed to acquire such knowledge”,</w:t>
      </w:r>
      <w:bookmarkStart w:id="23" w:name="refFn_28_24"/>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[24]</w:t>
      </w:r>
      <w:r w:rsidRPr="00530144">
        <w:rPr>
          <w:rFonts w:ascii="Times New Roman" w:eastAsia="Times New Roman" w:hAnsi="Times New Roman" w:cs="Times New Roman"/>
          <w:sz w:val="24"/>
          <w:szCs w:val="24"/>
        </w:rPr>
        <w:fldChar w:fldCharType="end"/>
      </w:r>
      <w:bookmarkEnd w:id="23"/>
      <w:r w:rsidRPr="00530144">
        <w:rPr>
          <w:rFonts w:ascii="Times New Roman" w:eastAsia="Times New Roman" w:hAnsi="Times New Roman" w:cs="Times New Roman"/>
          <w:sz w:val="24"/>
          <w:szCs w:val="24"/>
          <w:lang w:val="en-US"/>
        </w:rPr>
        <w:t>  and the commander/superior was “criminally negligent in failing to know”.</w:t>
      </w:r>
      <w:bookmarkStart w:id="24" w:name="refFn_28_25"/>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"Fn_28_25"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[25]</w:t>
      </w:r>
      <w:r w:rsidRPr="00530144">
        <w:rPr>
          <w:rFonts w:ascii="Times New Roman" w:eastAsia="Times New Roman" w:hAnsi="Times New Roman" w:cs="Times New Roman"/>
          <w:sz w:val="24"/>
          <w:szCs w:val="24"/>
        </w:rPr>
        <w:fldChar w:fldCharType="end"/>
      </w:r>
      <w:bookmarkEnd w:id="24"/>
      <w:r w:rsidRPr="00530144">
        <w:rPr>
          <w:rFonts w:ascii="Times New Roman" w:eastAsia="Times New Roman" w:hAnsi="Times New Roman" w:cs="Times New Roman"/>
          <w:sz w:val="24"/>
          <w:szCs w:val="24"/>
          <w:lang w:val="en-US"/>
        </w:rPr>
        <w:t>  These formulations essentially cover the concept of constructive knowledge.</w:t>
      </w:r>
      <w:r w:rsidRPr="00530144">
        <w:rPr>
          <w:rFonts w:ascii="Times New Roman" w:eastAsia="Times New Roman" w:hAnsi="Times New Roman" w:cs="Times New Roman"/>
          <w:sz w:val="24"/>
          <w:szCs w:val="24"/>
          <w:lang w:val="en-US"/>
        </w:rPr>
        <w:br/>
        <w:t>For superiors other than military commanders, the Statute of the International Criminal Court uses the language: “consciously disregarded information which clearly indicated”.</w:t>
      </w:r>
      <w:bookmarkStart w:id="25" w:name="refFn_28_26"/>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"Fn_28_26"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[26]</w:t>
      </w:r>
      <w:r w:rsidRPr="00530144">
        <w:rPr>
          <w:rFonts w:ascii="Times New Roman" w:eastAsia="Times New Roman" w:hAnsi="Times New Roman" w:cs="Times New Roman"/>
          <w:sz w:val="24"/>
          <w:szCs w:val="24"/>
        </w:rPr>
        <w:fldChar w:fldCharType="end"/>
      </w:r>
      <w:bookmarkEnd w:id="25"/>
      <w:r w:rsidRPr="00530144">
        <w:rPr>
          <w:rFonts w:ascii="Times New Roman" w:eastAsia="Times New Roman" w:hAnsi="Times New Roman" w:cs="Times New Roman"/>
          <w:sz w:val="24"/>
          <w:szCs w:val="24"/>
          <w:lang w:val="en-US"/>
        </w:rPr>
        <w:t xml:space="preserve">  This standard was used by the International Criminal Tribunal for Rwanda in the </w:t>
      </w:r>
      <w:r w:rsidRPr="00530144">
        <w:rPr>
          <w:rFonts w:ascii="Times New Roman" w:eastAsia="Times New Roman" w:hAnsi="Times New Roman" w:cs="Times New Roman"/>
          <w:i/>
          <w:iCs/>
          <w:sz w:val="24"/>
          <w:szCs w:val="24"/>
          <w:lang w:val="en-US"/>
        </w:rPr>
        <w:t>Kayishema and Ruzindana case</w:t>
      </w:r>
      <w:r w:rsidRPr="00530144">
        <w:rPr>
          <w:rFonts w:ascii="Times New Roman" w:eastAsia="Times New Roman" w:hAnsi="Times New Roman" w:cs="Times New Roman"/>
          <w:sz w:val="24"/>
          <w:szCs w:val="24"/>
          <w:lang w:val="en-US"/>
        </w:rPr>
        <w:t xml:space="preserve"> in 1999 to delineate the meaning of “had reason to know” for non-military commanders.</w:t>
      </w:r>
      <w:bookmarkStart w:id="26" w:name="refFn_28_27"/>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"Fn_28_27"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[27]</w:t>
      </w:r>
      <w:r w:rsidRPr="00530144">
        <w:rPr>
          <w:rFonts w:ascii="Times New Roman" w:eastAsia="Times New Roman" w:hAnsi="Times New Roman" w:cs="Times New Roman"/>
          <w:sz w:val="24"/>
          <w:szCs w:val="24"/>
        </w:rPr>
        <w:fldChar w:fldCharType="end"/>
      </w:r>
      <w:bookmarkEnd w:id="26"/>
      <w:r w:rsidRPr="00530144">
        <w:rPr>
          <w:rFonts w:ascii="Times New Roman" w:eastAsia="Times New Roman" w:hAnsi="Times New Roman" w:cs="Times New Roman"/>
          <w:sz w:val="24"/>
          <w:szCs w:val="24"/>
          <w:lang w:val="en-US"/>
        </w:rPr>
        <w:t> </w:t>
      </w:r>
      <w:r w:rsidRPr="00530144">
        <w:rPr>
          <w:rFonts w:ascii="Times New Roman" w:eastAsia="Times New Roman" w:hAnsi="Times New Roman" w:cs="Times New Roman"/>
          <w:sz w:val="24"/>
          <w:szCs w:val="24"/>
          <w:lang w:val="en-US"/>
        </w:rPr>
        <w:br/>
      </w:r>
      <w:r w:rsidRPr="00530144">
        <w:rPr>
          <w:rFonts w:ascii="Times New Roman" w:eastAsia="Times New Roman" w:hAnsi="Times New Roman" w:cs="Times New Roman"/>
          <w:i/>
          <w:iCs/>
          <w:sz w:val="24"/>
          <w:szCs w:val="24"/>
          <w:lang w:val="en-US"/>
        </w:rPr>
        <w:t>(iv) Investigation and reporting.</w:t>
      </w:r>
      <w:r w:rsidRPr="00530144">
        <w:rPr>
          <w:rFonts w:ascii="Times New Roman" w:eastAsia="Times New Roman" w:hAnsi="Times New Roman" w:cs="Times New Roman"/>
          <w:sz w:val="24"/>
          <w:szCs w:val="24"/>
          <w:lang w:val="en-US"/>
        </w:rPr>
        <w:t xml:space="preserve"> Failure to punish subordinates who commit war crimes </w:t>
      </w:r>
      <w:r w:rsidRPr="00530144">
        <w:rPr>
          <w:rFonts w:ascii="Times New Roman" w:eastAsia="Times New Roman" w:hAnsi="Times New Roman" w:cs="Times New Roman"/>
          <w:sz w:val="24"/>
          <w:szCs w:val="24"/>
          <w:lang w:val="en-US"/>
        </w:rPr>
        <w:lastRenderedPageBreak/>
        <w:t xml:space="preserve">can result from a failure to </w:t>
      </w:r>
      <w:r w:rsidRPr="00530144">
        <w:rPr>
          <w:rFonts w:ascii="Times New Roman" w:eastAsia="Times New Roman" w:hAnsi="Times New Roman" w:cs="Times New Roman"/>
          <w:i/>
          <w:iCs/>
          <w:sz w:val="24"/>
          <w:szCs w:val="24"/>
          <w:lang w:val="en-US"/>
        </w:rPr>
        <w:t>investigate</w:t>
      </w:r>
      <w:r w:rsidRPr="00530144">
        <w:rPr>
          <w:rFonts w:ascii="Times New Roman" w:eastAsia="Times New Roman" w:hAnsi="Times New Roman" w:cs="Times New Roman"/>
          <w:sz w:val="24"/>
          <w:szCs w:val="24"/>
          <w:lang w:val="en-US"/>
        </w:rPr>
        <w:t xml:space="preserve"> possible crimes and/or failure to </w:t>
      </w:r>
      <w:r w:rsidRPr="00530144">
        <w:rPr>
          <w:rFonts w:ascii="Times New Roman" w:eastAsia="Times New Roman" w:hAnsi="Times New Roman" w:cs="Times New Roman"/>
          <w:i/>
          <w:iCs/>
          <w:sz w:val="24"/>
          <w:szCs w:val="24"/>
          <w:lang w:val="en-US"/>
        </w:rPr>
        <w:t>report</w:t>
      </w:r>
      <w:r w:rsidRPr="00530144">
        <w:rPr>
          <w:rFonts w:ascii="Times New Roman" w:eastAsia="Times New Roman" w:hAnsi="Times New Roman" w:cs="Times New Roman"/>
          <w:sz w:val="24"/>
          <w:szCs w:val="24"/>
          <w:lang w:val="en-US"/>
        </w:rPr>
        <w:t xml:space="preserve"> allegations of war crimes to higher authorities. This is set forth in Additional Protocol I and in the Statute of the International Criminal Court.</w:t>
      </w:r>
      <w:bookmarkStart w:id="27" w:name="refFn_28_28"/>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"Fn_28_28"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[28]</w:t>
      </w:r>
      <w:r w:rsidRPr="00530144">
        <w:rPr>
          <w:rFonts w:ascii="Times New Roman" w:eastAsia="Times New Roman" w:hAnsi="Times New Roman" w:cs="Times New Roman"/>
          <w:sz w:val="24"/>
          <w:szCs w:val="24"/>
        </w:rPr>
        <w:fldChar w:fldCharType="end"/>
      </w:r>
      <w:bookmarkEnd w:id="27"/>
      <w:r w:rsidRPr="00530144">
        <w:rPr>
          <w:rFonts w:ascii="Times New Roman" w:eastAsia="Times New Roman" w:hAnsi="Times New Roman" w:cs="Times New Roman"/>
          <w:sz w:val="24"/>
          <w:szCs w:val="24"/>
          <w:lang w:val="en-US"/>
        </w:rPr>
        <w:t>  It is also the standard in many military manuals, national legislation, national case-law and other practice.</w:t>
      </w:r>
      <w:bookmarkStart w:id="28" w:name="refFn_28_29"/>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"Fn_28_29"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[29]</w:t>
      </w:r>
      <w:r w:rsidRPr="00530144">
        <w:rPr>
          <w:rFonts w:ascii="Times New Roman" w:eastAsia="Times New Roman" w:hAnsi="Times New Roman" w:cs="Times New Roman"/>
          <w:sz w:val="24"/>
          <w:szCs w:val="24"/>
        </w:rPr>
        <w:fldChar w:fldCharType="end"/>
      </w:r>
      <w:bookmarkEnd w:id="28"/>
      <w:r w:rsidRPr="00530144">
        <w:rPr>
          <w:rFonts w:ascii="Times New Roman" w:eastAsia="Times New Roman" w:hAnsi="Times New Roman" w:cs="Times New Roman"/>
          <w:sz w:val="24"/>
          <w:szCs w:val="24"/>
          <w:lang w:val="en-US"/>
        </w:rPr>
        <w:t>  In its final report on grave breaches of the Geneva Conventions and other violations of international humanitarian law committed in the former Yugoslavia, the UN Commission of Experts Established pursuant to Security Council Resolution 780 (1992) recalled this basis of command responsibility.</w:t>
      </w:r>
      <w:bookmarkStart w:id="29" w:name="refFn_28_30"/>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"Fn_28_30"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[30]</w:t>
      </w:r>
      <w:r w:rsidRPr="00530144">
        <w:rPr>
          <w:rFonts w:ascii="Times New Roman" w:eastAsia="Times New Roman" w:hAnsi="Times New Roman" w:cs="Times New Roman"/>
          <w:sz w:val="24"/>
          <w:szCs w:val="24"/>
        </w:rPr>
        <w:fldChar w:fldCharType="end"/>
      </w:r>
      <w:bookmarkEnd w:id="29"/>
      <w:r w:rsidRPr="00530144">
        <w:rPr>
          <w:rFonts w:ascii="Times New Roman" w:eastAsia="Times New Roman" w:hAnsi="Times New Roman" w:cs="Times New Roman"/>
          <w:sz w:val="24"/>
          <w:szCs w:val="24"/>
          <w:lang w:val="en-US"/>
        </w:rPr>
        <w:t> </w:t>
      </w:r>
      <w:r w:rsidRPr="00530144">
        <w:rPr>
          <w:rFonts w:ascii="Times New Roman" w:eastAsia="Times New Roman" w:hAnsi="Times New Roman" w:cs="Times New Roman"/>
          <w:sz w:val="24"/>
          <w:szCs w:val="24"/>
          <w:lang w:val="en-US"/>
        </w:rPr>
        <w:br/>
        <w:t xml:space="preserve">In its judgment in the </w:t>
      </w:r>
      <w:r w:rsidRPr="00530144">
        <w:rPr>
          <w:rFonts w:ascii="Times New Roman" w:eastAsia="Times New Roman" w:hAnsi="Times New Roman" w:cs="Times New Roman"/>
          <w:i/>
          <w:iCs/>
          <w:sz w:val="24"/>
          <w:szCs w:val="24"/>
          <w:lang w:val="en-US"/>
        </w:rPr>
        <w:t>Blaškić case</w:t>
      </w:r>
      <w:r w:rsidRPr="00530144">
        <w:rPr>
          <w:rFonts w:ascii="Times New Roman" w:eastAsia="Times New Roman" w:hAnsi="Times New Roman" w:cs="Times New Roman"/>
          <w:sz w:val="24"/>
          <w:szCs w:val="24"/>
          <w:lang w:val="en-US"/>
        </w:rPr>
        <w:t xml:space="preserve"> in 2000, the International Criminal Tribunal for the former Yugoslavia specified, however, that a commander must give priority, where he or she knows or has reason to know that his or her subordinates are about to commit crimes, to prevent these crimes from being committed and that “he cannot make up for the failure to act by punishing the subordinates afterwards”.</w:t>
      </w:r>
      <w:bookmarkStart w:id="30" w:name="refFn_28_31"/>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"Fn_28_31"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[31]</w:t>
      </w:r>
      <w:r w:rsidRPr="00530144">
        <w:rPr>
          <w:rFonts w:ascii="Times New Roman" w:eastAsia="Times New Roman" w:hAnsi="Times New Roman" w:cs="Times New Roman"/>
          <w:sz w:val="24"/>
          <w:szCs w:val="24"/>
        </w:rPr>
        <w:fldChar w:fldCharType="end"/>
      </w:r>
      <w:bookmarkEnd w:id="30"/>
      <w:r w:rsidRPr="00530144">
        <w:rPr>
          <w:rFonts w:ascii="Times New Roman" w:eastAsia="Times New Roman" w:hAnsi="Times New Roman" w:cs="Times New Roman"/>
          <w:sz w:val="24"/>
          <w:szCs w:val="24"/>
          <w:lang w:val="en-US"/>
        </w:rPr>
        <w:t> </w:t>
      </w:r>
      <w:r w:rsidRPr="00530144">
        <w:rPr>
          <w:rFonts w:ascii="Times New Roman" w:eastAsia="Times New Roman" w:hAnsi="Times New Roman" w:cs="Times New Roman"/>
          <w:sz w:val="24"/>
          <w:szCs w:val="24"/>
          <w:lang w:val="en-US"/>
        </w:rPr>
        <w:br/>
      </w:r>
      <w:r w:rsidRPr="00530144">
        <w:rPr>
          <w:rFonts w:ascii="Times New Roman" w:eastAsia="Times New Roman" w:hAnsi="Times New Roman" w:cs="Times New Roman"/>
          <w:i/>
          <w:iCs/>
          <w:sz w:val="24"/>
          <w:szCs w:val="24"/>
          <w:lang w:val="en-US"/>
        </w:rPr>
        <w:t>(v) Necessary and reasonable measures.</w:t>
      </w:r>
      <w:r w:rsidRPr="00530144">
        <w:rPr>
          <w:rFonts w:ascii="Times New Roman" w:eastAsia="Times New Roman" w:hAnsi="Times New Roman" w:cs="Times New Roman"/>
          <w:sz w:val="24"/>
          <w:szCs w:val="24"/>
          <w:lang w:val="en-US"/>
        </w:rPr>
        <w:t xml:space="preserve"> In the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xml:space="preserve"> in 1998, the International Criminal Tribunal for the former Yugoslavia interpreted the term “necessary and reasonable measures” to be limited to such measures as are within someone’s power, as no one can be obliged to perform the impossible.</w:t>
      </w:r>
      <w:bookmarkStart w:id="31" w:name="refFn_28_32"/>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"Fn_28_32"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[32]</w:t>
      </w:r>
      <w:r w:rsidRPr="00530144">
        <w:rPr>
          <w:rFonts w:ascii="Times New Roman" w:eastAsia="Times New Roman" w:hAnsi="Times New Roman" w:cs="Times New Roman"/>
          <w:sz w:val="24"/>
          <w:szCs w:val="24"/>
        </w:rPr>
        <w:fldChar w:fldCharType="end"/>
      </w:r>
      <w:bookmarkEnd w:id="31"/>
      <w:r w:rsidRPr="00530144">
        <w:rPr>
          <w:rFonts w:ascii="Times New Roman" w:eastAsia="Times New Roman" w:hAnsi="Times New Roman" w:cs="Times New Roman"/>
          <w:sz w:val="24"/>
          <w:szCs w:val="24"/>
          <w:lang w:val="en-US"/>
        </w:rPr>
        <w:t xml:space="preserve">  With respect to necessary and reasonable measures to ensure the punishment of suspected war criminals, the Tribunal held in the </w:t>
      </w:r>
      <w:r w:rsidRPr="00530144">
        <w:rPr>
          <w:rFonts w:ascii="Times New Roman" w:eastAsia="Times New Roman" w:hAnsi="Times New Roman" w:cs="Times New Roman"/>
          <w:i/>
          <w:iCs/>
          <w:sz w:val="24"/>
          <w:szCs w:val="24"/>
          <w:lang w:val="en-US"/>
        </w:rPr>
        <w:t>Kvočka case</w:t>
      </w:r>
      <w:r w:rsidRPr="00530144">
        <w:rPr>
          <w:rFonts w:ascii="Times New Roman" w:eastAsia="Times New Roman" w:hAnsi="Times New Roman" w:cs="Times New Roman"/>
          <w:sz w:val="24"/>
          <w:szCs w:val="24"/>
          <w:lang w:val="en-US"/>
        </w:rPr>
        <w:t xml:space="preserve"> in 2001 that the superior does not necessarily have to dispense the punishment but “must take an important step in the disciplinary process”.</w:t>
      </w:r>
      <w:bookmarkStart w:id="32" w:name="refFn_28_33"/>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"Fn_28_33"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[33]</w:t>
      </w:r>
      <w:r w:rsidRPr="00530144">
        <w:rPr>
          <w:rFonts w:ascii="Times New Roman" w:eastAsia="Times New Roman" w:hAnsi="Times New Roman" w:cs="Times New Roman"/>
          <w:sz w:val="24"/>
          <w:szCs w:val="24"/>
        </w:rPr>
        <w:fldChar w:fldCharType="end"/>
      </w:r>
      <w:bookmarkEnd w:id="32"/>
      <w:r w:rsidRPr="00530144">
        <w:rPr>
          <w:rFonts w:ascii="Times New Roman" w:eastAsia="Times New Roman" w:hAnsi="Times New Roman" w:cs="Times New Roman"/>
          <w:sz w:val="24"/>
          <w:szCs w:val="24"/>
          <w:lang w:val="en-US"/>
        </w:rPr>
        <w:t xml:space="preserve">  In its judgment in the </w:t>
      </w:r>
      <w:r w:rsidRPr="00530144">
        <w:rPr>
          <w:rFonts w:ascii="Times New Roman" w:eastAsia="Times New Roman" w:hAnsi="Times New Roman" w:cs="Times New Roman"/>
          <w:i/>
          <w:iCs/>
          <w:sz w:val="24"/>
          <w:szCs w:val="24"/>
          <w:lang w:val="en-US"/>
        </w:rPr>
        <w:t>Blaškić case</w:t>
      </w:r>
      <w:r w:rsidRPr="00530144">
        <w:rPr>
          <w:rFonts w:ascii="Times New Roman" w:eastAsia="Times New Roman" w:hAnsi="Times New Roman" w:cs="Times New Roman"/>
          <w:sz w:val="24"/>
          <w:szCs w:val="24"/>
          <w:lang w:val="en-US"/>
        </w:rPr>
        <w:t xml:space="preserve"> in 2000, the Tribunal held that “under some circumstances, a commander may discharge his obligation to prevent or punish an offence by reporting the matter to the competent authorities”.</w:t>
      </w:r>
      <w:bookmarkStart w:id="33" w:name="refFn_28_34"/>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"Fn_28_34"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[34]</w:t>
      </w:r>
      <w:r w:rsidRPr="00530144">
        <w:rPr>
          <w:rFonts w:ascii="Times New Roman" w:eastAsia="Times New Roman" w:hAnsi="Times New Roman" w:cs="Times New Roman"/>
          <w:sz w:val="24"/>
          <w:szCs w:val="24"/>
        </w:rPr>
        <w:fldChar w:fldCharType="end"/>
      </w:r>
      <w:bookmarkEnd w:id="33"/>
      <w:r w:rsidRPr="00530144">
        <w:rPr>
          <w:rFonts w:ascii="Times New Roman" w:eastAsia="Times New Roman" w:hAnsi="Times New Roman" w:cs="Times New Roman"/>
          <w:sz w:val="24"/>
          <w:szCs w:val="24"/>
          <w:lang w:val="en-US"/>
        </w:rPr>
        <w:t> </w:t>
      </w:r>
    </w:p>
    <w:bookmarkStart w:id="34" w:name="Fn_28_1"/>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w:t>
      </w:r>
      <w:r w:rsidRPr="00530144">
        <w:rPr>
          <w:rFonts w:ascii="Times New Roman" w:eastAsia="Times New Roman" w:hAnsi="Times New Roman" w:cs="Times New Roman"/>
          <w:sz w:val="24"/>
          <w:szCs w:val="24"/>
        </w:rPr>
        <w:fldChar w:fldCharType="end"/>
      </w:r>
      <w:bookmarkEnd w:id="34"/>
      <w:r w:rsidRPr="00530144">
        <w:rPr>
          <w:rFonts w:ascii="Times New Roman" w:eastAsia="Times New Roman" w:hAnsi="Times New Roman" w:cs="Times New Roman"/>
          <w:sz w:val="24"/>
          <w:szCs w:val="24"/>
          <w:lang w:val="en-US"/>
        </w:rPr>
        <w:t xml:space="preserve"> See, e.g., United Kingdom, Military Court at Wuppertal, </w:t>
      </w:r>
      <w:r w:rsidRPr="00530144">
        <w:rPr>
          <w:rFonts w:ascii="Times New Roman" w:eastAsia="Times New Roman" w:hAnsi="Times New Roman" w:cs="Times New Roman"/>
          <w:i/>
          <w:iCs/>
          <w:sz w:val="24"/>
          <w:szCs w:val="24"/>
          <w:lang w:val="en-US"/>
        </w:rPr>
        <w:t>Rauer case</w:t>
      </w:r>
      <w:r w:rsidRPr="00530144">
        <w:rPr>
          <w:rFonts w:ascii="Times New Roman" w:eastAsia="Times New Roman" w:hAnsi="Times New Roman" w:cs="Times New Roman"/>
          <w:sz w:val="24"/>
          <w:szCs w:val="24"/>
          <w:lang w:val="en-US"/>
        </w:rPr>
        <w:t xml:space="preserve"> (cited in Vol. II, Ch. 43, § 656); United States, Military Tribunal at Nuremberg, </w:t>
      </w:r>
      <w:r w:rsidRPr="00530144">
        <w:rPr>
          <w:rFonts w:ascii="Times New Roman" w:eastAsia="Times New Roman" w:hAnsi="Times New Roman" w:cs="Times New Roman"/>
          <w:i/>
          <w:iCs/>
          <w:sz w:val="24"/>
          <w:szCs w:val="24"/>
          <w:lang w:val="en-US"/>
        </w:rPr>
        <w:t xml:space="preserve">Von Leeb (The High Command Trial) case </w:t>
      </w:r>
      <w:r w:rsidRPr="00530144">
        <w:rPr>
          <w:rFonts w:ascii="Times New Roman" w:eastAsia="Times New Roman" w:hAnsi="Times New Roman" w:cs="Times New Roman"/>
          <w:sz w:val="24"/>
          <w:szCs w:val="24"/>
          <w:lang w:val="en-US"/>
        </w:rPr>
        <w:t>(</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657) and </w:t>
      </w:r>
      <w:r w:rsidRPr="00530144">
        <w:rPr>
          <w:rFonts w:ascii="Times New Roman" w:eastAsia="Times New Roman" w:hAnsi="Times New Roman" w:cs="Times New Roman"/>
          <w:i/>
          <w:iCs/>
          <w:sz w:val="24"/>
          <w:szCs w:val="24"/>
          <w:lang w:val="en-US"/>
        </w:rPr>
        <w:t xml:space="preserve">List (Hostages Trial) case </w:t>
      </w:r>
      <w:r w:rsidRPr="00530144">
        <w:rPr>
          <w:rFonts w:ascii="Times New Roman" w:eastAsia="Times New Roman" w:hAnsi="Times New Roman" w:cs="Times New Roman"/>
          <w:sz w:val="24"/>
          <w:szCs w:val="24"/>
          <w:lang w:val="en-US"/>
        </w:rPr>
        <w:t>(</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658); United States, Supreme Court, </w:t>
      </w:r>
      <w:r w:rsidRPr="00530144">
        <w:rPr>
          <w:rFonts w:ascii="Times New Roman" w:eastAsia="Times New Roman" w:hAnsi="Times New Roman" w:cs="Times New Roman"/>
          <w:i/>
          <w:iCs/>
          <w:sz w:val="24"/>
          <w:szCs w:val="24"/>
          <w:lang w:val="en-US"/>
        </w:rPr>
        <w:t xml:space="preserve">Yamashita case </w:t>
      </w:r>
      <w:r w:rsidRPr="00530144">
        <w:rPr>
          <w:rFonts w:ascii="Times New Roman" w:eastAsia="Times New Roman" w:hAnsi="Times New Roman" w:cs="Times New Roman"/>
          <w:sz w:val="24"/>
          <w:szCs w:val="24"/>
          <w:lang w:val="en-US"/>
        </w:rPr>
        <w:t>(</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659); IMT (Tokyo), </w:t>
      </w:r>
      <w:r w:rsidRPr="00530144">
        <w:rPr>
          <w:rFonts w:ascii="Times New Roman" w:eastAsia="Times New Roman" w:hAnsi="Times New Roman" w:cs="Times New Roman"/>
          <w:i/>
          <w:iCs/>
          <w:sz w:val="24"/>
          <w:szCs w:val="24"/>
          <w:lang w:val="en-US"/>
        </w:rPr>
        <w:t>Case of the Major War Criminals</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693–700) and </w:t>
      </w:r>
      <w:r w:rsidRPr="00530144">
        <w:rPr>
          <w:rFonts w:ascii="Times New Roman" w:eastAsia="Times New Roman" w:hAnsi="Times New Roman" w:cs="Times New Roman"/>
          <w:i/>
          <w:iCs/>
          <w:sz w:val="24"/>
          <w:szCs w:val="24"/>
          <w:lang w:val="en-US"/>
        </w:rPr>
        <w:t xml:space="preserve">Toyoda case </w:t>
      </w:r>
      <w:r w:rsidRPr="00530144">
        <w:rPr>
          <w:rFonts w:ascii="Times New Roman" w:eastAsia="Times New Roman" w:hAnsi="Times New Roman" w:cs="Times New Roman"/>
          <w:sz w:val="24"/>
          <w:szCs w:val="24"/>
          <w:lang w:val="en-US"/>
        </w:rPr>
        <w:t>(</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701).</w:t>
      </w:r>
    </w:p>
    <w:bookmarkStart w:id="35" w:name="Fn_28_2"/>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w:t>
      </w:r>
      <w:r w:rsidRPr="00530144">
        <w:rPr>
          <w:rFonts w:ascii="Times New Roman" w:eastAsia="Times New Roman" w:hAnsi="Times New Roman" w:cs="Times New Roman"/>
          <w:sz w:val="24"/>
          <w:szCs w:val="24"/>
        </w:rPr>
        <w:fldChar w:fldCharType="end"/>
      </w:r>
      <w:bookmarkEnd w:id="35"/>
      <w:r w:rsidRPr="00530144">
        <w:rPr>
          <w:rFonts w:ascii="Times New Roman" w:eastAsia="Times New Roman" w:hAnsi="Times New Roman" w:cs="Times New Roman"/>
          <w:sz w:val="24"/>
          <w:szCs w:val="24"/>
          <w:lang w:val="en-US"/>
        </w:rPr>
        <w:t xml:space="preserve"> Additional Protocol I, Article 86(2) (adopted by consensus)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569); ICC Statute, Article 28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 ICTY Statute, Article 7(3)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581).</w:t>
      </w:r>
    </w:p>
    <w:bookmarkStart w:id="36" w:name="Fn_28_3"/>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w:t>
      </w:r>
      <w:r w:rsidRPr="00530144">
        <w:rPr>
          <w:rFonts w:ascii="Times New Roman" w:eastAsia="Times New Roman" w:hAnsi="Times New Roman" w:cs="Times New Roman"/>
          <w:sz w:val="24"/>
          <w:szCs w:val="24"/>
        </w:rPr>
        <w:fldChar w:fldCharType="end"/>
      </w:r>
      <w:bookmarkEnd w:id="36"/>
      <w:r w:rsidRPr="00530144">
        <w:rPr>
          <w:rFonts w:ascii="Times New Roman" w:eastAsia="Times New Roman" w:hAnsi="Times New Roman" w:cs="Times New Roman"/>
          <w:sz w:val="24"/>
          <w:szCs w:val="24"/>
          <w:lang w:val="en-US"/>
        </w:rPr>
        <w:t xml:space="preserve"> See, e.g., ICTY, </w:t>
      </w:r>
      <w:r w:rsidRPr="00530144">
        <w:rPr>
          <w:rFonts w:ascii="Times New Roman" w:eastAsia="Times New Roman" w:hAnsi="Times New Roman" w:cs="Times New Roman"/>
          <w:i/>
          <w:iCs/>
          <w:sz w:val="24"/>
          <w:szCs w:val="24"/>
          <w:lang w:val="en-US"/>
        </w:rPr>
        <w:t>Martić case</w:t>
      </w:r>
      <w:r w:rsidRPr="00530144">
        <w:rPr>
          <w:rFonts w:ascii="Times New Roman" w:eastAsia="Times New Roman" w:hAnsi="Times New Roman" w:cs="Times New Roman"/>
          <w:sz w:val="24"/>
          <w:szCs w:val="24"/>
          <w:lang w:val="en-US"/>
        </w:rPr>
        <w:t>, Review of the Indictment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705), </w:t>
      </w:r>
      <w:r w:rsidRPr="00530144">
        <w:rPr>
          <w:rFonts w:ascii="Times New Roman" w:eastAsia="Times New Roman" w:hAnsi="Times New Roman" w:cs="Times New Roman"/>
          <w:i/>
          <w:iCs/>
          <w:sz w:val="24"/>
          <w:szCs w:val="24"/>
          <w:lang w:val="en-US"/>
        </w:rPr>
        <w:t>Karadžić and Mladić</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case</w:t>
      </w:r>
      <w:r w:rsidRPr="00530144">
        <w:rPr>
          <w:rFonts w:ascii="Times New Roman" w:eastAsia="Times New Roman" w:hAnsi="Times New Roman" w:cs="Times New Roman"/>
          <w:sz w:val="24"/>
          <w:szCs w:val="24"/>
          <w:lang w:val="en-US"/>
        </w:rPr>
        <w:t>, Review of the Indictments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706),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707),</w:t>
      </w:r>
      <w:r w:rsidRPr="00530144">
        <w:rPr>
          <w:rFonts w:ascii="Times New Roman" w:eastAsia="Times New Roman" w:hAnsi="Times New Roman" w:cs="Times New Roman"/>
          <w:i/>
          <w:iCs/>
          <w:sz w:val="24"/>
          <w:szCs w:val="24"/>
          <w:lang w:val="en-US"/>
        </w:rPr>
        <w:t xml:space="preserve"> Aleksovski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708), </w:t>
      </w:r>
      <w:r w:rsidRPr="00530144">
        <w:rPr>
          <w:rFonts w:ascii="Times New Roman" w:eastAsia="Times New Roman" w:hAnsi="Times New Roman" w:cs="Times New Roman"/>
          <w:i/>
          <w:iCs/>
          <w:sz w:val="24"/>
          <w:szCs w:val="24"/>
          <w:lang w:val="en-US"/>
        </w:rPr>
        <w:t>Blaškić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709), </w:t>
      </w:r>
      <w:r w:rsidRPr="00530144">
        <w:rPr>
          <w:rFonts w:ascii="Times New Roman" w:eastAsia="Times New Roman" w:hAnsi="Times New Roman" w:cs="Times New Roman"/>
          <w:i/>
          <w:iCs/>
          <w:sz w:val="24"/>
          <w:szCs w:val="24"/>
          <w:lang w:val="en-US"/>
        </w:rPr>
        <w:t>Kunarac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711), </w:t>
      </w:r>
      <w:r w:rsidRPr="00530144">
        <w:rPr>
          <w:rFonts w:ascii="Times New Roman" w:eastAsia="Times New Roman" w:hAnsi="Times New Roman" w:cs="Times New Roman"/>
          <w:i/>
          <w:iCs/>
          <w:sz w:val="24"/>
          <w:szCs w:val="24"/>
          <w:lang w:val="en-US"/>
        </w:rPr>
        <w:t>Kordić and Čerkez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712), </w:t>
      </w:r>
      <w:r w:rsidRPr="00530144">
        <w:rPr>
          <w:rFonts w:ascii="Times New Roman" w:eastAsia="Times New Roman" w:hAnsi="Times New Roman" w:cs="Times New Roman"/>
          <w:i/>
          <w:iCs/>
          <w:sz w:val="24"/>
          <w:szCs w:val="24"/>
          <w:lang w:val="en-US"/>
        </w:rPr>
        <w:t>Krstić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713) and </w:t>
      </w:r>
      <w:r w:rsidRPr="00530144">
        <w:rPr>
          <w:rFonts w:ascii="Times New Roman" w:eastAsia="Times New Roman" w:hAnsi="Times New Roman" w:cs="Times New Roman"/>
          <w:i/>
          <w:iCs/>
          <w:sz w:val="24"/>
          <w:szCs w:val="24"/>
          <w:lang w:val="en-US"/>
        </w:rPr>
        <w:t>Kvočka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714).</w:t>
      </w:r>
    </w:p>
    <w:bookmarkStart w:id="37" w:name="Fn_28_4"/>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[4]</w:t>
      </w:r>
      <w:r w:rsidRPr="00530144">
        <w:rPr>
          <w:rFonts w:ascii="Times New Roman" w:eastAsia="Times New Roman" w:hAnsi="Times New Roman" w:cs="Times New Roman"/>
          <w:sz w:val="24"/>
          <w:szCs w:val="24"/>
        </w:rPr>
        <w:fldChar w:fldCharType="end"/>
      </w:r>
      <w:bookmarkEnd w:id="37"/>
      <w:r w:rsidRPr="00530144">
        <w:rPr>
          <w:rFonts w:ascii="Times New Roman" w:eastAsia="Times New Roman" w:hAnsi="Times New Roman" w:cs="Times New Roman"/>
          <w:sz w:val="24"/>
          <w:szCs w:val="24"/>
          <w:lang w:val="en-US"/>
        </w:rPr>
        <w:t xml:space="preserve"> See, e.g., the military manuals of the United Kingdom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613) and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614–618); see also the practice of Italy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669) and the legislation of Azerbaijan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623), Bangladesh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625), France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633), Italy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635), Luxembourg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638), Netherlands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640), Spain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643), Sweden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645), Philippines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604–606).</w:t>
      </w:r>
    </w:p>
    <w:bookmarkStart w:id="38" w:name="Fn_28_5"/>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"refFn_28_5"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[5]</w:t>
      </w:r>
      <w:r w:rsidRPr="00530144">
        <w:rPr>
          <w:rFonts w:ascii="Times New Roman" w:eastAsia="Times New Roman" w:hAnsi="Times New Roman" w:cs="Times New Roman"/>
          <w:sz w:val="24"/>
          <w:szCs w:val="24"/>
        </w:rPr>
        <w:fldChar w:fldCharType="end"/>
      </w:r>
      <w:bookmarkEnd w:id="38"/>
      <w:r w:rsidRPr="00530144">
        <w:rPr>
          <w:rFonts w:ascii="Times New Roman" w:eastAsia="Times New Roman" w:hAnsi="Times New Roman" w:cs="Times New Roman"/>
          <w:sz w:val="24"/>
          <w:szCs w:val="24"/>
          <w:lang w:val="en-US"/>
        </w:rPr>
        <w:t xml:space="preserve"> See, e.g., UN General Assembly, Res. 48/143, 50/192 and 51/115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680) and Res. 49/205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681); UN Commission on Human Rights, Res. 1994/77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683).</w:t>
      </w:r>
    </w:p>
    <w:bookmarkStart w:id="39" w:name="Fn_28_6"/>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"refFn_28_6"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[6]</w:t>
      </w:r>
      <w:r w:rsidRPr="00530144">
        <w:rPr>
          <w:rFonts w:ascii="Times New Roman" w:eastAsia="Times New Roman" w:hAnsi="Times New Roman" w:cs="Times New Roman"/>
          <w:sz w:val="24"/>
          <w:szCs w:val="24"/>
        </w:rPr>
        <w:fldChar w:fldCharType="end"/>
      </w:r>
      <w:bookmarkEnd w:id="39"/>
      <w:r w:rsidRPr="00530144">
        <w:rPr>
          <w:rFonts w:ascii="Times New Roman" w:eastAsia="Times New Roman" w:hAnsi="Times New Roman" w:cs="Times New Roman"/>
          <w:sz w:val="24"/>
          <w:szCs w:val="24"/>
          <w:lang w:val="en-US"/>
        </w:rPr>
        <w:t xml:space="preserve"> ICC Statute, Article 28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 ICTY Statute, Article 7(3)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581); ICTR Statute, Article 6(3)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582); Statute of the Special Court for Sierra Leone, Article 6(3)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577); UNTAET Regulation No. 2000/15, Section 16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585).</w:t>
      </w:r>
    </w:p>
    <w:bookmarkStart w:id="40" w:name="Fn_28_7"/>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"refFn_28_7"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[7]</w:t>
      </w:r>
      <w:r w:rsidRPr="00530144">
        <w:rPr>
          <w:rFonts w:ascii="Times New Roman" w:eastAsia="Times New Roman" w:hAnsi="Times New Roman" w:cs="Times New Roman"/>
          <w:sz w:val="24"/>
          <w:szCs w:val="24"/>
        </w:rPr>
        <w:fldChar w:fldCharType="end"/>
      </w:r>
      <w:bookmarkEnd w:id="40"/>
      <w:r w:rsidRPr="00530144">
        <w:rPr>
          <w:rFonts w:ascii="Times New Roman" w:eastAsia="Times New Roman" w:hAnsi="Times New Roman" w:cs="Times New Roman"/>
          <w:sz w:val="24"/>
          <w:szCs w:val="24"/>
          <w:lang w:val="en-US"/>
        </w:rPr>
        <w:t xml:space="preserve"> ICTY, </w:t>
      </w:r>
      <w:r w:rsidRPr="00530144">
        <w:rPr>
          <w:rFonts w:ascii="Times New Roman" w:eastAsia="Times New Roman" w:hAnsi="Times New Roman" w:cs="Times New Roman"/>
          <w:i/>
          <w:iCs/>
          <w:sz w:val="24"/>
          <w:szCs w:val="24"/>
          <w:lang w:val="en-US"/>
        </w:rPr>
        <w:t>Hadžihasanović and Others case</w:t>
      </w:r>
      <w:r w:rsidRPr="00530144">
        <w:rPr>
          <w:rFonts w:ascii="Times New Roman" w:eastAsia="Times New Roman" w:hAnsi="Times New Roman" w:cs="Times New Roman"/>
          <w:sz w:val="24"/>
          <w:szCs w:val="24"/>
          <w:lang w:val="en-US"/>
        </w:rPr>
        <w:t>, Decision on Joint Challenge to Jurisdiction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716). In this respect, the interlocutory appeal filed by the accused was unanimously dismissed by the Appeals Chamber, see ICTY, </w:t>
      </w:r>
      <w:r w:rsidRPr="00530144">
        <w:rPr>
          <w:rFonts w:ascii="Times New Roman" w:eastAsia="Times New Roman" w:hAnsi="Times New Roman" w:cs="Times New Roman"/>
          <w:i/>
          <w:iCs/>
          <w:sz w:val="24"/>
          <w:szCs w:val="24"/>
          <w:lang w:val="en-US"/>
        </w:rPr>
        <w:t xml:space="preserve">Hadžihasanović and </w:t>
      </w:r>
      <w:r w:rsidRPr="00530144">
        <w:rPr>
          <w:rFonts w:ascii="Times New Roman" w:eastAsia="Times New Roman" w:hAnsi="Times New Roman" w:cs="Times New Roman"/>
          <w:i/>
          <w:iCs/>
          <w:sz w:val="24"/>
          <w:szCs w:val="24"/>
          <w:lang w:val="en-US"/>
        </w:rPr>
        <w:lastRenderedPageBreak/>
        <w:t>Others case</w:t>
      </w:r>
      <w:r w:rsidRPr="00530144">
        <w:rPr>
          <w:rFonts w:ascii="Times New Roman" w:eastAsia="Times New Roman" w:hAnsi="Times New Roman" w:cs="Times New Roman"/>
          <w:sz w:val="24"/>
          <w:szCs w:val="24"/>
          <w:lang w:val="en-US"/>
        </w:rPr>
        <w:t xml:space="preserve">, Decision on Interlocutory Appeal Challenging Jurisdiction in Relation to Command Responsibility, 16 July 2003, Case No. IT-01-47-AR72, § 57 (Disposition on the first ground of appeal). </w:t>
      </w:r>
    </w:p>
    <w:bookmarkStart w:id="41" w:name="Fn_28_8"/>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"refFn_28_8"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[8]</w:t>
      </w:r>
      <w:r w:rsidRPr="00530144">
        <w:rPr>
          <w:rFonts w:ascii="Times New Roman" w:eastAsia="Times New Roman" w:hAnsi="Times New Roman" w:cs="Times New Roman"/>
          <w:sz w:val="24"/>
          <w:szCs w:val="24"/>
        </w:rPr>
        <w:fldChar w:fldCharType="end"/>
      </w:r>
      <w:bookmarkEnd w:id="41"/>
      <w:r w:rsidRPr="00530144">
        <w:rPr>
          <w:rFonts w:ascii="Times New Roman" w:eastAsia="Times New Roman" w:hAnsi="Times New Roman" w:cs="Times New Roman"/>
          <w:sz w:val="24"/>
          <w:szCs w:val="24"/>
          <w:lang w:val="en-US"/>
        </w:rPr>
        <w:t xml:space="preserve"> See ICTR, </w:t>
      </w:r>
      <w:r w:rsidRPr="00530144">
        <w:rPr>
          <w:rFonts w:ascii="Times New Roman" w:eastAsia="Times New Roman" w:hAnsi="Times New Roman" w:cs="Times New Roman"/>
          <w:i/>
          <w:iCs/>
          <w:sz w:val="24"/>
          <w:szCs w:val="24"/>
          <w:lang w:val="en-US"/>
        </w:rPr>
        <w:t>Akayesu case</w:t>
      </w:r>
      <w:r w:rsidRPr="00530144">
        <w:rPr>
          <w:rFonts w:ascii="Times New Roman" w:eastAsia="Times New Roman" w:hAnsi="Times New Roman" w:cs="Times New Roman"/>
          <w:sz w:val="24"/>
          <w:szCs w:val="24"/>
          <w:lang w:val="en-US"/>
        </w:rPr>
        <w:t xml:space="preserve">, Judgment (cited in Vol. II, Ch. 43, § 702) and </w:t>
      </w:r>
      <w:r w:rsidRPr="00530144">
        <w:rPr>
          <w:rFonts w:ascii="Times New Roman" w:eastAsia="Times New Roman" w:hAnsi="Times New Roman" w:cs="Times New Roman"/>
          <w:i/>
          <w:iCs/>
          <w:sz w:val="24"/>
          <w:szCs w:val="24"/>
          <w:lang w:val="en-US"/>
        </w:rPr>
        <w:t>Kayishema and Ruzindana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 xml:space="preserve"> ibid.</w:t>
      </w:r>
      <w:r w:rsidRPr="00530144">
        <w:rPr>
          <w:rFonts w:ascii="Times New Roman" w:eastAsia="Times New Roman" w:hAnsi="Times New Roman" w:cs="Times New Roman"/>
          <w:sz w:val="24"/>
          <w:szCs w:val="24"/>
          <w:lang w:val="en-US"/>
        </w:rPr>
        <w:t>, § 703).</w:t>
      </w:r>
    </w:p>
    <w:bookmarkStart w:id="42" w:name="Fn_28_9"/>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"refFn_28_9"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[9]</w:t>
      </w:r>
      <w:r w:rsidRPr="00530144">
        <w:rPr>
          <w:rFonts w:ascii="Times New Roman" w:eastAsia="Times New Roman" w:hAnsi="Times New Roman" w:cs="Times New Roman"/>
          <w:sz w:val="24"/>
          <w:szCs w:val="24"/>
        </w:rPr>
        <w:fldChar w:fldCharType="end"/>
      </w:r>
      <w:bookmarkEnd w:id="42"/>
      <w:r w:rsidRPr="00530144">
        <w:rPr>
          <w:rFonts w:ascii="Times New Roman" w:eastAsia="Times New Roman" w:hAnsi="Times New Roman" w:cs="Times New Roman"/>
          <w:sz w:val="24"/>
          <w:szCs w:val="24"/>
          <w:lang w:val="en-US"/>
        </w:rPr>
        <w:t xml:space="preserve"> United States, Federal Court of Florida, </w:t>
      </w:r>
      <w:r w:rsidRPr="00530144">
        <w:rPr>
          <w:rFonts w:ascii="Times New Roman" w:eastAsia="Times New Roman" w:hAnsi="Times New Roman" w:cs="Times New Roman"/>
          <w:i/>
          <w:iCs/>
          <w:sz w:val="24"/>
          <w:szCs w:val="24"/>
          <w:lang w:val="en-US"/>
        </w:rPr>
        <w:t>Ford v. García case</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661).</w:t>
      </w:r>
    </w:p>
    <w:bookmarkStart w:id="43" w:name="Fn_28_10"/>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"refFn_28_10"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[10]</w:t>
      </w:r>
      <w:r w:rsidRPr="00530144">
        <w:rPr>
          <w:rFonts w:ascii="Times New Roman" w:eastAsia="Times New Roman" w:hAnsi="Times New Roman" w:cs="Times New Roman"/>
          <w:sz w:val="24"/>
          <w:szCs w:val="24"/>
        </w:rPr>
        <w:fldChar w:fldCharType="end"/>
      </w:r>
      <w:bookmarkEnd w:id="43"/>
      <w:r w:rsidRPr="00530144">
        <w:rPr>
          <w:rFonts w:ascii="Times New Roman" w:eastAsia="Times New Roman" w:hAnsi="Times New Roman" w:cs="Times New Roman"/>
          <w:sz w:val="24"/>
          <w:szCs w:val="24"/>
          <w:lang w:val="en-US"/>
        </w:rPr>
        <w:t xml:space="preserve"> Indonesia, Ad Hoc Tribunal on Human Rights for East Timor, </w:t>
      </w:r>
      <w:r w:rsidRPr="00530144">
        <w:rPr>
          <w:rFonts w:ascii="Times New Roman" w:eastAsia="Times New Roman" w:hAnsi="Times New Roman" w:cs="Times New Roman"/>
          <w:i/>
          <w:iCs/>
          <w:sz w:val="24"/>
          <w:szCs w:val="24"/>
          <w:lang w:val="en-US"/>
        </w:rPr>
        <w:t>Abilio Soares case</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654).</w:t>
      </w:r>
    </w:p>
    <w:bookmarkStart w:id="44" w:name="Fn_28_11"/>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[11]</w:t>
      </w:r>
      <w:r w:rsidRPr="00530144">
        <w:rPr>
          <w:rFonts w:ascii="Times New Roman" w:eastAsia="Times New Roman" w:hAnsi="Times New Roman" w:cs="Times New Roman"/>
          <w:sz w:val="24"/>
          <w:szCs w:val="24"/>
        </w:rPr>
        <w:fldChar w:fldCharType="end"/>
      </w:r>
      <w:bookmarkEnd w:id="44"/>
      <w:r w:rsidRPr="00530144">
        <w:rPr>
          <w:rFonts w:ascii="Times New Roman" w:eastAsia="Times New Roman" w:hAnsi="Times New Roman" w:cs="Times New Roman"/>
          <w:sz w:val="24"/>
          <w:szCs w:val="24"/>
          <w:lang w:val="en-US"/>
        </w:rPr>
        <w:t xml:space="preserve"> Canada, Court Martial Appeal Court, </w:t>
      </w:r>
      <w:r w:rsidRPr="00530144">
        <w:rPr>
          <w:rFonts w:ascii="Times New Roman" w:eastAsia="Times New Roman" w:hAnsi="Times New Roman" w:cs="Times New Roman"/>
          <w:i/>
          <w:iCs/>
          <w:sz w:val="24"/>
          <w:szCs w:val="24"/>
          <w:lang w:val="en-US"/>
        </w:rPr>
        <w:t>Boland case</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650).</w:t>
      </w:r>
    </w:p>
    <w:bookmarkStart w:id="45" w:name="Fn_28_12"/>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[12]</w:t>
      </w:r>
      <w:r w:rsidRPr="00530144">
        <w:rPr>
          <w:rFonts w:ascii="Times New Roman" w:eastAsia="Times New Roman" w:hAnsi="Times New Roman" w:cs="Times New Roman"/>
          <w:sz w:val="24"/>
          <w:szCs w:val="24"/>
        </w:rPr>
        <w:fldChar w:fldCharType="end"/>
      </w:r>
      <w:bookmarkEnd w:id="45"/>
      <w:r w:rsidRPr="00530144">
        <w:rPr>
          <w:rFonts w:ascii="Times New Roman" w:eastAsia="Times New Roman" w:hAnsi="Times New Roman" w:cs="Times New Roman"/>
          <w:sz w:val="24"/>
          <w:szCs w:val="24"/>
          <w:lang w:val="en-US"/>
        </w:rPr>
        <w:t xml:space="preserve"> Argentina, National Court of Appeals, </w:t>
      </w:r>
      <w:r w:rsidRPr="00530144">
        <w:rPr>
          <w:rFonts w:ascii="Times New Roman" w:eastAsia="Times New Roman" w:hAnsi="Times New Roman" w:cs="Times New Roman"/>
          <w:i/>
          <w:iCs/>
          <w:sz w:val="24"/>
          <w:szCs w:val="24"/>
          <w:lang w:val="en-US"/>
        </w:rPr>
        <w:t>Military Junta case</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649).</w:t>
      </w:r>
    </w:p>
    <w:bookmarkStart w:id="46" w:name="Fn_28_13"/>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[13]</w:t>
      </w:r>
      <w:r w:rsidRPr="00530144">
        <w:rPr>
          <w:rFonts w:ascii="Times New Roman" w:eastAsia="Times New Roman" w:hAnsi="Times New Roman" w:cs="Times New Roman"/>
          <w:sz w:val="24"/>
          <w:szCs w:val="24"/>
        </w:rPr>
        <w:fldChar w:fldCharType="end"/>
      </w:r>
      <w:bookmarkEnd w:id="46"/>
      <w:r w:rsidRPr="00530144">
        <w:rPr>
          <w:rFonts w:ascii="Times New Roman" w:eastAsia="Times New Roman" w:hAnsi="Times New Roman" w:cs="Times New Roman"/>
          <w:sz w:val="24"/>
          <w:szCs w:val="24"/>
          <w:lang w:val="en-US"/>
        </w:rPr>
        <w:t xml:space="preserve"> UN Commission on the Truth for El Salvador, Report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690).</w:t>
      </w:r>
    </w:p>
    <w:bookmarkStart w:id="47" w:name="Fn_28_14"/>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[14]</w:t>
      </w:r>
      <w:r w:rsidRPr="00530144">
        <w:rPr>
          <w:rFonts w:ascii="Times New Roman" w:eastAsia="Times New Roman" w:hAnsi="Times New Roman" w:cs="Times New Roman"/>
          <w:sz w:val="24"/>
          <w:szCs w:val="24"/>
        </w:rPr>
        <w:fldChar w:fldCharType="end"/>
      </w:r>
      <w:bookmarkEnd w:id="47"/>
      <w:r w:rsidRPr="00530144">
        <w:rPr>
          <w:rFonts w:ascii="Times New Roman" w:eastAsia="Times New Roman" w:hAnsi="Times New Roman" w:cs="Times New Roman"/>
          <w:sz w:val="24"/>
          <w:szCs w:val="24"/>
          <w:lang w:val="en-US"/>
        </w:rPr>
        <w:t xml:space="preserve"> ICTR, </w:t>
      </w:r>
      <w:r w:rsidRPr="00530144">
        <w:rPr>
          <w:rFonts w:ascii="Times New Roman" w:eastAsia="Times New Roman" w:hAnsi="Times New Roman" w:cs="Times New Roman"/>
          <w:i/>
          <w:iCs/>
          <w:sz w:val="24"/>
          <w:szCs w:val="24"/>
          <w:lang w:val="en-US"/>
        </w:rPr>
        <w:t>Akayesu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702) and </w:t>
      </w:r>
      <w:r w:rsidRPr="00530144">
        <w:rPr>
          <w:rFonts w:ascii="Times New Roman" w:eastAsia="Times New Roman" w:hAnsi="Times New Roman" w:cs="Times New Roman"/>
          <w:i/>
          <w:iCs/>
          <w:sz w:val="24"/>
          <w:szCs w:val="24"/>
          <w:lang w:val="en-US"/>
        </w:rPr>
        <w:t>Kayishema and Ruzindana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703); ICTY,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707).</w:t>
      </w:r>
    </w:p>
    <w:bookmarkStart w:id="48" w:name="Fn_28_15"/>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"refFn_28_15"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[15]</w:t>
      </w:r>
      <w:r w:rsidRPr="00530144">
        <w:rPr>
          <w:rFonts w:ascii="Times New Roman" w:eastAsia="Times New Roman" w:hAnsi="Times New Roman" w:cs="Times New Roman"/>
          <w:sz w:val="24"/>
          <w:szCs w:val="24"/>
        </w:rPr>
        <w:fldChar w:fldCharType="end"/>
      </w:r>
      <w:bookmarkEnd w:id="48"/>
      <w:r w:rsidRPr="00530144">
        <w:rPr>
          <w:rFonts w:ascii="Times New Roman" w:eastAsia="Times New Roman" w:hAnsi="Times New Roman" w:cs="Times New Roman"/>
          <w:sz w:val="24"/>
          <w:szCs w:val="24"/>
          <w:lang w:val="en-US"/>
        </w:rPr>
        <w:t xml:space="preserve"> ICC Statute, Article 28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w:t>
      </w:r>
    </w:p>
    <w:bookmarkStart w:id="49" w:name="Fn_28_16"/>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"refFn_28_16"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[16]</w:t>
      </w:r>
      <w:r w:rsidRPr="00530144">
        <w:rPr>
          <w:rFonts w:ascii="Times New Roman" w:eastAsia="Times New Roman" w:hAnsi="Times New Roman" w:cs="Times New Roman"/>
          <w:sz w:val="24"/>
          <w:szCs w:val="24"/>
        </w:rPr>
        <w:fldChar w:fldCharType="end"/>
      </w:r>
      <w:bookmarkEnd w:id="49"/>
      <w:r w:rsidRPr="00530144">
        <w:rPr>
          <w:rFonts w:ascii="Times New Roman" w:eastAsia="Times New Roman" w:hAnsi="Times New Roman" w:cs="Times New Roman"/>
          <w:sz w:val="24"/>
          <w:szCs w:val="24"/>
          <w:lang w:val="en-US"/>
        </w:rPr>
        <w:t xml:space="preserve"> ICTY Statute, Article 7(3)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581); ICTR Statute, Article 6(3)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582); Statute of the Special Court for Sierra Leone, Article 6(3)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577).</w:t>
      </w:r>
    </w:p>
    <w:bookmarkStart w:id="50" w:name="Fn_28_17"/>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"refFn_28_17"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[17]</w:t>
      </w:r>
      <w:r w:rsidRPr="00530144">
        <w:rPr>
          <w:rFonts w:ascii="Times New Roman" w:eastAsia="Times New Roman" w:hAnsi="Times New Roman" w:cs="Times New Roman"/>
          <w:sz w:val="24"/>
          <w:szCs w:val="24"/>
        </w:rPr>
        <w:fldChar w:fldCharType="end"/>
      </w:r>
      <w:bookmarkEnd w:id="50"/>
      <w:r w:rsidRPr="00530144">
        <w:rPr>
          <w:rFonts w:ascii="Times New Roman" w:eastAsia="Times New Roman" w:hAnsi="Times New Roman" w:cs="Times New Roman"/>
          <w:sz w:val="24"/>
          <w:szCs w:val="24"/>
          <w:lang w:val="en-US"/>
        </w:rPr>
        <w:t xml:space="preserve"> See, e.g., the military manuals of Belgium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588), Netherlands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599), Sweden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610), Uruguay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619) and Yugoslavia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620) and the legislation of Belarus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626), Cambodia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628), Canada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629), Estonia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622), France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633), Germany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634), Netherlands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641), Rwanda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642) and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647); see also the draft legislation of Argentina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621), El Salvador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631) and Lebanon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637).</w:t>
      </w:r>
    </w:p>
    <w:bookmarkStart w:id="51" w:name="Fn_28_18"/>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"refFn_28_18"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[18]</w:t>
      </w:r>
      <w:r w:rsidRPr="00530144">
        <w:rPr>
          <w:rFonts w:ascii="Times New Roman" w:eastAsia="Times New Roman" w:hAnsi="Times New Roman" w:cs="Times New Roman"/>
          <w:sz w:val="24"/>
          <w:szCs w:val="24"/>
        </w:rPr>
        <w:fldChar w:fldCharType="end"/>
      </w:r>
      <w:bookmarkEnd w:id="51"/>
      <w:r w:rsidRPr="00530144">
        <w:rPr>
          <w:rFonts w:ascii="Times New Roman" w:eastAsia="Times New Roman" w:hAnsi="Times New Roman" w:cs="Times New Roman"/>
          <w:sz w:val="24"/>
          <w:szCs w:val="24"/>
          <w:lang w:val="en-US"/>
        </w:rPr>
        <w:t xml:space="preserve"> See, e.g., ICTR, </w:t>
      </w:r>
      <w:r w:rsidRPr="00530144">
        <w:rPr>
          <w:rFonts w:ascii="Times New Roman" w:eastAsia="Times New Roman" w:hAnsi="Times New Roman" w:cs="Times New Roman"/>
          <w:i/>
          <w:iCs/>
          <w:sz w:val="24"/>
          <w:szCs w:val="24"/>
          <w:lang w:val="en-US"/>
        </w:rPr>
        <w:t>Kayishema and Ruzindana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703); ICTY,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707), </w:t>
      </w:r>
      <w:r w:rsidRPr="00530144">
        <w:rPr>
          <w:rFonts w:ascii="Times New Roman" w:eastAsia="Times New Roman" w:hAnsi="Times New Roman" w:cs="Times New Roman"/>
          <w:i/>
          <w:iCs/>
          <w:sz w:val="24"/>
          <w:szCs w:val="24"/>
          <w:lang w:val="en-US"/>
        </w:rPr>
        <w:t>Aleksovski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708), </w:t>
      </w:r>
      <w:r w:rsidRPr="00530144">
        <w:rPr>
          <w:rFonts w:ascii="Times New Roman" w:eastAsia="Times New Roman" w:hAnsi="Times New Roman" w:cs="Times New Roman"/>
          <w:i/>
          <w:iCs/>
          <w:sz w:val="24"/>
          <w:szCs w:val="24"/>
          <w:lang w:val="en-US"/>
        </w:rPr>
        <w:t>Blaškić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709), </w:t>
      </w:r>
      <w:r w:rsidRPr="00530144">
        <w:rPr>
          <w:rFonts w:ascii="Times New Roman" w:eastAsia="Times New Roman" w:hAnsi="Times New Roman" w:cs="Times New Roman"/>
          <w:i/>
          <w:iCs/>
          <w:sz w:val="24"/>
          <w:szCs w:val="24"/>
          <w:lang w:val="en-US"/>
        </w:rPr>
        <w:t>Kunarac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711) and </w:t>
      </w:r>
      <w:r w:rsidRPr="00530144">
        <w:rPr>
          <w:rFonts w:ascii="Times New Roman" w:eastAsia="Times New Roman" w:hAnsi="Times New Roman" w:cs="Times New Roman"/>
          <w:i/>
          <w:iCs/>
          <w:sz w:val="24"/>
          <w:szCs w:val="24"/>
          <w:lang w:val="en-US"/>
        </w:rPr>
        <w:t>Kvočka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714).</w:t>
      </w:r>
    </w:p>
    <w:bookmarkStart w:id="52" w:name="Fn_28_19"/>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"refFn_28_19"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[19]</w:t>
      </w:r>
      <w:r w:rsidRPr="00530144">
        <w:rPr>
          <w:rFonts w:ascii="Times New Roman" w:eastAsia="Times New Roman" w:hAnsi="Times New Roman" w:cs="Times New Roman"/>
          <w:sz w:val="24"/>
          <w:szCs w:val="24"/>
        </w:rPr>
        <w:fldChar w:fldCharType="end"/>
      </w:r>
      <w:bookmarkEnd w:id="52"/>
      <w:r w:rsidRPr="00530144">
        <w:rPr>
          <w:rFonts w:ascii="Times New Roman" w:eastAsia="Times New Roman" w:hAnsi="Times New Roman" w:cs="Times New Roman"/>
          <w:sz w:val="24"/>
          <w:szCs w:val="24"/>
          <w:lang w:val="en-US"/>
        </w:rPr>
        <w:t xml:space="preserve"> See, e.g., ICTY,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707), </w:t>
      </w:r>
      <w:r w:rsidRPr="00530144">
        <w:rPr>
          <w:rFonts w:ascii="Times New Roman" w:eastAsia="Times New Roman" w:hAnsi="Times New Roman" w:cs="Times New Roman"/>
          <w:i/>
          <w:iCs/>
          <w:sz w:val="24"/>
          <w:szCs w:val="24"/>
          <w:lang w:val="en-US"/>
        </w:rPr>
        <w:t>Aleksovski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708) and </w:t>
      </w:r>
      <w:r w:rsidRPr="00530144">
        <w:rPr>
          <w:rFonts w:ascii="Times New Roman" w:eastAsia="Times New Roman" w:hAnsi="Times New Roman" w:cs="Times New Roman"/>
          <w:i/>
          <w:iCs/>
          <w:sz w:val="24"/>
          <w:szCs w:val="24"/>
          <w:lang w:val="en-US"/>
        </w:rPr>
        <w:t>Kvočka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714).</w:t>
      </w:r>
    </w:p>
    <w:bookmarkStart w:id="53" w:name="Fn_28_20"/>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"refFn_28_20"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[20]</w:t>
      </w:r>
      <w:r w:rsidRPr="00530144">
        <w:rPr>
          <w:rFonts w:ascii="Times New Roman" w:eastAsia="Times New Roman" w:hAnsi="Times New Roman" w:cs="Times New Roman"/>
          <w:sz w:val="24"/>
          <w:szCs w:val="24"/>
        </w:rPr>
        <w:fldChar w:fldCharType="end"/>
      </w:r>
      <w:bookmarkEnd w:id="53"/>
      <w:r w:rsidRPr="00530144">
        <w:rPr>
          <w:rFonts w:ascii="Times New Roman" w:eastAsia="Times New Roman" w:hAnsi="Times New Roman" w:cs="Times New Roman"/>
          <w:sz w:val="24"/>
          <w:szCs w:val="24"/>
          <w:lang w:val="en-US"/>
        </w:rPr>
        <w:t xml:space="preserve"> ICC Statute, Article 28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w:t>
      </w:r>
    </w:p>
    <w:bookmarkStart w:id="54" w:name="Fn_28_21"/>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[21]</w:t>
      </w:r>
      <w:r w:rsidRPr="00530144">
        <w:rPr>
          <w:rFonts w:ascii="Times New Roman" w:eastAsia="Times New Roman" w:hAnsi="Times New Roman" w:cs="Times New Roman"/>
          <w:sz w:val="24"/>
          <w:szCs w:val="24"/>
        </w:rPr>
        <w:fldChar w:fldCharType="end"/>
      </w:r>
      <w:bookmarkEnd w:id="54"/>
      <w:r w:rsidRPr="00530144">
        <w:rPr>
          <w:rFonts w:ascii="Times New Roman" w:eastAsia="Times New Roman" w:hAnsi="Times New Roman" w:cs="Times New Roman"/>
          <w:sz w:val="24"/>
          <w:szCs w:val="24"/>
          <w:lang w:val="en-US"/>
        </w:rPr>
        <w:t xml:space="preserve"> See, e.g., ICTY Statute, Article 7(3)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581); ICTR Statute, Article 6(3)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582) and related case-law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702–716); Statute of the Special Court for Sierra Leone, Article 6(3)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577); UNTAET Regulation No. 2000/15, Section 16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585); Canada, </w:t>
      </w:r>
      <w:r w:rsidRPr="00530144">
        <w:rPr>
          <w:rFonts w:ascii="Times New Roman" w:eastAsia="Times New Roman" w:hAnsi="Times New Roman" w:cs="Times New Roman"/>
          <w:i/>
          <w:iCs/>
          <w:sz w:val="24"/>
          <w:szCs w:val="24"/>
          <w:lang w:val="en-US"/>
        </w:rPr>
        <w:t>LOAC Manual</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591); Cambodia, </w:t>
      </w:r>
      <w:r w:rsidRPr="00530144">
        <w:rPr>
          <w:rFonts w:ascii="Times New Roman" w:eastAsia="Times New Roman" w:hAnsi="Times New Roman" w:cs="Times New Roman"/>
          <w:i/>
          <w:iCs/>
          <w:sz w:val="24"/>
          <w:szCs w:val="24"/>
          <w:lang w:val="en-US"/>
        </w:rPr>
        <w:t>Law on the Khmer Rouge Trial</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628); UN Secretary-General, Report on the draft ICTY Statute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685).</w:t>
      </w:r>
    </w:p>
    <w:bookmarkStart w:id="55" w:name="Fn_28_22"/>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[22]</w:t>
      </w:r>
      <w:r w:rsidRPr="00530144">
        <w:rPr>
          <w:rFonts w:ascii="Times New Roman" w:eastAsia="Times New Roman" w:hAnsi="Times New Roman" w:cs="Times New Roman"/>
          <w:sz w:val="24"/>
          <w:szCs w:val="24"/>
        </w:rPr>
        <w:fldChar w:fldCharType="end"/>
      </w:r>
      <w:bookmarkEnd w:id="55"/>
      <w:r w:rsidRPr="00530144">
        <w:rPr>
          <w:rFonts w:ascii="Times New Roman" w:eastAsia="Times New Roman" w:hAnsi="Times New Roman" w:cs="Times New Roman"/>
          <w:sz w:val="24"/>
          <w:szCs w:val="24"/>
          <w:lang w:val="en-US"/>
        </w:rPr>
        <w:t xml:space="preserve"> See, e.g., Additional Protocol I, Article 86(2) (adopted by consensus)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569); the military manuals of Canada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591), Netherlands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599), New Zealand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601), Sweden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610), United Kingdom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613) and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614–615 and 617–618); Indonesia, Ad Hoc Tribunal on Human Rights for East Timor, </w:t>
      </w:r>
      <w:r w:rsidRPr="00530144">
        <w:rPr>
          <w:rFonts w:ascii="Times New Roman" w:eastAsia="Times New Roman" w:hAnsi="Times New Roman" w:cs="Times New Roman"/>
          <w:i/>
          <w:iCs/>
          <w:sz w:val="24"/>
          <w:szCs w:val="24"/>
          <w:lang w:val="en-US"/>
        </w:rPr>
        <w:t>Abilio Soares case</w:t>
      </w:r>
      <w:r w:rsidRPr="00530144">
        <w:rPr>
          <w:rFonts w:ascii="Times New Roman" w:eastAsia="Times New Roman" w:hAnsi="Times New Roman" w:cs="Times New Roman"/>
          <w:sz w:val="24"/>
          <w:szCs w:val="24"/>
          <w:lang w:val="en-US"/>
        </w:rPr>
        <w:t>, Indictment and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654).</w:t>
      </w:r>
    </w:p>
    <w:bookmarkStart w:id="56" w:name="Fn_28_23"/>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[23]</w:t>
      </w:r>
      <w:r w:rsidRPr="00530144">
        <w:rPr>
          <w:rFonts w:ascii="Times New Roman" w:eastAsia="Times New Roman" w:hAnsi="Times New Roman" w:cs="Times New Roman"/>
          <w:sz w:val="24"/>
          <w:szCs w:val="24"/>
        </w:rPr>
        <w:fldChar w:fldCharType="end"/>
      </w:r>
      <w:bookmarkEnd w:id="56"/>
      <w:r w:rsidRPr="00530144">
        <w:rPr>
          <w:rFonts w:ascii="Times New Roman" w:eastAsia="Times New Roman" w:hAnsi="Times New Roman" w:cs="Times New Roman"/>
          <w:sz w:val="24"/>
          <w:szCs w:val="24"/>
          <w:lang w:val="en-US"/>
        </w:rPr>
        <w:t xml:space="preserve"> See, e.g., ICC Statute, Article 28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 the military manuals of Australia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587), Belgium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588), Canada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591) and New Zealand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xml:space="preserve">, § 601); United States, Federal Court of Florida, </w:t>
      </w:r>
      <w:r w:rsidRPr="00530144">
        <w:rPr>
          <w:rFonts w:ascii="Times New Roman" w:eastAsia="Times New Roman" w:hAnsi="Times New Roman" w:cs="Times New Roman"/>
          <w:i/>
          <w:iCs/>
          <w:sz w:val="24"/>
          <w:szCs w:val="24"/>
          <w:lang w:val="en-US"/>
        </w:rPr>
        <w:t>Ford v. García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661); the practice of the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676–677).</w:t>
      </w:r>
    </w:p>
    <w:bookmarkStart w:id="57" w:name="Fn_28_24"/>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[24]</w:t>
      </w:r>
      <w:r w:rsidRPr="00530144">
        <w:rPr>
          <w:rFonts w:ascii="Times New Roman" w:eastAsia="Times New Roman" w:hAnsi="Times New Roman" w:cs="Times New Roman"/>
          <w:sz w:val="24"/>
          <w:szCs w:val="24"/>
        </w:rPr>
        <w:fldChar w:fldCharType="end"/>
      </w:r>
      <w:bookmarkEnd w:id="57"/>
      <w:r w:rsidRPr="00530144">
        <w:rPr>
          <w:rFonts w:ascii="Times New Roman" w:eastAsia="Times New Roman" w:hAnsi="Times New Roman" w:cs="Times New Roman"/>
          <w:sz w:val="24"/>
          <w:szCs w:val="24"/>
          <w:lang w:val="en-US"/>
        </w:rPr>
        <w:t xml:space="preserve"> See, e.g., IMT (Tokyo), </w:t>
      </w:r>
      <w:r w:rsidRPr="00530144">
        <w:rPr>
          <w:rFonts w:ascii="Times New Roman" w:eastAsia="Times New Roman" w:hAnsi="Times New Roman" w:cs="Times New Roman"/>
          <w:i/>
          <w:iCs/>
          <w:sz w:val="24"/>
          <w:szCs w:val="24"/>
          <w:lang w:val="en-US"/>
        </w:rPr>
        <w:t>Case of the Major War Criminals</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693).</w:t>
      </w:r>
    </w:p>
    <w:bookmarkStart w:id="58" w:name="Fn_28_25"/>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"refFn_28_25"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[25]</w:t>
      </w:r>
      <w:r w:rsidRPr="00530144">
        <w:rPr>
          <w:rFonts w:ascii="Times New Roman" w:eastAsia="Times New Roman" w:hAnsi="Times New Roman" w:cs="Times New Roman"/>
          <w:sz w:val="24"/>
          <w:szCs w:val="24"/>
        </w:rPr>
        <w:fldChar w:fldCharType="end"/>
      </w:r>
      <w:bookmarkEnd w:id="58"/>
      <w:r w:rsidRPr="00530144">
        <w:rPr>
          <w:rFonts w:ascii="Times New Roman" w:eastAsia="Times New Roman" w:hAnsi="Times New Roman" w:cs="Times New Roman"/>
          <w:sz w:val="24"/>
          <w:szCs w:val="24"/>
          <w:lang w:val="en-US"/>
        </w:rPr>
        <w:t xml:space="preserve"> See, e.g., Canada, </w:t>
      </w:r>
      <w:r w:rsidRPr="00530144">
        <w:rPr>
          <w:rFonts w:ascii="Times New Roman" w:eastAsia="Times New Roman" w:hAnsi="Times New Roman" w:cs="Times New Roman"/>
          <w:i/>
          <w:iCs/>
          <w:sz w:val="24"/>
          <w:szCs w:val="24"/>
          <w:lang w:val="en-US"/>
        </w:rPr>
        <w:t>Crimes against Humanity and War Crimes Act</w:t>
      </w:r>
      <w:r w:rsidRPr="00530144">
        <w:rPr>
          <w:rFonts w:ascii="Times New Roman" w:eastAsia="Times New Roman" w:hAnsi="Times New Roman" w:cs="Times New Roman"/>
          <w:sz w:val="24"/>
          <w:szCs w:val="24"/>
          <w:lang w:val="en-US"/>
        </w:rPr>
        <w:t xml:space="preserv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629).</w:t>
      </w:r>
    </w:p>
    <w:bookmarkStart w:id="59" w:name="Fn_28_26"/>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"refFn_28_26"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[26]</w:t>
      </w:r>
      <w:r w:rsidRPr="00530144">
        <w:rPr>
          <w:rFonts w:ascii="Times New Roman" w:eastAsia="Times New Roman" w:hAnsi="Times New Roman" w:cs="Times New Roman"/>
          <w:sz w:val="24"/>
          <w:szCs w:val="24"/>
        </w:rPr>
        <w:fldChar w:fldCharType="end"/>
      </w:r>
      <w:bookmarkEnd w:id="59"/>
      <w:r w:rsidRPr="00530144">
        <w:rPr>
          <w:rFonts w:ascii="Times New Roman" w:eastAsia="Times New Roman" w:hAnsi="Times New Roman" w:cs="Times New Roman"/>
          <w:sz w:val="24"/>
          <w:szCs w:val="24"/>
          <w:lang w:val="en-US"/>
        </w:rPr>
        <w:t xml:space="preserve"> ICC Statute, Article 28(b)(i)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w:t>
      </w:r>
    </w:p>
    <w:bookmarkStart w:id="60" w:name="Fn_28_27"/>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"refFn_28_27"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[27]</w:t>
      </w:r>
      <w:r w:rsidRPr="00530144">
        <w:rPr>
          <w:rFonts w:ascii="Times New Roman" w:eastAsia="Times New Roman" w:hAnsi="Times New Roman" w:cs="Times New Roman"/>
          <w:sz w:val="24"/>
          <w:szCs w:val="24"/>
        </w:rPr>
        <w:fldChar w:fldCharType="end"/>
      </w:r>
      <w:bookmarkEnd w:id="60"/>
      <w:r w:rsidRPr="00530144">
        <w:rPr>
          <w:rFonts w:ascii="Times New Roman" w:eastAsia="Times New Roman" w:hAnsi="Times New Roman" w:cs="Times New Roman"/>
          <w:sz w:val="24"/>
          <w:szCs w:val="24"/>
          <w:lang w:val="en-US"/>
        </w:rPr>
        <w:t xml:space="preserve"> ICTR, </w:t>
      </w:r>
      <w:r w:rsidRPr="00530144">
        <w:rPr>
          <w:rFonts w:ascii="Times New Roman" w:eastAsia="Times New Roman" w:hAnsi="Times New Roman" w:cs="Times New Roman"/>
          <w:i/>
          <w:iCs/>
          <w:sz w:val="24"/>
          <w:szCs w:val="24"/>
          <w:lang w:val="en-US"/>
        </w:rPr>
        <w:t>Kayishema and Ruzindana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703).</w:t>
      </w:r>
    </w:p>
    <w:bookmarkStart w:id="61" w:name="Fn_28_28"/>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lastRenderedPageBreak/>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"refFn_28_28"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[28]</w:t>
      </w:r>
      <w:r w:rsidRPr="00530144">
        <w:rPr>
          <w:rFonts w:ascii="Times New Roman" w:eastAsia="Times New Roman" w:hAnsi="Times New Roman" w:cs="Times New Roman"/>
          <w:sz w:val="24"/>
          <w:szCs w:val="24"/>
        </w:rPr>
        <w:fldChar w:fldCharType="end"/>
      </w:r>
      <w:bookmarkEnd w:id="61"/>
      <w:r w:rsidRPr="00530144">
        <w:rPr>
          <w:rFonts w:ascii="Times New Roman" w:eastAsia="Times New Roman" w:hAnsi="Times New Roman" w:cs="Times New Roman"/>
          <w:sz w:val="24"/>
          <w:szCs w:val="24"/>
          <w:lang w:val="en-US"/>
        </w:rPr>
        <w:t xml:space="preserve"> Additional Protocol I, Article 87(1)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570); ICC Statute, Article 28(a)(ii) and (b)(iii)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574).</w:t>
      </w:r>
    </w:p>
    <w:bookmarkStart w:id="62" w:name="Fn_28_29"/>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"refFn_28_29"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[29]</w:t>
      </w:r>
      <w:r w:rsidRPr="00530144">
        <w:rPr>
          <w:rFonts w:ascii="Times New Roman" w:eastAsia="Times New Roman" w:hAnsi="Times New Roman" w:cs="Times New Roman"/>
          <w:sz w:val="24"/>
          <w:szCs w:val="24"/>
        </w:rPr>
        <w:fldChar w:fldCharType="end"/>
      </w:r>
      <w:bookmarkEnd w:id="62"/>
      <w:r w:rsidRPr="00530144">
        <w:rPr>
          <w:rFonts w:ascii="Times New Roman" w:eastAsia="Times New Roman" w:hAnsi="Times New Roman" w:cs="Times New Roman"/>
          <w:sz w:val="24"/>
          <w:szCs w:val="24"/>
          <w:lang w:val="en-US"/>
        </w:rPr>
        <w:t xml:space="preserve"> See, e.g., the military manuals of Argentina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724), Australia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725–726), Benin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727), Canada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728–729), Colombia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730), Dominican Republic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731), El Salvador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732), Germany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733), Netherlands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734–735), Nigeria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736), Peru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737), Philippines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738), South Africa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739–740), Sweden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610 and 741), Togo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742) and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743–744), the legislation of Argentina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621), Canada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729), Egypt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630), Germany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745), India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746), Ukraine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646),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647) and the practice of the United States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750–752) and Yugoslavia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753).</w:t>
      </w:r>
    </w:p>
    <w:bookmarkStart w:id="63" w:name="Fn_28_30"/>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"refFn_28_30"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[30]</w:t>
      </w:r>
      <w:r w:rsidRPr="00530144">
        <w:rPr>
          <w:rFonts w:ascii="Times New Roman" w:eastAsia="Times New Roman" w:hAnsi="Times New Roman" w:cs="Times New Roman"/>
          <w:sz w:val="24"/>
          <w:szCs w:val="24"/>
        </w:rPr>
        <w:fldChar w:fldCharType="end"/>
      </w:r>
      <w:bookmarkEnd w:id="63"/>
      <w:r w:rsidRPr="00530144">
        <w:rPr>
          <w:rFonts w:ascii="Times New Roman" w:eastAsia="Times New Roman" w:hAnsi="Times New Roman" w:cs="Times New Roman"/>
          <w:sz w:val="24"/>
          <w:szCs w:val="24"/>
          <w:lang w:val="en-US"/>
        </w:rPr>
        <w:t xml:space="preserve"> UN Commission of Experts Established pursuant to Security Council Resolution 780 (1992), Final report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689 and 754).</w:t>
      </w:r>
    </w:p>
    <w:bookmarkStart w:id="64" w:name="Fn_28_31"/>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"refFn_28_31"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[31]</w:t>
      </w:r>
      <w:r w:rsidRPr="00530144">
        <w:rPr>
          <w:rFonts w:ascii="Times New Roman" w:eastAsia="Times New Roman" w:hAnsi="Times New Roman" w:cs="Times New Roman"/>
          <w:sz w:val="24"/>
          <w:szCs w:val="24"/>
        </w:rPr>
        <w:fldChar w:fldCharType="end"/>
      </w:r>
      <w:bookmarkEnd w:id="64"/>
      <w:r w:rsidRPr="00530144">
        <w:rPr>
          <w:rFonts w:ascii="Times New Roman" w:eastAsia="Times New Roman" w:hAnsi="Times New Roman" w:cs="Times New Roman"/>
          <w:sz w:val="24"/>
          <w:szCs w:val="24"/>
          <w:lang w:val="en-US"/>
        </w:rPr>
        <w:t xml:space="preserve"> ICTY, </w:t>
      </w:r>
      <w:r w:rsidRPr="00530144">
        <w:rPr>
          <w:rFonts w:ascii="Times New Roman" w:eastAsia="Times New Roman" w:hAnsi="Times New Roman" w:cs="Times New Roman"/>
          <w:i/>
          <w:iCs/>
          <w:sz w:val="24"/>
          <w:szCs w:val="24"/>
          <w:lang w:val="en-US"/>
        </w:rPr>
        <w:t>Blaškić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709).</w:t>
      </w:r>
    </w:p>
    <w:bookmarkStart w:id="65" w:name="Fn_28_32"/>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"refFn_28_32"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[32]</w:t>
      </w:r>
      <w:r w:rsidRPr="00530144">
        <w:rPr>
          <w:rFonts w:ascii="Times New Roman" w:eastAsia="Times New Roman" w:hAnsi="Times New Roman" w:cs="Times New Roman"/>
          <w:sz w:val="24"/>
          <w:szCs w:val="24"/>
        </w:rPr>
        <w:fldChar w:fldCharType="end"/>
      </w:r>
      <w:bookmarkEnd w:id="65"/>
      <w:r w:rsidRPr="00530144">
        <w:rPr>
          <w:rFonts w:ascii="Times New Roman" w:eastAsia="Times New Roman" w:hAnsi="Times New Roman" w:cs="Times New Roman"/>
          <w:sz w:val="24"/>
          <w:szCs w:val="24"/>
          <w:lang w:val="en-US"/>
        </w:rPr>
        <w:t xml:space="preserve"> ICTY, </w:t>
      </w:r>
      <w:r w:rsidRPr="00530144">
        <w:rPr>
          <w:rFonts w:ascii="Times New Roman" w:eastAsia="Times New Roman" w:hAnsi="Times New Roman" w:cs="Times New Roman"/>
          <w:i/>
          <w:iCs/>
          <w:sz w:val="24"/>
          <w:szCs w:val="24"/>
          <w:lang w:val="en-US"/>
        </w:rPr>
        <w:t>Delalić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707).</w:t>
      </w:r>
    </w:p>
    <w:bookmarkStart w:id="66" w:name="Fn_28_33"/>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"refFn_28_33"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[33]</w:t>
      </w:r>
      <w:r w:rsidRPr="00530144">
        <w:rPr>
          <w:rFonts w:ascii="Times New Roman" w:eastAsia="Times New Roman" w:hAnsi="Times New Roman" w:cs="Times New Roman"/>
          <w:sz w:val="24"/>
          <w:szCs w:val="24"/>
        </w:rPr>
        <w:fldChar w:fldCharType="end"/>
      </w:r>
      <w:bookmarkEnd w:id="66"/>
      <w:r w:rsidRPr="00530144">
        <w:rPr>
          <w:rFonts w:ascii="Times New Roman" w:eastAsia="Times New Roman" w:hAnsi="Times New Roman" w:cs="Times New Roman"/>
          <w:sz w:val="24"/>
          <w:szCs w:val="24"/>
          <w:lang w:val="en-US"/>
        </w:rPr>
        <w:t xml:space="preserve"> ICTY, </w:t>
      </w:r>
      <w:r w:rsidRPr="00530144">
        <w:rPr>
          <w:rFonts w:ascii="Times New Roman" w:eastAsia="Times New Roman" w:hAnsi="Times New Roman" w:cs="Times New Roman"/>
          <w:i/>
          <w:iCs/>
          <w:sz w:val="24"/>
          <w:szCs w:val="24"/>
          <w:lang w:val="en-US"/>
        </w:rPr>
        <w:t>Kvočka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714).</w:t>
      </w:r>
    </w:p>
    <w:bookmarkStart w:id="67" w:name="Fn_28_34"/>
    <w:p w:rsidR="00530144" w:rsidRPr="00530144" w:rsidRDefault="00530144" w:rsidP="00530144">
      <w:pPr>
        <w:spacing w:after="0" w:line="240" w:lineRule="auto"/>
        <w:rPr>
          <w:rFonts w:ascii="Times New Roman" w:eastAsia="Times New Roman" w:hAnsi="Times New Roman" w:cs="Times New Roman"/>
          <w:sz w:val="24"/>
          <w:szCs w:val="24"/>
          <w:lang w:val="en-US"/>
        </w:rPr>
      </w:pPr>
      <w:r w:rsidRPr="00530144">
        <w:rPr>
          <w:rFonts w:ascii="Times New Roman" w:eastAsia="Times New Roman" w:hAnsi="Times New Roman" w:cs="Times New Roman"/>
          <w:sz w:val="24"/>
          <w:szCs w:val="24"/>
        </w:rPr>
        <w:fldChar w:fldCharType="begin"/>
      </w:r>
      <w:r w:rsidRPr="00530144">
        <w:rPr>
          <w:rFonts w:ascii="Times New Roman" w:eastAsia="Times New Roman" w:hAnsi="Times New Roman" w:cs="Times New Roman"/>
          <w:sz w:val="24"/>
          <w:szCs w:val="24"/>
          <w:lang w:val="en-US"/>
        </w:rPr>
        <w:instrText xml:space="preserve"> HYPERLINK "https://ihl-databases.icrc.org/customary-ihl/eng/docs/v1_rul_rule153" \l "refFn_28_34" </w:instrText>
      </w:r>
      <w:r w:rsidRPr="00530144">
        <w:rPr>
          <w:rFonts w:ascii="Times New Roman" w:eastAsia="Times New Roman" w:hAnsi="Times New Roman" w:cs="Times New Roman"/>
          <w:sz w:val="24"/>
          <w:szCs w:val="24"/>
        </w:rPr>
        <w:fldChar w:fldCharType="separate"/>
      </w:r>
      <w:r w:rsidRPr="00530144">
        <w:rPr>
          <w:rFonts w:ascii="Times New Roman" w:eastAsia="Times New Roman" w:hAnsi="Times New Roman" w:cs="Times New Roman"/>
          <w:color w:val="0000FF"/>
          <w:sz w:val="24"/>
          <w:szCs w:val="24"/>
          <w:u w:val="single"/>
          <w:lang w:val="en-US"/>
        </w:rPr>
        <w:t>[34]</w:t>
      </w:r>
      <w:r w:rsidRPr="00530144">
        <w:rPr>
          <w:rFonts w:ascii="Times New Roman" w:eastAsia="Times New Roman" w:hAnsi="Times New Roman" w:cs="Times New Roman"/>
          <w:sz w:val="24"/>
          <w:szCs w:val="24"/>
        </w:rPr>
        <w:fldChar w:fldCharType="end"/>
      </w:r>
      <w:bookmarkEnd w:id="67"/>
      <w:r w:rsidRPr="00530144">
        <w:rPr>
          <w:rFonts w:ascii="Times New Roman" w:eastAsia="Times New Roman" w:hAnsi="Times New Roman" w:cs="Times New Roman"/>
          <w:sz w:val="24"/>
          <w:szCs w:val="24"/>
          <w:lang w:val="en-US"/>
        </w:rPr>
        <w:t xml:space="preserve"> ICTY, </w:t>
      </w:r>
      <w:r w:rsidRPr="00530144">
        <w:rPr>
          <w:rFonts w:ascii="Times New Roman" w:eastAsia="Times New Roman" w:hAnsi="Times New Roman" w:cs="Times New Roman"/>
          <w:i/>
          <w:iCs/>
          <w:sz w:val="24"/>
          <w:szCs w:val="24"/>
          <w:lang w:val="en-US"/>
        </w:rPr>
        <w:t>Blaškić case</w:t>
      </w:r>
      <w:r w:rsidRPr="00530144">
        <w:rPr>
          <w:rFonts w:ascii="Times New Roman" w:eastAsia="Times New Roman" w:hAnsi="Times New Roman" w:cs="Times New Roman"/>
          <w:sz w:val="24"/>
          <w:szCs w:val="24"/>
          <w:lang w:val="en-US"/>
        </w:rPr>
        <w:t>, Judgment (</w:t>
      </w:r>
      <w:r w:rsidRPr="00530144">
        <w:rPr>
          <w:rFonts w:ascii="Times New Roman" w:eastAsia="Times New Roman" w:hAnsi="Times New Roman" w:cs="Times New Roman"/>
          <w:i/>
          <w:iCs/>
          <w:sz w:val="24"/>
          <w:szCs w:val="24"/>
          <w:lang w:val="en-US"/>
        </w:rPr>
        <w:t>ibid.</w:t>
      </w:r>
      <w:r w:rsidRPr="00530144">
        <w:rPr>
          <w:rFonts w:ascii="Times New Roman" w:eastAsia="Times New Roman" w:hAnsi="Times New Roman" w:cs="Times New Roman"/>
          <w:sz w:val="24"/>
          <w:szCs w:val="24"/>
          <w:lang w:val="en-US"/>
        </w:rPr>
        <w:t>, §§ 709 and 757).</w:t>
      </w:r>
    </w:p>
    <w:p w:rsidR="005D025A" w:rsidRPr="00530144" w:rsidRDefault="005D025A">
      <w:pPr>
        <w:rPr>
          <w:lang w:val="en-US"/>
        </w:rPr>
      </w:pPr>
    </w:p>
    <w:p w:rsidR="005D025A" w:rsidRPr="00530144" w:rsidRDefault="005D025A">
      <w:pPr>
        <w:rPr>
          <w:lang w:val="en-US"/>
        </w:rPr>
      </w:pP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Practice Relating to Rule 153. Command Responsibility for Failure to Prevent, Punish or Report War Crimes</w:t>
      </w:r>
    </w:p>
    <w:bookmarkStart w:id="68" w:name="_ITr"/>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"javascript:openUrlLight('src_ITr')"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I. Treaties</w:t>
      </w:r>
      <w:r w:rsidRPr="006155D3">
        <w:rPr>
          <w:rFonts w:ascii="Times New Roman" w:eastAsia="Times New Roman" w:hAnsi="Times New Roman" w:cs="Times New Roman"/>
          <w:sz w:val="24"/>
          <w:szCs w:val="24"/>
        </w:rPr>
        <w:fldChar w:fldCharType="end"/>
      </w:r>
      <w:bookmarkEnd w:id="68"/>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Hague Regulations (1899)</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1(1) of the 1899 Hague Regulations lays down as a condition which an armed force must fulfil in order to be accorded the rights of belligerents “to be commanded by a person responsible for his subordinates”.</w:t>
      </w:r>
      <w:r>
        <w:rPr>
          <w:rFonts w:ascii="Times New Roman" w:eastAsia="Times New Roman" w:hAnsi="Times New Roman" w:cs="Times New Roman"/>
          <w:noProof/>
          <w:sz w:val="24"/>
          <w:szCs w:val="24"/>
        </w:rPr>
        <w:drawing>
          <wp:inline distT="0" distB="0" distL="0" distR="0">
            <wp:extent cx="151130" cy="142875"/>
            <wp:effectExtent l="19050" t="0" r="1270" b="0"/>
            <wp:docPr id="1" name="Imagen 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Hague Regulations (1907)</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1(1) of the 1907 Hague Regulations lays down as a condition which an armed force must fulfil in order to be accorded the rights of belligerents “to be commanded by a person responsible for his subordinates”.</w:t>
      </w:r>
      <w:r>
        <w:rPr>
          <w:rFonts w:ascii="Times New Roman" w:eastAsia="Times New Roman" w:hAnsi="Times New Roman" w:cs="Times New Roman"/>
          <w:noProof/>
          <w:sz w:val="24"/>
          <w:szCs w:val="24"/>
        </w:rPr>
        <w:drawing>
          <wp:inline distT="0" distB="0" distL="0" distR="0">
            <wp:extent cx="151130" cy="142875"/>
            <wp:effectExtent l="19050" t="0" r="1270" b="0"/>
            <wp:docPr id="2" name="Imagen 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Hague Convention (X)</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19 of the 1907 Hague Convention (X) provides:</w:t>
      </w:r>
      <w:r w:rsidRPr="006155D3">
        <w:rPr>
          <w:rFonts w:ascii="Times New Roman" w:eastAsia="Times New Roman" w:hAnsi="Times New Roman" w:cs="Times New Roman"/>
          <w:sz w:val="24"/>
          <w:szCs w:val="24"/>
          <w:lang w:val="en-US"/>
        </w:rPr>
        <w:br/>
        <w:t>The commanders-in-chief of the belligerent fleets must see that the above articles are properly carried out; they will have also to see to cases not covered thereby, in accordance with the instructions of their respective Governments and in conformity with the general principles of the present Convention.</w:t>
      </w:r>
      <w:r>
        <w:rPr>
          <w:rFonts w:ascii="Times New Roman" w:eastAsia="Times New Roman" w:hAnsi="Times New Roman" w:cs="Times New Roman"/>
          <w:noProof/>
          <w:sz w:val="24"/>
          <w:szCs w:val="24"/>
        </w:rPr>
        <w:drawing>
          <wp:inline distT="0" distB="0" distL="0" distR="0">
            <wp:extent cx="151130" cy="142875"/>
            <wp:effectExtent l="19050" t="0" r="1270" b="0"/>
            <wp:docPr id="3" name="Imagen 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Geneva Convention (1929)</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26 of the 1929 Geneva Convention provides:</w:t>
      </w:r>
      <w:r w:rsidRPr="006155D3">
        <w:rPr>
          <w:rFonts w:ascii="Times New Roman" w:eastAsia="Times New Roman" w:hAnsi="Times New Roman" w:cs="Times New Roman"/>
          <w:sz w:val="24"/>
          <w:szCs w:val="24"/>
          <w:lang w:val="en-US"/>
        </w:rPr>
        <w:br/>
        <w:t>The Commanders-in-Chief of belligerent armies shall arrange the details for carrying out the preceding articles as well as for cases not provided for in accordance with the instructions of their respective Governments and in conformity with the general principles of the present Convention.</w:t>
      </w:r>
      <w:r>
        <w:rPr>
          <w:rFonts w:ascii="Times New Roman" w:eastAsia="Times New Roman" w:hAnsi="Times New Roman" w:cs="Times New Roman"/>
          <w:noProof/>
          <w:sz w:val="24"/>
          <w:szCs w:val="24"/>
        </w:rPr>
        <w:drawing>
          <wp:inline distT="0" distB="0" distL="0" distR="0">
            <wp:extent cx="151130" cy="142875"/>
            <wp:effectExtent l="19050" t="0" r="1270" b="0"/>
            <wp:docPr id="4" name="Imagen 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Additional Protocol I</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86(2) of the 1977 Additional Protocol I provides:</w:t>
      </w:r>
      <w:r w:rsidRPr="006155D3">
        <w:rPr>
          <w:rFonts w:ascii="Times New Roman" w:eastAsia="Times New Roman" w:hAnsi="Times New Roman" w:cs="Times New Roman"/>
          <w:sz w:val="24"/>
          <w:szCs w:val="24"/>
          <w:lang w:val="en-US"/>
        </w:rPr>
        <w:br/>
        <w:t xml:space="preserve">The fact that a breach of the Conventions or this Protocol was committed by a subordinate does not absolve his superiors from penal or disciplinary responsibility, as the case may be, if they knew, or had information which should have enabled them to conclude in the circumstances at the time, that he was committing or was going to commit such a breach and if they did not take all feasible measures within their power </w:t>
      </w:r>
      <w:r w:rsidRPr="006155D3">
        <w:rPr>
          <w:rFonts w:ascii="Times New Roman" w:eastAsia="Times New Roman" w:hAnsi="Times New Roman" w:cs="Times New Roman"/>
          <w:sz w:val="24"/>
          <w:szCs w:val="24"/>
          <w:lang w:val="en-US"/>
        </w:rPr>
        <w:lastRenderedPageBreak/>
        <w:t>to prevent or repress the breach.</w:t>
      </w:r>
      <w:r>
        <w:rPr>
          <w:rFonts w:ascii="Times New Roman" w:eastAsia="Times New Roman" w:hAnsi="Times New Roman" w:cs="Times New Roman"/>
          <w:noProof/>
          <w:sz w:val="24"/>
          <w:szCs w:val="24"/>
        </w:rPr>
        <w:drawing>
          <wp:inline distT="0" distB="0" distL="0" distR="0">
            <wp:extent cx="151130" cy="142875"/>
            <wp:effectExtent l="19050" t="0" r="1270" b="0"/>
            <wp:docPr id="5" name="Imagen 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Article 87 of the 1977 Additional Protocol I provides:</w:t>
      </w:r>
      <w:r w:rsidRPr="006155D3">
        <w:rPr>
          <w:rFonts w:ascii="Times New Roman" w:eastAsia="Times New Roman" w:hAnsi="Times New Roman" w:cs="Times New Roman"/>
          <w:sz w:val="24"/>
          <w:szCs w:val="24"/>
          <w:lang w:val="en-US"/>
        </w:rPr>
        <w:br/>
        <w:t>1. The High Contracting Parties and the Parties to the conflict shall require military commanders, with respect to members of the armed forces under their command and other persons under their control, to prevent and, where necessary, to suppress and report to competent authorities breaches of the Conventions and of this Protocol.</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3. The High Contracting Parties and Parties to the conflict shall require any commander who is aware that subordinates or other persons under his control are going to commit or have committed a breach of the Conventions or of this Protocol, to initiate such steps as are necessary to prevent such violations of the Conventions or this Protocol, and, where appropriate, to initiate disciplinary or penal action against violators thereof.</w:t>
      </w:r>
      <w:r>
        <w:rPr>
          <w:rFonts w:ascii="Times New Roman" w:eastAsia="Times New Roman" w:hAnsi="Times New Roman" w:cs="Times New Roman"/>
          <w:noProof/>
          <w:sz w:val="24"/>
          <w:szCs w:val="24"/>
        </w:rPr>
        <w:drawing>
          <wp:inline distT="0" distB="0" distL="0" distR="0">
            <wp:extent cx="151130" cy="142875"/>
            <wp:effectExtent l="19050" t="0" r="1270" b="0"/>
            <wp:docPr id="6" name="Imagen 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Additional Protocol I (draft)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76(2) of the draft Additional Protocol I (now Article 86(2)) submitted by the ICRC to the CDDH provided:</w:t>
      </w:r>
      <w:r w:rsidRPr="006155D3">
        <w:rPr>
          <w:rFonts w:ascii="Times New Roman" w:eastAsia="Times New Roman" w:hAnsi="Times New Roman" w:cs="Times New Roman"/>
          <w:sz w:val="24"/>
          <w:szCs w:val="24"/>
          <w:lang w:val="en-US"/>
        </w:rPr>
        <w:br/>
        <w:t>The fact that a breach of the Conventions or of the present Protocol was committed by a subordinate does not absolve his superiors from penal responsibility if they knew or should have known that he was committing or would commit such a breach and if they did not take measures within their power to prevent or repress the breach.</w:t>
      </w:r>
      <w:r>
        <w:rPr>
          <w:rFonts w:ascii="Times New Roman" w:eastAsia="Times New Roman" w:hAnsi="Times New Roman" w:cs="Times New Roman"/>
          <w:noProof/>
          <w:sz w:val="24"/>
          <w:szCs w:val="24"/>
        </w:rPr>
        <w:drawing>
          <wp:inline distT="0" distB="0" distL="0" distR="0">
            <wp:extent cx="151130" cy="142875"/>
            <wp:effectExtent l="19050" t="0" r="1270" b="0"/>
            <wp:docPr id="7" name="Imagen 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fact that a breach of the Conventions or of the present Protocol was committed by a subordinate does not absolve his superiors from penal or disciplinary responsibility as the case may be, if they knew or had the possibility of knowing in the circumstances at the time that he was committing or was going to commit such a breach and if they did not take all feasible measures within their power to prevent or repress the breach.</w:t>
      </w:r>
      <w:r>
        <w:rPr>
          <w:rFonts w:ascii="Times New Roman" w:eastAsia="Times New Roman" w:hAnsi="Times New Roman" w:cs="Times New Roman"/>
          <w:noProof/>
          <w:sz w:val="24"/>
          <w:szCs w:val="24"/>
        </w:rPr>
        <w:drawing>
          <wp:inline distT="0" distB="0" distL="0" distR="0">
            <wp:extent cx="151130" cy="142875"/>
            <wp:effectExtent l="19050" t="0" r="1270" b="0"/>
            <wp:docPr id="8" name="Imagen 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Agreement on Cessation of Hostilities in Viet Nam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22 of the 1954 Agreement on Cessation of Hostilities in Viet Nam provides: “The Commanders of the Forces of the two parties shall ensure that persons under their respective commands who violate any provisions of the present Agreement are suitably punished.”</w:t>
      </w:r>
      <w:r>
        <w:rPr>
          <w:rFonts w:ascii="Times New Roman" w:eastAsia="Times New Roman" w:hAnsi="Times New Roman" w:cs="Times New Roman"/>
          <w:noProof/>
          <w:sz w:val="24"/>
          <w:szCs w:val="24"/>
        </w:rPr>
        <w:drawing>
          <wp:inline distT="0" distB="0" distL="0" distR="0">
            <wp:extent cx="151130" cy="142875"/>
            <wp:effectExtent l="19050" t="0" r="1270" b="0"/>
            <wp:docPr id="9" name="Imagen 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ICC Statute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28 of the 1998 ICC Statute provides:</w:t>
      </w:r>
      <w:r w:rsidRPr="006155D3">
        <w:rPr>
          <w:rFonts w:ascii="Times New Roman" w:eastAsia="Times New Roman" w:hAnsi="Times New Roman" w:cs="Times New Roman"/>
          <w:sz w:val="24"/>
          <w:szCs w:val="24"/>
          <w:lang w:val="en-US"/>
        </w:rPr>
        <w:br/>
        <w:t>In addition to other grounds of criminal responsibility under this Statute for crimes within the jurisdiction of the Court:</w:t>
      </w:r>
      <w:r w:rsidRPr="006155D3">
        <w:rPr>
          <w:rFonts w:ascii="Times New Roman" w:eastAsia="Times New Roman" w:hAnsi="Times New Roman" w:cs="Times New Roman"/>
          <w:sz w:val="24"/>
          <w:szCs w:val="24"/>
          <w:lang w:val="en-US"/>
        </w:rPr>
        <w:br/>
        <w:t>(a) A military commander or person effectively acting as a military commander shall be criminally responsible for crimes within the jurisdiction of the Court committed by forces under his or her effective command and control, or effective authority and control as the case may be, as a result of his or her failure to exercise control properly over such forces,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 That military commander or person either knew or, owing to the circumstances at the time, should have known that the forces were committing or about to commit such crimes;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(ii) That military commander or person failed to take all necessary and reasonable measures within his or her power to prevent or repress their commission or to submit the matter to the competent authorities for investigation and prosecution.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With respect to superior and subordinate relationships not described in paragraph (a), a superior shall be criminally responsible for crimes within the jurisdiction of the Court committed by subordinates under his or her effective authority and control, as a result of his or her failure to exercise control properly over such subordinates,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 The superior either knew, or consciously disregarded information which clearly indicated, that the subordinates were committing or about to commit such crimes;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(ii) The crimes concerned activities that were within the effective responsibility and control of the superior;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(iii) The superior failed to take all necessary and reasonable measures within his or her power to prevent or repress their commission or to submit the matter to the competent authorities for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0" name="Imagen 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Second Protocol to the Hague Convention for the Protection of Cultural Property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15 of the 1999 Second Protocol to the Hague Convention for the Protection of Cultural Property, which also contains a list of the acts considered as offences within the meaning of the Protocol, provides:</w:t>
      </w:r>
      <w:r w:rsidRPr="006155D3">
        <w:rPr>
          <w:rFonts w:ascii="Times New Roman" w:eastAsia="Times New Roman" w:hAnsi="Times New Roman" w:cs="Times New Roman"/>
          <w:sz w:val="24"/>
          <w:szCs w:val="24"/>
          <w:lang w:val="en-US"/>
        </w:rPr>
        <w:br/>
        <w:t>Each Party shall adopt such measures as may be necessary to establish as criminal offences under its domestic law the offences set forth in this Article and to make such offences punishable by appropriate penalties. When doing so, Parties shall comply with general principles of law and international law, including the rules extending individual criminal responsibility to persons other than those who directly commit the act.</w:t>
      </w:r>
      <w:r>
        <w:rPr>
          <w:rFonts w:ascii="Times New Roman" w:eastAsia="Times New Roman" w:hAnsi="Times New Roman" w:cs="Times New Roman"/>
          <w:noProof/>
          <w:sz w:val="24"/>
          <w:szCs w:val="24"/>
        </w:rPr>
        <w:drawing>
          <wp:inline distT="0" distB="0" distL="0" distR="0">
            <wp:extent cx="151130" cy="142875"/>
            <wp:effectExtent l="19050" t="0" r="1270" b="0"/>
            <wp:docPr id="11" name="Imagen 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Article 22(1) of the 1999 Second Protocol to the Hague Convention for the Protection of Cultural Property provides: “This Protocol shall apply in the event of an armed conflict not of an international character, occurring within the territory of one of the Parties.”</w:t>
      </w:r>
      <w:r>
        <w:rPr>
          <w:rFonts w:ascii="Times New Roman" w:eastAsia="Times New Roman" w:hAnsi="Times New Roman" w:cs="Times New Roman"/>
          <w:noProof/>
          <w:sz w:val="24"/>
          <w:szCs w:val="24"/>
        </w:rPr>
        <w:drawing>
          <wp:inline distT="0" distB="0" distL="0" distR="0">
            <wp:extent cx="151130" cy="142875"/>
            <wp:effectExtent l="19050" t="0" r="1270" b="0"/>
            <wp:docPr id="12" name="Imagen 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Statute of the Special Court for Sierra Leone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6(3) of the 2002 Statute of the Special Court for Sierra Leone, dealing with “Individual criminal responsibility”, provides:</w:t>
      </w:r>
      <w:r w:rsidRPr="006155D3">
        <w:rPr>
          <w:rFonts w:ascii="Times New Roman" w:eastAsia="Times New Roman" w:hAnsi="Times New Roman" w:cs="Times New Roman"/>
          <w:sz w:val="24"/>
          <w:szCs w:val="24"/>
          <w:lang w:val="en-US"/>
        </w:rPr>
        <w:br/>
        <w:t>The fact that any of the acts referred to in articles 2 to 4 of the present Statute [crimes against humanity, violations of common Article 3 of the 1949 Geneva Conventions and the 1977 Additional Protocol II, and other serious violations of international humanitarian law] was committed by a subordinate does not relieve his or her superior of criminal responsibility if he or she knew or had reason to know that the subordinate was about to commit such acts or had done so and the superior had failed to take the necessary and reasonable measures to prevent such acts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13" name="Imagen 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Convention on Enforced Disappearance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6(1) of the 2006 Convention on Enforced Disappearance provides:</w:t>
      </w:r>
      <w:r w:rsidRPr="006155D3">
        <w:rPr>
          <w:rFonts w:ascii="Times New Roman" w:eastAsia="Times New Roman" w:hAnsi="Times New Roman" w:cs="Times New Roman"/>
          <w:sz w:val="24"/>
          <w:szCs w:val="24"/>
          <w:lang w:val="en-US"/>
        </w:rPr>
        <w:br/>
        <w:t xml:space="preserve">Each State Party shall take the necessary measures to hold criminally responsible at least: </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i/>
          <w:iCs/>
          <w:sz w:val="24"/>
          <w:szCs w:val="24"/>
          <w:lang w:val="en-US"/>
        </w:rPr>
        <w:t>b</w:t>
      </w:r>
      <w:r w:rsidRPr="006155D3">
        <w:rPr>
          <w:rFonts w:ascii="Times New Roman" w:eastAsia="Times New Roman" w:hAnsi="Times New Roman" w:cs="Times New Roman"/>
          <w:sz w:val="24"/>
          <w:szCs w:val="24"/>
          <w:lang w:val="en-US"/>
        </w:rPr>
        <w:t xml:space="preserve">) A superior who: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 Knew, or consciously disregarded information which clearly indicated, that subordinates under his or her effective authority and control were committing or about to commit a crime of enforced disappearance;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(ii) Exercised effective responsibility for and control over activities which were concerned with the crime of enforced disappearance; and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(iii) Failed to take all necessary and reasonable measures within his or her power to prevent or repress the commission of an enforced disappearance or to submit the matter to the competent authorities for investigation and prosecution;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i/>
          <w:iCs/>
          <w:sz w:val="24"/>
          <w:szCs w:val="24"/>
          <w:lang w:val="en-US"/>
        </w:rPr>
        <w:t>c</w:t>
      </w:r>
      <w:r w:rsidRPr="006155D3">
        <w:rPr>
          <w:rFonts w:ascii="Times New Roman" w:eastAsia="Times New Roman" w:hAnsi="Times New Roman" w:cs="Times New Roman"/>
          <w:sz w:val="24"/>
          <w:szCs w:val="24"/>
          <w:lang w:val="en-US"/>
        </w:rPr>
        <w:t>) Subparagraph (</w:t>
      </w:r>
      <w:r w:rsidRPr="006155D3">
        <w:rPr>
          <w:rFonts w:ascii="Times New Roman" w:eastAsia="Times New Roman" w:hAnsi="Times New Roman" w:cs="Times New Roman"/>
          <w:i/>
          <w:iCs/>
          <w:sz w:val="24"/>
          <w:szCs w:val="24"/>
          <w:lang w:val="en-US"/>
        </w:rPr>
        <w:t>b</w:t>
      </w:r>
      <w:r w:rsidRPr="006155D3">
        <w:rPr>
          <w:rFonts w:ascii="Times New Roman" w:eastAsia="Times New Roman" w:hAnsi="Times New Roman" w:cs="Times New Roman"/>
          <w:sz w:val="24"/>
          <w:szCs w:val="24"/>
          <w:lang w:val="en-US"/>
        </w:rPr>
        <w:t>) above is without prejudice to the higher standards of responsibility applicable under relevant international law to a military commander or to a person effectively acting as a military commander.</w:t>
      </w:r>
      <w:r>
        <w:rPr>
          <w:rFonts w:ascii="Times New Roman" w:eastAsia="Times New Roman" w:hAnsi="Times New Roman" w:cs="Times New Roman"/>
          <w:noProof/>
          <w:sz w:val="24"/>
          <w:szCs w:val="24"/>
        </w:rPr>
        <w:drawing>
          <wp:inline distT="0" distB="0" distL="0" distR="0">
            <wp:extent cx="151130" cy="142875"/>
            <wp:effectExtent l="19050" t="0" r="1270" b="0"/>
            <wp:docPr id="14" name="Imagen 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Statute of the Special Tribunal for Lebanon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3(2) of the 2007 Statute of the Special Tribunal for Lebanon provides:</w:t>
      </w:r>
      <w:r w:rsidRPr="006155D3">
        <w:rPr>
          <w:rFonts w:ascii="Times New Roman" w:eastAsia="Times New Roman" w:hAnsi="Times New Roman" w:cs="Times New Roman"/>
          <w:sz w:val="24"/>
          <w:szCs w:val="24"/>
          <w:lang w:val="en-US"/>
        </w:rPr>
        <w:br/>
        <w:t xml:space="preserve">With respect to superior and subordinate relationships, a superior shall be criminally responsible for any of the crimes set forth in article 2 of this Statute committed by </w:t>
      </w:r>
      <w:r w:rsidRPr="006155D3">
        <w:rPr>
          <w:rFonts w:ascii="Times New Roman" w:eastAsia="Times New Roman" w:hAnsi="Times New Roman" w:cs="Times New Roman"/>
          <w:sz w:val="24"/>
          <w:szCs w:val="24"/>
          <w:lang w:val="en-US"/>
        </w:rPr>
        <w:lastRenderedPageBreak/>
        <w:t>subordinates under his or her effective authority and control, as a result of his or her failure to exercise control properly over such subordinates,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The superior either knew, or consciously disregarded information that clearly indicated that the subordinates were committing or about to commit such crimes;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crimes concerned activities that were within the effective responsibility and control of the superior;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 The superior failed to take all necessary and reasonable measures within his or her power to prevent or repress their commission or to submit the matter to the competent authorities for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5" name="Imagen 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69" w:name="_IIOtIn"/>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"javascript:openUrlLight('src_IIOtIn')"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II. Other Instruments</w:t>
      </w:r>
      <w:r w:rsidRPr="006155D3">
        <w:rPr>
          <w:rFonts w:ascii="Times New Roman" w:eastAsia="Times New Roman" w:hAnsi="Times New Roman" w:cs="Times New Roman"/>
          <w:sz w:val="24"/>
          <w:szCs w:val="24"/>
        </w:rPr>
        <w:fldChar w:fldCharType="end"/>
      </w:r>
      <w:bookmarkEnd w:id="69"/>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Basic Principles on the Use of Force and Firearms by Law Enforcement Officials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Paragraph 24 of the 1990 Basic Principles on the Use of Force and Firearms by Law Enforcement Officials provides:</w:t>
      </w:r>
      <w:r w:rsidRPr="006155D3">
        <w:rPr>
          <w:rFonts w:ascii="Times New Roman" w:eastAsia="Times New Roman" w:hAnsi="Times New Roman" w:cs="Times New Roman"/>
          <w:sz w:val="24"/>
          <w:szCs w:val="24"/>
          <w:lang w:val="en-US"/>
        </w:rPr>
        <w:br/>
        <w:t>Governments and law enforcement agencies shall ensure that superior officers are held responsible if they know, or should have known, that law enforcement officials under their command are resorting, or have resorted, to the unlawful use of force and firearms, and they did not take all measures in their power to prevent, suppress or report such use.</w:t>
      </w:r>
      <w:r>
        <w:rPr>
          <w:rFonts w:ascii="Times New Roman" w:eastAsia="Times New Roman" w:hAnsi="Times New Roman" w:cs="Times New Roman"/>
          <w:noProof/>
          <w:sz w:val="24"/>
          <w:szCs w:val="24"/>
        </w:rPr>
        <w:drawing>
          <wp:inline distT="0" distB="0" distL="0" distR="0">
            <wp:extent cx="151130" cy="142875"/>
            <wp:effectExtent l="19050" t="0" r="1270" b="0"/>
            <wp:docPr id="16" name="Imagen 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ILC Draft Code of Crimes against the Peace and Security of Mankind (1991)</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12 of the 1991 ILC Draft Code of Crimes against the Peace and Security of Mankind, entitled “Responsibility of the superior”, provides:</w:t>
      </w:r>
      <w:r w:rsidRPr="006155D3">
        <w:rPr>
          <w:rFonts w:ascii="Times New Roman" w:eastAsia="Times New Roman" w:hAnsi="Times New Roman" w:cs="Times New Roman"/>
          <w:sz w:val="24"/>
          <w:szCs w:val="24"/>
          <w:lang w:val="en-US"/>
        </w:rPr>
        <w:br/>
        <w:t>The fact that a crime against the peace and security of mankind was committed by a subordinate does not relieve his superiors of criminal responsibility, if they knew or had information enabling them to conclude, in the circumstances at the time, that the subordinate was committing or was going to commit such a crime and if they did not take all feasible measures within their power to prevent or repress the crime.</w:t>
      </w:r>
      <w:r>
        <w:rPr>
          <w:rFonts w:ascii="Times New Roman" w:eastAsia="Times New Roman" w:hAnsi="Times New Roman" w:cs="Times New Roman"/>
          <w:noProof/>
          <w:sz w:val="24"/>
          <w:szCs w:val="24"/>
        </w:rPr>
        <w:drawing>
          <wp:inline distT="0" distB="0" distL="0" distR="0">
            <wp:extent cx="151130" cy="142875"/>
            <wp:effectExtent l="19050" t="0" r="1270" b="0"/>
            <wp:docPr id="17" name="Imagen 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ICTY Statute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7(3) of the 1993 ICTY Statute provides:</w:t>
      </w:r>
      <w:r w:rsidRPr="006155D3">
        <w:rPr>
          <w:rFonts w:ascii="Times New Roman" w:eastAsia="Times New Roman" w:hAnsi="Times New Roman" w:cs="Times New Roman"/>
          <w:sz w:val="24"/>
          <w:szCs w:val="24"/>
          <w:lang w:val="en-US"/>
        </w:rPr>
        <w:br/>
        <w:t>The fact that any of the acts referred to in articles 2 to 5 of the present Statute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18" name="Imagen 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Guidelines on the Protection of the Environment in Times of Armed Conflict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Section 20 of the 1994 Guidelines on the Protection of the Environment in Times of Armed Conflict provides:</w:t>
      </w:r>
      <w:r w:rsidRPr="006155D3">
        <w:rPr>
          <w:rFonts w:ascii="Times New Roman" w:eastAsia="Times New Roman" w:hAnsi="Times New Roman" w:cs="Times New Roman"/>
          <w:sz w:val="24"/>
          <w:szCs w:val="24"/>
          <w:lang w:val="en-US"/>
        </w:rPr>
        <w:br/>
        <w:t>In the event of breaches of rules of international humanitarian law protecting the environment, measures shall be taken to stop any such violation and to prevent further breaches. Military commanders are required to prevent and, where necessary, to suppress and to report to competent authorities breaches of these rules.</w:t>
      </w:r>
      <w:r>
        <w:rPr>
          <w:rFonts w:ascii="Times New Roman" w:eastAsia="Times New Roman" w:hAnsi="Times New Roman" w:cs="Times New Roman"/>
          <w:noProof/>
          <w:sz w:val="24"/>
          <w:szCs w:val="24"/>
        </w:rPr>
        <w:drawing>
          <wp:inline distT="0" distB="0" distL="0" distR="0">
            <wp:extent cx="151130" cy="142875"/>
            <wp:effectExtent l="19050" t="0" r="1270" b="0"/>
            <wp:docPr id="19" name="Imagen 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ICTR Statute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6(3) of the 1994 ICTR Statute provides:</w:t>
      </w:r>
      <w:r w:rsidRPr="006155D3">
        <w:rPr>
          <w:rFonts w:ascii="Times New Roman" w:eastAsia="Times New Roman" w:hAnsi="Times New Roman" w:cs="Times New Roman"/>
          <w:sz w:val="24"/>
          <w:szCs w:val="24"/>
          <w:lang w:val="en-US"/>
        </w:rPr>
        <w:br/>
        <w:t>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20" name="Imagen 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ILC Draft Code of Crimes against the Peace and Security of Mankind (1996)</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Article 2(3) of the 1996 ILC Draft Code of Crimes against the Peace and Security of Mankind, entitled “Individual responsibility”, provides:</w:t>
      </w:r>
      <w:r w:rsidRPr="006155D3">
        <w:rPr>
          <w:rFonts w:ascii="Times New Roman" w:eastAsia="Times New Roman" w:hAnsi="Times New Roman" w:cs="Times New Roman"/>
          <w:sz w:val="24"/>
          <w:szCs w:val="24"/>
          <w:lang w:val="en-US"/>
        </w:rPr>
        <w:br/>
        <w:t>An individual shall be responsible for a crime set out in article 17, 18, 19 or 20 if that individual: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 Fails to prevent or repress the commission of such a crime in the circumstances set out in article 6.</w:t>
      </w:r>
      <w:r>
        <w:rPr>
          <w:rFonts w:ascii="Times New Roman" w:eastAsia="Times New Roman" w:hAnsi="Times New Roman" w:cs="Times New Roman"/>
          <w:noProof/>
          <w:sz w:val="24"/>
          <w:szCs w:val="24"/>
        </w:rPr>
        <w:drawing>
          <wp:inline distT="0" distB="0" distL="0" distR="0">
            <wp:extent cx="151130" cy="142875"/>
            <wp:effectExtent l="19050" t="0" r="1270" b="0"/>
            <wp:docPr id="21" name="Imagen 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Article 6 of the 1996 ILC Draft Code of Crimes against the Peace and Security of Mankind, entitled “Responsibility of the superior”, provides:</w:t>
      </w:r>
      <w:r w:rsidRPr="006155D3">
        <w:rPr>
          <w:rFonts w:ascii="Times New Roman" w:eastAsia="Times New Roman" w:hAnsi="Times New Roman" w:cs="Times New Roman"/>
          <w:sz w:val="24"/>
          <w:szCs w:val="24"/>
          <w:lang w:val="en-US"/>
        </w:rPr>
        <w:br/>
        <w:t>The fact that a crime against the peace and security of mankind was committed by a subordinate does not relieve his superiors of criminal responsibility, if they knew or had reason to know, in the circumstances at the time, that the subordinate was committing or was going to commit such a crime and if they did not take all necessary measures within their power to prevent or repress the crime.</w:t>
      </w:r>
      <w:r>
        <w:rPr>
          <w:rFonts w:ascii="Times New Roman" w:eastAsia="Times New Roman" w:hAnsi="Times New Roman" w:cs="Times New Roman"/>
          <w:noProof/>
          <w:sz w:val="24"/>
          <w:szCs w:val="24"/>
        </w:rPr>
        <w:drawing>
          <wp:inline distT="0" distB="0" distL="0" distR="0">
            <wp:extent cx="151130" cy="142875"/>
            <wp:effectExtent l="19050" t="0" r="1270" b="0"/>
            <wp:docPr id="22" name="Imagen 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UNTAET Regulation No. 2000/15</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Section 16 of the UNTAET Regulation No. 2000/15 provides:</w:t>
      </w:r>
      <w:r w:rsidRPr="006155D3">
        <w:rPr>
          <w:rFonts w:ascii="Times New Roman" w:eastAsia="Times New Roman" w:hAnsi="Times New Roman" w:cs="Times New Roman"/>
          <w:sz w:val="24"/>
          <w:szCs w:val="24"/>
          <w:lang w:val="en-US"/>
        </w:rPr>
        <w:br/>
        <w:t>In addition to other grounds of criminal responsibility under the present regulation for serious criminal offences referred to in Sections 4 to 7 of the present regulation [i.e. genocide, crimes against humanity, war crimes and torture], the fact that any of the acts referred to in the said Sections 4 to 7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23" name="Imagen 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0" w:name="_IIMiMa"/>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"javascript:openUrlLight('src_IIMiMa')"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III. Military Manuals</w:t>
      </w:r>
      <w:r w:rsidRPr="006155D3">
        <w:rPr>
          <w:rFonts w:ascii="Times New Roman" w:eastAsia="Times New Roman" w:hAnsi="Times New Roman" w:cs="Times New Roman"/>
          <w:sz w:val="24"/>
          <w:szCs w:val="24"/>
        </w:rPr>
        <w:fldChar w:fldCharType="end"/>
      </w:r>
      <w:bookmarkEnd w:id="70"/>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Argentina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Argentina’s Law of War Manual (1989) states: </w:t>
      </w:r>
      <w:r w:rsidRPr="006155D3">
        <w:rPr>
          <w:rFonts w:ascii="Times New Roman" w:eastAsia="Times New Roman" w:hAnsi="Times New Roman" w:cs="Times New Roman"/>
          <w:sz w:val="24"/>
          <w:szCs w:val="24"/>
          <w:lang w:val="en-US"/>
        </w:rPr>
        <w:br/>
        <w:t>Military commanders must ensure the prevention of breaches of the [1949 Geneva] Conventions and [the 1977 Additional Protocol I] and, when necessary, report them to the competent authority and repress them.</w:t>
      </w:r>
      <w:r>
        <w:rPr>
          <w:rFonts w:ascii="Times New Roman" w:eastAsia="Times New Roman" w:hAnsi="Times New Roman" w:cs="Times New Roman"/>
          <w:noProof/>
          <w:sz w:val="24"/>
          <w:szCs w:val="24"/>
        </w:rPr>
        <w:drawing>
          <wp:inline distT="0" distB="0" distL="0" distR="0">
            <wp:extent cx="151130" cy="142875"/>
            <wp:effectExtent l="19050" t="0" r="1270" b="0"/>
            <wp:docPr id="24" name="Imagen 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Breaches [of the 1949 Geneva Conventions or the 1977 Additional Protocol I] committed by a subordinate do not absolve his superiors from penal or disciplinary responsibility, as the case may be, if they knew that the subordinate was committing or was going to commit the breach and if they did not take the measures within their power to prevent or repress the breach.</w:t>
      </w:r>
      <w:r>
        <w:rPr>
          <w:rFonts w:ascii="Times New Roman" w:eastAsia="Times New Roman" w:hAnsi="Times New Roman" w:cs="Times New Roman"/>
          <w:noProof/>
          <w:sz w:val="24"/>
          <w:szCs w:val="24"/>
        </w:rPr>
        <w:drawing>
          <wp:inline distT="0" distB="0" distL="0" distR="0">
            <wp:extent cx="151130" cy="142875"/>
            <wp:effectExtent l="19050" t="0" r="1270" b="0"/>
            <wp:docPr id="25" name="Imagen 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Australia’s Commanders’ Guide (1994) states:</w:t>
      </w:r>
      <w:r w:rsidRPr="006155D3">
        <w:rPr>
          <w:rFonts w:ascii="Times New Roman" w:eastAsia="Times New Roman" w:hAnsi="Times New Roman" w:cs="Times New Roman"/>
          <w:sz w:val="24"/>
          <w:szCs w:val="24"/>
          <w:lang w:val="en-US"/>
        </w:rPr>
        <w:br/>
        <w:t>ADF [Australian Defence Force] members are obliged to report LOAC breaches to their superior commanders and, where available, ADF legal advisers. Commanders must ensure that processes for reporting LOAC breaches are detailed in standing operating procedures. ADF members who receive reports about alleged breaches are responsible for ensuring that the suspected breach is properly recorded, documented, investigated and any relevant evidence preserved.</w:t>
      </w:r>
      <w:r>
        <w:rPr>
          <w:rFonts w:ascii="Times New Roman" w:eastAsia="Times New Roman" w:hAnsi="Times New Roman" w:cs="Times New Roman"/>
          <w:noProof/>
          <w:sz w:val="24"/>
          <w:szCs w:val="24"/>
        </w:rPr>
        <w:drawing>
          <wp:inline distT="0" distB="0" distL="0" distR="0">
            <wp:extent cx="151130" cy="142875"/>
            <wp:effectExtent l="19050" t="0" r="1270" b="0"/>
            <wp:docPr id="26" name="Imagen 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Australia’s Defence Force Manual (1994) refers to the “Yamashita principles” and states:</w:t>
      </w:r>
      <w:r w:rsidRPr="006155D3">
        <w:rPr>
          <w:rFonts w:ascii="Times New Roman" w:eastAsia="Times New Roman" w:hAnsi="Times New Roman" w:cs="Times New Roman"/>
          <w:sz w:val="24"/>
          <w:szCs w:val="24"/>
          <w:lang w:val="en-US"/>
        </w:rPr>
        <w:br/>
        <w:t>The principles of this doctrine are that the commander will be held responsible if the commander: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knows subordinates are going to commit war crimes and does not prevent them,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knows subordinates have committed war crimes and does not punish them,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c. should know subordinates are going to commit war crimes and does not prevent them,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 should know subordinates have committed war crimes and does not punish them.</w:t>
      </w:r>
      <w:r>
        <w:rPr>
          <w:rFonts w:ascii="Times New Roman" w:eastAsia="Times New Roman" w:hAnsi="Times New Roman" w:cs="Times New Roman"/>
          <w:noProof/>
          <w:sz w:val="24"/>
          <w:szCs w:val="24"/>
        </w:rPr>
        <w:drawing>
          <wp:inline distT="0" distB="0" distL="0" distR="0">
            <wp:extent cx="151130" cy="142875"/>
            <wp:effectExtent l="19050" t="0" r="1270" b="0"/>
            <wp:docPr id="27" name="Imagen 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Specifically, a commander will be held accountable if [he] knows that a breach is occurring and fails to intervene. A commander is also liable for prosecution if the commander fails to act to prevent a breach of LOAC of which the commander should have known.</w:t>
      </w:r>
      <w:r>
        <w:rPr>
          <w:rFonts w:ascii="Times New Roman" w:eastAsia="Times New Roman" w:hAnsi="Times New Roman" w:cs="Times New Roman"/>
          <w:noProof/>
          <w:sz w:val="24"/>
          <w:szCs w:val="24"/>
        </w:rPr>
        <w:drawing>
          <wp:inline distT="0" distB="0" distL="0" distR="0">
            <wp:extent cx="151130" cy="142875"/>
            <wp:effectExtent l="19050" t="0" r="1270" b="0"/>
            <wp:docPr id="28" name="Imagen 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Each ADF [Australian Defence Force] member is also responsible for ensuring that breaches are properly reported and documented. Reporting of LOAC breaches, whether committed by the enemy or ADF members, should be made to superiors. Commanders must ensure that processes for reporting LOAC breaches are detailed in standard operating procedures.</w:t>
      </w:r>
      <w:r>
        <w:rPr>
          <w:rFonts w:ascii="Times New Roman" w:eastAsia="Times New Roman" w:hAnsi="Times New Roman" w:cs="Times New Roman"/>
          <w:noProof/>
          <w:sz w:val="24"/>
          <w:szCs w:val="24"/>
        </w:rPr>
        <w:drawing>
          <wp:inline distT="0" distB="0" distL="0" distR="0">
            <wp:extent cx="151130" cy="142875"/>
            <wp:effectExtent l="19050" t="0" r="1270" b="0"/>
            <wp:docPr id="29" name="Imagen 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Australia’s LOAC Manual (2006) refers to a doctrine known as the “Yamashita principles”:</w:t>
      </w:r>
      <w:r w:rsidRPr="006155D3">
        <w:rPr>
          <w:rFonts w:ascii="Times New Roman" w:eastAsia="Times New Roman" w:hAnsi="Times New Roman" w:cs="Times New Roman"/>
          <w:sz w:val="24"/>
          <w:szCs w:val="24"/>
          <w:lang w:val="en-US"/>
        </w:rPr>
        <w:br/>
        <w:t>The principles of this doctrine are that the commander will be held responsible if the commander: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knows subordinates are going to commit war crimes and does not prevent them,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knows subordinates have committed war crimes and does not punish them,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should know subordinates are going to commit war crimes and does not prevent them,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should know subordinates have committed war crimes and does not punish them.</w:t>
      </w:r>
      <w:r>
        <w:rPr>
          <w:rFonts w:ascii="Times New Roman" w:eastAsia="Times New Roman" w:hAnsi="Times New Roman" w:cs="Times New Roman"/>
          <w:noProof/>
          <w:sz w:val="24"/>
          <w:szCs w:val="24"/>
        </w:rPr>
        <w:drawing>
          <wp:inline distT="0" distB="0" distL="0" distR="0">
            <wp:extent cx="151130" cy="142875"/>
            <wp:effectExtent l="19050" t="0" r="1270" b="0"/>
            <wp:docPr id="30" name="Imagen 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Belgium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Belgium’s Disciplinary Regulations (1991) states: “Superiors may be criminally or disciplinarily liable if they knew or should have known that a subordinate was committing or going to commit an offence and failed to take all measures to prevent, suppress or punish this offence.”</w:t>
      </w:r>
      <w:r>
        <w:rPr>
          <w:rFonts w:ascii="Times New Roman" w:eastAsia="Times New Roman" w:hAnsi="Times New Roman" w:cs="Times New Roman"/>
          <w:noProof/>
          <w:sz w:val="24"/>
          <w:szCs w:val="24"/>
        </w:rPr>
        <w:drawing>
          <wp:inline distT="0" distB="0" distL="0" distR="0">
            <wp:extent cx="151130" cy="142875"/>
            <wp:effectExtent l="19050" t="0" r="1270" b="0"/>
            <wp:docPr id="31" name="Imagen 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Benin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Benin’s Military Manual (1995) provides: “Each military commander is responsible for respect for the law of war in his sphere of command.”</w:t>
      </w:r>
      <w:r>
        <w:rPr>
          <w:rFonts w:ascii="Times New Roman" w:eastAsia="Times New Roman" w:hAnsi="Times New Roman" w:cs="Times New Roman"/>
          <w:noProof/>
          <w:sz w:val="24"/>
          <w:szCs w:val="24"/>
        </w:rPr>
        <w:drawing>
          <wp:inline distT="0" distB="0" distL="0" distR="0">
            <wp:extent cx="151130" cy="142875"/>
            <wp:effectExtent l="19050" t="0" r="1270" b="0"/>
            <wp:docPr id="32" name="Imagen 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In case of breach of the law of war, [the military commander] shall ensure that the breach ceases and that a disciplinary or criminal action is engaged. In any case, the responsibility of the military commander regarding violations committed by his subordinates is total if it is established that he has not taken any measure to prevent or repress these violations.</w:t>
      </w:r>
      <w:r>
        <w:rPr>
          <w:rFonts w:ascii="Times New Roman" w:eastAsia="Times New Roman" w:hAnsi="Times New Roman" w:cs="Times New Roman"/>
          <w:noProof/>
          <w:sz w:val="24"/>
          <w:szCs w:val="24"/>
        </w:rPr>
        <w:drawing>
          <wp:inline distT="0" distB="0" distL="0" distR="0">
            <wp:extent cx="151130" cy="142875"/>
            <wp:effectExtent l="19050" t="0" r="1270" b="0"/>
            <wp:docPr id="33" name="Imagen 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Burundi</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Burundi’s Regulations on International Humanitarian Law (2007) states: </w:t>
      </w:r>
      <w:r w:rsidRPr="006155D3">
        <w:rPr>
          <w:rFonts w:ascii="Times New Roman" w:eastAsia="Times New Roman" w:hAnsi="Times New Roman" w:cs="Times New Roman"/>
          <w:sz w:val="24"/>
          <w:szCs w:val="24"/>
          <w:lang w:val="en-US"/>
        </w:rPr>
        <w:br/>
        <w:t xml:space="preserve">The fact that a breach of the law of war was committed by a subordinate does not absolve his superiors from penal or disciplinary responsibility … :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they knew or possessed information which would have enabled them to conclude, in the circumstances at the time, that this subordinate committed or was going to commit such a breach;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they have not taken all feasible measures in their power to prevent or repress this breach.</w:t>
      </w:r>
      <w:r>
        <w:rPr>
          <w:rFonts w:ascii="Times New Roman" w:eastAsia="Times New Roman" w:hAnsi="Times New Roman" w:cs="Times New Roman"/>
          <w:noProof/>
          <w:sz w:val="24"/>
          <w:szCs w:val="24"/>
        </w:rPr>
        <w:drawing>
          <wp:inline distT="0" distB="0" distL="0" distR="0">
            <wp:extent cx="151130" cy="142875"/>
            <wp:effectExtent l="19050" t="0" r="1270" b="0"/>
            <wp:docPr id="34" name="Imagen 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[E]ach commander at any level [within the military hierarchy] must, in case of a violation of the law of war, ensure … that the violation stops … [and] that disciplinary or penal action is taken. Command responsibility extends to violations of the law of war which result from a failure to act when under duty to do so.</w:t>
      </w:r>
      <w:r>
        <w:rPr>
          <w:rFonts w:ascii="Times New Roman" w:eastAsia="Times New Roman" w:hAnsi="Times New Roman" w:cs="Times New Roman"/>
          <w:noProof/>
          <w:sz w:val="24"/>
          <w:szCs w:val="24"/>
        </w:rPr>
        <w:drawing>
          <wp:inline distT="0" distB="0" distL="0" distR="0">
            <wp:extent cx="151130" cy="142875"/>
            <wp:effectExtent l="19050" t="0" r="1270" b="0"/>
            <wp:docPr id="35" name="Imagen 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Cameroon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Cameroon’s Instructor’s Manual (1992) provides: “Any act contrary to respect for the Law of War must be punished. Any commander who shows weakness or indulgence in that field shoulders the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36" name="Imagen 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Cameroon’s Instructor’s Manual (2006) states:</w:t>
      </w:r>
      <w:r w:rsidRPr="006155D3">
        <w:rPr>
          <w:rFonts w:ascii="Times New Roman" w:eastAsia="Times New Roman" w:hAnsi="Times New Roman" w:cs="Times New Roman"/>
          <w:sz w:val="24"/>
          <w:szCs w:val="24"/>
          <w:lang w:val="en-US"/>
        </w:rPr>
        <w:br/>
        <w:t>Military commanders must prevent members of the armed forces from committing grave breaches [of IHL] and, if necessary, punish them and report them to higher authorities. They become criminally responsible if they have not taken all necessary and reasonable measures … to impede or punish the execution [of such crimes] or refer them to the competent authorities for inquiry or prosecution.</w:t>
      </w:r>
      <w:r>
        <w:rPr>
          <w:rFonts w:ascii="Times New Roman" w:eastAsia="Times New Roman" w:hAnsi="Times New Roman" w:cs="Times New Roman"/>
          <w:noProof/>
          <w:sz w:val="24"/>
          <w:szCs w:val="24"/>
        </w:rPr>
        <w:drawing>
          <wp:inline distT="0" distB="0" distL="0" distR="0">
            <wp:extent cx="151130" cy="142875"/>
            <wp:effectExtent l="19050" t="0" r="1270" b="0"/>
            <wp:docPr id="37" name="Imagen 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repression of grave breaches [of IHL] applies to persons who have committed or ordered to commit a grave breach. The criminal responsibility is also engaged if a grave breach is provoked by a failure to act.</w:t>
      </w:r>
      <w:r>
        <w:rPr>
          <w:rFonts w:ascii="Times New Roman" w:eastAsia="Times New Roman" w:hAnsi="Times New Roman" w:cs="Times New Roman"/>
          <w:noProof/>
          <w:sz w:val="24"/>
          <w:szCs w:val="24"/>
        </w:rPr>
        <w:drawing>
          <wp:inline distT="0" distB="0" distL="0" distR="0">
            <wp:extent cx="151130" cy="142875"/>
            <wp:effectExtent l="19050" t="0" r="1270" b="0"/>
            <wp:docPr id="38" name="Imagen 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Canada’s LOAC Manual (1999) states: </w:t>
      </w:r>
      <w:r w:rsidRPr="006155D3">
        <w:rPr>
          <w:rFonts w:ascii="Times New Roman" w:eastAsia="Times New Roman" w:hAnsi="Times New Roman" w:cs="Times New Roman"/>
          <w:sz w:val="24"/>
          <w:szCs w:val="24"/>
          <w:lang w:val="en-US"/>
        </w:rPr>
        <w:br/>
        <w:t>Commanders may be held personally and criminally liable in respect of illegal acts committed by those under their command, especially if they knew or should have known that such acts were being committed or were likely to be committed.</w:t>
      </w:r>
      <w:r>
        <w:rPr>
          <w:rFonts w:ascii="Times New Roman" w:eastAsia="Times New Roman" w:hAnsi="Times New Roman" w:cs="Times New Roman"/>
          <w:noProof/>
          <w:sz w:val="24"/>
          <w:szCs w:val="24"/>
        </w:rPr>
        <w:drawing>
          <wp:inline distT="0" distB="0" distL="0" distR="0">
            <wp:extent cx="151130" cy="142875"/>
            <wp:effectExtent l="19050" t="0" r="1270" b="0"/>
            <wp:docPr id="39" name="Imagen 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Heads of state as well as members of the administration may be held personally and criminally responsible for illegalities committed … by persons under their authority if they knew, should have known or acquiesced in such behaviour.</w:t>
      </w:r>
      <w:r>
        <w:rPr>
          <w:rFonts w:ascii="Times New Roman" w:eastAsia="Times New Roman" w:hAnsi="Times New Roman" w:cs="Times New Roman"/>
          <w:noProof/>
          <w:sz w:val="24"/>
          <w:szCs w:val="24"/>
        </w:rPr>
        <w:drawing>
          <wp:inline distT="0" distB="0" distL="0" distR="0">
            <wp:extent cx="151130" cy="142875"/>
            <wp:effectExtent l="19050" t="0" r="1270" b="0"/>
            <wp:docPr id="40" name="Imagen 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The fact that any such crime [i.e. a war crime] was committed by a subordinate does not relieve a superior of criminal responsibility if the superior knew or had reason to believe that the subordinate was about to commit a war crime, and the superior failed to take the necessary and reasonable measures to prevent or to punish the crime.</w:t>
      </w:r>
      <w:r>
        <w:rPr>
          <w:rFonts w:ascii="Times New Roman" w:eastAsia="Times New Roman" w:hAnsi="Times New Roman" w:cs="Times New Roman"/>
          <w:noProof/>
          <w:sz w:val="24"/>
          <w:szCs w:val="24"/>
        </w:rPr>
        <w:drawing>
          <wp:inline distT="0" distB="0" distL="0" distR="0">
            <wp:extent cx="151130" cy="142875"/>
            <wp:effectExtent l="19050" t="0" r="1270" b="0"/>
            <wp:docPr id="41" name="Imagen 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A commander who is aware that subordinates or other persons under his control are about to commit or have committed a breach of the LOAC is required to initiate such steps as are necessary to prevent violations of the LOAC and, where appropriate, to initiate disciplinary or penal action against these persons.</w:t>
      </w:r>
      <w:r>
        <w:rPr>
          <w:rFonts w:ascii="Times New Roman" w:eastAsia="Times New Roman" w:hAnsi="Times New Roman" w:cs="Times New Roman"/>
          <w:noProof/>
          <w:sz w:val="24"/>
          <w:szCs w:val="24"/>
        </w:rPr>
        <w:drawing>
          <wp:inline distT="0" distB="0" distL="0" distR="0">
            <wp:extent cx="151130" cy="142875"/>
            <wp:effectExtent l="19050" t="0" r="1270" b="0"/>
            <wp:docPr id="42" name="Imagen 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fact that a subordinate committed a breach of the LOAC does not absolve superiors from penal or disciplinary responsibility. Superiors are guilty of an offence if they knew, or had information which should have enabled them to conclude, in the circumstances ruling at the time, that the subordinate was committing or about to commit a breach of the LOAC, and they did not take all feasible measures within their power to prevent or repress the breach.</w:t>
      </w:r>
      <w:r>
        <w:rPr>
          <w:rFonts w:ascii="Times New Roman" w:eastAsia="Times New Roman" w:hAnsi="Times New Roman" w:cs="Times New Roman"/>
          <w:noProof/>
          <w:sz w:val="24"/>
          <w:szCs w:val="24"/>
        </w:rPr>
        <w:drawing>
          <wp:inline distT="0" distB="0" distL="0" distR="0">
            <wp:extent cx="151130" cy="142875"/>
            <wp:effectExtent l="19050" t="0" r="1270" b="0"/>
            <wp:docPr id="43" name="Imagen 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Canada’s Code of Conduct (2001) contains the rule: “Report and take appropriate steps to stop breaches of the Law of Armed Conflict and these rules. Disobedience of the Law of Armed Conflict is a crime.”</w:t>
      </w:r>
      <w:r>
        <w:rPr>
          <w:rFonts w:ascii="Times New Roman" w:eastAsia="Times New Roman" w:hAnsi="Times New Roman" w:cs="Times New Roman"/>
          <w:noProof/>
          <w:sz w:val="24"/>
          <w:szCs w:val="24"/>
        </w:rPr>
        <w:drawing>
          <wp:inline distT="0" distB="0" distL="0" distR="0">
            <wp:extent cx="151130" cy="142875"/>
            <wp:effectExtent l="19050" t="0" r="1270" b="0"/>
            <wp:docPr id="44" name="Imagen 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It is also of the utmost importance that any breach of the Code of Conduct or other provision of the Law of Armed Conflict be reported without delay. A failure to comply with the Code of Conduct represents a failure in the “habit of obedience’, the cornerstone of discipline.</w:t>
      </w:r>
      <w:r>
        <w:rPr>
          <w:rFonts w:ascii="Times New Roman" w:eastAsia="Times New Roman" w:hAnsi="Times New Roman" w:cs="Times New Roman"/>
          <w:noProof/>
          <w:sz w:val="24"/>
          <w:szCs w:val="24"/>
        </w:rPr>
        <w:drawing>
          <wp:inline distT="0" distB="0" distL="0" distR="0">
            <wp:extent cx="151130" cy="142875"/>
            <wp:effectExtent l="19050" t="0" r="1270" b="0"/>
            <wp:docPr id="45" name="Imagen 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 xml:space="preserve">If a CF [Canadian Forces] member believes that the Law of Armed Conflict or these rules are being breached, the member must take the appropriate steps to stop the illegal action. If the CF member is not in a position to stop the breach, then the member shall report to the nearest military authority who can take appropriate action. It is recognized that it may sometimes be difficult to report a breach, for example when a junior believes a breach has been committed by a higher ranking member. However, there is always a way to report a breach. The member can report to his or her superiors in the chain of command, the military police, a chaplain, a legal officer or any other person in authority. If a breach of the Law of Armed Conflict or these rules has already occurred, </w:t>
      </w:r>
      <w:r w:rsidRPr="006155D3">
        <w:rPr>
          <w:rFonts w:ascii="Times New Roman" w:eastAsia="Times New Roman" w:hAnsi="Times New Roman" w:cs="Times New Roman"/>
          <w:sz w:val="24"/>
          <w:szCs w:val="24"/>
          <w:lang w:val="en-US"/>
        </w:rPr>
        <w:lastRenderedPageBreak/>
        <w:t>the member shall report that breach. The old adage “bad news doesn’t get better with time” definitely applies to these types of breaches. Any attempt to cover up a breach of the Law of Armed Conflict or these rules is in itself an offence under the Code of Service Discipline. Experience has shown that isolated breaches committed by a few members of the force, even a momentary lapse in one’s duty, could dishonour the country and adversely affect the accomplishment of the overall mission.</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It is essential that any alleged breaches of these rules and the Law of Armed Conflict be investigated rapidly in as impartial a manner as possible. An impartial investigation will not only assist in bringing violators to justice, thereby maintaining discipline, but will also provide the best opportunity to clear anyone who has not acted improperly. In most cases that investigation will be carried out by the military police or National Investigation Service.</w:t>
      </w:r>
      <w:r>
        <w:rPr>
          <w:rFonts w:ascii="Times New Roman" w:eastAsia="Times New Roman" w:hAnsi="Times New Roman" w:cs="Times New Roman"/>
          <w:noProof/>
          <w:sz w:val="24"/>
          <w:szCs w:val="24"/>
        </w:rPr>
        <w:drawing>
          <wp:inline distT="0" distB="0" distL="0" distR="0">
            <wp:extent cx="151130" cy="142875"/>
            <wp:effectExtent l="19050" t="0" r="1270" b="0"/>
            <wp:docPr id="46" name="Imagen 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Canada’s LOAC Manual (2001) states in its chapter on the treatment of prisoners of war (PWs):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1014. Responsibility </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The responsibility for the treatment of PWs rests upon the Detaining Power. Failure to properly care for PWs may make that power liable to pay compensation, while the individuals responsible for such ill-treatment or for allowing it to occur, are liable to be tried as war criminals.</w:t>
      </w:r>
      <w:r>
        <w:rPr>
          <w:rFonts w:ascii="Times New Roman" w:eastAsia="Times New Roman" w:hAnsi="Times New Roman" w:cs="Times New Roman"/>
          <w:noProof/>
          <w:sz w:val="24"/>
          <w:szCs w:val="24"/>
        </w:rPr>
        <w:drawing>
          <wp:inline distT="0" distB="0" distL="0" distR="0">
            <wp:extent cx="151130" cy="142875"/>
            <wp:effectExtent l="19050" t="0" r="1270" b="0"/>
            <wp:docPr id="47" name="Imagen 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1504. Command responsibility</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Commanders have a responsibility to ensure that forces under their command are aware of their responsibilities related to the LOAC and that they behave in a manner consistent with the LOAC. Commanders may be held personally and criminally liable in respect of illegal acts committed by those under their command, especially if they knew or should have known that such acts were being committed or were likely to be committed …</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1506. State responsibility</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1. Heads of state as well as members of the administration may be held personally and criminally responsible for illegalities committed in the performance of their official duties or by persons under their authority if they knew, should have known or acquiesced in such behaviour.</w:t>
      </w:r>
      <w:r>
        <w:rPr>
          <w:rFonts w:ascii="Times New Roman" w:eastAsia="Times New Roman" w:hAnsi="Times New Roman" w:cs="Times New Roman"/>
          <w:noProof/>
          <w:sz w:val="24"/>
          <w:szCs w:val="24"/>
        </w:rPr>
        <w:drawing>
          <wp:inline distT="0" distB="0" distL="0" distR="0">
            <wp:extent cx="151130" cy="142875"/>
            <wp:effectExtent l="19050" t="0" r="1270" b="0"/>
            <wp:docPr id="48" name="Imagen 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The fact that any such crime [i.e. a war crime] was committed by a subordinate does not relieve a superior of criminal responsibility if the superior knew or had reason to believe that the subordinate was about to commit a war crime, and the superior failed to take the necessary and reasonable measures to prevent or to punish the crime.</w:t>
      </w:r>
      <w:r>
        <w:rPr>
          <w:rFonts w:ascii="Times New Roman" w:eastAsia="Times New Roman" w:hAnsi="Times New Roman" w:cs="Times New Roman"/>
          <w:noProof/>
          <w:sz w:val="24"/>
          <w:szCs w:val="24"/>
        </w:rPr>
        <w:drawing>
          <wp:inline distT="0" distB="0" distL="0" distR="0">
            <wp:extent cx="151130" cy="142875"/>
            <wp:effectExtent l="19050" t="0" r="1270" b="0"/>
            <wp:docPr id="49" name="Imagen 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1621. Duty of commanders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Commanders are responsible, with respect to members of the armed forces under their command and other persons under their control, to prevent and, where necessary, to suppress and to report to competent authorities, breaches of the LOAC.</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3. A commander who is aware that subordinates or other persons under his control are about to commit or have committed a breach of the LOAC is required to initiate such steps as are necessary to prevent violations of the LOAC and, where appropriate, to initiate disciplinary or penal action against these persons.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1622. Failure to act</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1. The fact that a subordinate committed a breach of the LOAC does not absolve superiors from penal or disciplinary responsibility. Superiors are guilty of an offence if </w:t>
      </w:r>
      <w:r w:rsidRPr="006155D3">
        <w:rPr>
          <w:rFonts w:ascii="Times New Roman" w:eastAsia="Times New Roman" w:hAnsi="Times New Roman" w:cs="Times New Roman"/>
          <w:sz w:val="24"/>
          <w:szCs w:val="24"/>
          <w:lang w:val="en-US"/>
        </w:rPr>
        <w:lastRenderedPageBreak/>
        <w:t>they knew, or had information which should have enabled them to conclude, in the circumstances ruling at the time, that the subordinate was committing or about to commit a breach of the LOAC, and they did not take all feasible measures within their power to prevent or repress the breach.</w:t>
      </w:r>
      <w:r>
        <w:rPr>
          <w:rFonts w:ascii="Times New Roman" w:eastAsia="Times New Roman" w:hAnsi="Times New Roman" w:cs="Times New Roman"/>
          <w:noProof/>
          <w:sz w:val="24"/>
          <w:szCs w:val="24"/>
        </w:rPr>
        <w:drawing>
          <wp:inline distT="0" distB="0" distL="0" distR="0">
            <wp:extent cx="151130" cy="142875"/>
            <wp:effectExtent l="19050" t="0" r="1270" b="0"/>
            <wp:docPr id="50" name="Imagen 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Canada’s Prisoner of War Handling and Detainees Manual (2004) states:</w:t>
      </w:r>
      <w:r w:rsidRPr="006155D3">
        <w:rPr>
          <w:rFonts w:ascii="Times New Roman" w:eastAsia="Times New Roman" w:hAnsi="Times New Roman" w:cs="Times New Roman"/>
          <w:sz w:val="24"/>
          <w:szCs w:val="24"/>
          <w:lang w:val="en-US"/>
        </w:rPr>
        <w:br/>
        <w:t>Any evidence or allegation of grave breaches of the [the 1949 Geneva Conventions and the 1977 Additional Protocol I] are to be reported to an appropriate authority for further investigation. Such reporting shall be through the chain of command for a member of the Armed Forces, and through the PW Camp Commandant for a PW [prisoners of war].</w:t>
      </w:r>
      <w:r>
        <w:rPr>
          <w:rFonts w:ascii="Times New Roman" w:eastAsia="Times New Roman" w:hAnsi="Times New Roman" w:cs="Times New Roman"/>
          <w:noProof/>
          <w:sz w:val="24"/>
          <w:szCs w:val="24"/>
        </w:rPr>
        <w:drawing>
          <wp:inline distT="0" distB="0" distL="0" distR="0">
            <wp:extent cx="151130" cy="142875"/>
            <wp:effectExtent l="19050" t="0" r="1270" b="0"/>
            <wp:docPr id="51" name="Imagen 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Canada’s Code of Conduct After Capture Manual (2004) states:</w:t>
      </w:r>
      <w:r w:rsidRPr="006155D3">
        <w:rPr>
          <w:rFonts w:ascii="Times New Roman" w:eastAsia="Times New Roman" w:hAnsi="Times New Roman" w:cs="Times New Roman"/>
          <w:sz w:val="24"/>
          <w:szCs w:val="24"/>
          <w:lang w:val="en-US"/>
        </w:rPr>
        <w:br/>
        <w:t>The responsibility for the treatment of PWs [prisoners of war] rests upon the detaining power. Failure to care for PWs properly may make that power pay compensation, while the individuals responsible for such ill-treatment or for allowing it to occur are liable to be tried as war criminals.</w:t>
      </w:r>
      <w:r>
        <w:rPr>
          <w:rFonts w:ascii="Times New Roman" w:eastAsia="Times New Roman" w:hAnsi="Times New Roman" w:cs="Times New Roman"/>
          <w:noProof/>
          <w:sz w:val="24"/>
          <w:szCs w:val="24"/>
        </w:rPr>
        <w:drawing>
          <wp:inline distT="0" distB="0" distL="0" distR="0">
            <wp:extent cx="151130" cy="142875"/>
            <wp:effectExtent l="19050" t="0" r="1270" b="0"/>
            <wp:docPr id="52" name="Imagen 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Rule 11 of Canada’s Code of Conduct (2005)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Report and take appropriate steps to stop breaches of the Law of Armed Conflict and these rules. Disobedience of the Law of Armed Conflict is a crime.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 It is also of the utmost importance that any breach of the Code of Conduct or other provision of the Law of Armed Conflict be reported without delay. A failure to comply with the Code of Conduct represents a failure in the “habit of obedience,” the cornerstone of discipline.</w:t>
      </w:r>
      <w:r w:rsidRPr="006155D3">
        <w:rPr>
          <w:rFonts w:ascii="Times New Roman" w:eastAsia="Times New Roman" w:hAnsi="Times New Roman" w:cs="Times New Roman"/>
          <w:sz w:val="24"/>
          <w:szCs w:val="24"/>
          <w:lang w:val="en-US"/>
        </w:rPr>
        <w:br/>
        <w:t>2. … If a CF [Canadian Forces] member believes that the Law of Armed Conflict or these rules are being breached, the member must take the appropriate steps to stop the illegal action. If the CF member is not in a position to stop the breach, then the member shall report to the nearest military authority who can take appropriate action. It is recognized that it may sometimes be difficult to report a breach, for example when a junior member believes a breach has been committed by a higher ranking member. However, there is always a way to report a breach. The member can report to his or her superiors in the chain of command, the military police, a chaplain, a legal officer or any other person in authority. If a breach of the Law of Armed Conflict or these rules has already occurred, the member shall report that breach. The old adage “bad news doesn’t get better with time” definitely applies to these types of breaches. Any attempt to cover up a breach of the Law of Armed Conflict or these rules is in itself an offence under the Code of Service Discipline. Experience has shown that isolated breaches committed by a few members of the force, even a momentary lapse in one’s duty, could dishonour the country and adversely affect the accomplishment of the overall mission.</w:t>
      </w:r>
      <w:r w:rsidRPr="006155D3">
        <w:rPr>
          <w:rFonts w:ascii="Times New Roman" w:eastAsia="Times New Roman" w:hAnsi="Times New Roman" w:cs="Times New Roman"/>
          <w:sz w:val="24"/>
          <w:szCs w:val="24"/>
          <w:lang w:val="en-US"/>
        </w:rPr>
        <w:br/>
        <w:t>3. It is essential that any alleged breaches of these rules and the Law of Armed Conflict be investigated rapidly in as impartial a manner as possible. An impartial investigation will not only assist in bringing violators to justice, thereby maintaining discipline, but will also provide the best opportunity to clear anyone who has not acted improperly. In most cases that investigation will be carried out by the military police or National Investigation Service.</w:t>
      </w:r>
      <w:r>
        <w:rPr>
          <w:rFonts w:ascii="Times New Roman" w:eastAsia="Times New Roman" w:hAnsi="Times New Roman" w:cs="Times New Roman"/>
          <w:noProof/>
          <w:sz w:val="24"/>
          <w:szCs w:val="24"/>
        </w:rPr>
        <w:drawing>
          <wp:inline distT="0" distB="0" distL="0" distR="0">
            <wp:extent cx="151130" cy="142875"/>
            <wp:effectExtent l="19050" t="0" r="1270" b="0"/>
            <wp:docPr id="53" name="Imagen 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Central African Republic</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Central African Republic’s Instructor’s Manual (1999) states in Volume 2 (Instruction for group and patrol leaders):</w:t>
      </w:r>
      <w:r w:rsidRPr="006155D3">
        <w:rPr>
          <w:rFonts w:ascii="Times New Roman" w:eastAsia="Times New Roman" w:hAnsi="Times New Roman" w:cs="Times New Roman"/>
          <w:sz w:val="24"/>
          <w:szCs w:val="24"/>
          <w:lang w:val="en-US"/>
        </w:rPr>
        <w:br/>
        <w:t>In the event of a violation of the law of war military commanders must ensure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violation ceases;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that a disciplinary or criminal action is engaged.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In any case, the responsibility of the military commander regarding violations committed by his subordinates is total if it is established that he has not taken any measure to prevent or repress these violations.</w:t>
      </w:r>
      <w:r>
        <w:rPr>
          <w:rFonts w:ascii="Times New Roman" w:eastAsia="Times New Roman" w:hAnsi="Times New Roman" w:cs="Times New Roman"/>
          <w:noProof/>
          <w:sz w:val="24"/>
          <w:szCs w:val="24"/>
        </w:rPr>
        <w:drawing>
          <wp:inline distT="0" distB="0" distL="0" distR="0">
            <wp:extent cx="151130" cy="142875"/>
            <wp:effectExtent l="19050" t="0" r="1270" b="0"/>
            <wp:docPr id="54" name="Imagen 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Central African Republic’s Disciplinary Regulations (2009) lists as an offence against honour, integrity and general military duties: “permitting the accomplishment of an act that is manifestly unlawful”.</w:t>
      </w:r>
      <w:r>
        <w:rPr>
          <w:rFonts w:ascii="Times New Roman" w:eastAsia="Times New Roman" w:hAnsi="Times New Roman" w:cs="Times New Roman"/>
          <w:noProof/>
          <w:sz w:val="24"/>
          <w:szCs w:val="24"/>
        </w:rPr>
        <w:drawing>
          <wp:inline distT="0" distB="0" distL="0" distR="0">
            <wp:extent cx="151130" cy="142875"/>
            <wp:effectExtent l="19050" t="0" r="1270" b="0"/>
            <wp:docPr id="55" name="Imagen 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Chad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Chad’s Instructor’s Manual (2006) states that a commander is criminally liable if he fails to:</w:t>
      </w:r>
      <w:r w:rsidRPr="006155D3">
        <w:rPr>
          <w:rFonts w:ascii="Times New Roman" w:eastAsia="Times New Roman" w:hAnsi="Times New Roman" w:cs="Times New Roman"/>
          <w:sz w:val="24"/>
          <w:szCs w:val="24"/>
          <w:lang w:val="en-US"/>
        </w:rPr>
        <w:br/>
        <w:t>- prevent the violation when he knows, or must know, that it is to be committed;</w:t>
      </w:r>
      <w:r w:rsidRPr="006155D3">
        <w:rPr>
          <w:rFonts w:ascii="Times New Roman" w:eastAsia="Times New Roman" w:hAnsi="Times New Roman" w:cs="Times New Roman"/>
          <w:sz w:val="24"/>
          <w:szCs w:val="24"/>
          <w:lang w:val="en-US"/>
        </w:rPr>
        <w:br/>
        <w:t>- repress the violation if it is not criminal in nature;</w:t>
      </w:r>
      <w:r w:rsidRPr="006155D3">
        <w:rPr>
          <w:rFonts w:ascii="Times New Roman" w:eastAsia="Times New Roman" w:hAnsi="Times New Roman" w:cs="Times New Roman"/>
          <w:sz w:val="24"/>
          <w:szCs w:val="24"/>
          <w:lang w:val="en-US"/>
        </w:rPr>
        <w:br/>
        <w:t>- denounce the violation to the legal authority if it is criminal in nature.</w:t>
      </w:r>
      <w:r>
        <w:rPr>
          <w:rFonts w:ascii="Times New Roman" w:eastAsia="Times New Roman" w:hAnsi="Times New Roman" w:cs="Times New Roman"/>
          <w:noProof/>
          <w:sz w:val="24"/>
          <w:szCs w:val="24"/>
        </w:rPr>
        <w:drawing>
          <wp:inline distT="0" distB="0" distL="0" distR="0">
            <wp:extent cx="151130" cy="142875"/>
            <wp:effectExtent l="19050" t="0" r="1270" b="0"/>
            <wp:docPr id="56" name="Imagen 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Colombia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Colombia’s Instructors’ Manual (1999) states that to prevent violations of human rights, it is necessary “to report to the superior any irregularity which may constitute a violation of Human Rights [and] to report violations of Human Rights to the superior”.</w:t>
      </w:r>
      <w:r>
        <w:rPr>
          <w:rFonts w:ascii="Times New Roman" w:eastAsia="Times New Roman" w:hAnsi="Times New Roman" w:cs="Times New Roman"/>
          <w:noProof/>
          <w:sz w:val="24"/>
          <w:szCs w:val="24"/>
        </w:rPr>
        <w:drawing>
          <wp:inline distT="0" distB="0" distL="0" distR="0">
            <wp:extent cx="151130" cy="142875"/>
            <wp:effectExtent l="19050" t="0" r="1270" b="0"/>
            <wp:docPr id="57" name="Imagen 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Côte d’Ivoire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Côte d’Ivoire’s Teaching Manual (2007) provides in Book I (Basic instruction):</w:t>
      </w:r>
      <w:r w:rsidRPr="006155D3">
        <w:rPr>
          <w:rFonts w:ascii="Times New Roman" w:eastAsia="Times New Roman" w:hAnsi="Times New Roman" w:cs="Times New Roman"/>
          <w:sz w:val="24"/>
          <w:szCs w:val="24"/>
          <w:lang w:val="en-US"/>
        </w:rPr>
        <w:br/>
        <w:t xml:space="preserve">I.1 </w:t>
      </w:r>
      <w:r w:rsidRPr="006155D3">
        <w:rPr>
          <w:rFonts w:ascii="Times New Roman" w:eastAsia="Times New Roman" w:hAnsi="Times New Roman" w:cs="Times New Roman"/>
          <w:i/>
          <w:iCs/>
          <w:sz w:val="24"/>
          <w:szCs w:val="24"/>
          <w:lang w:val="en-US"/>
        </w:rPr>
        <w:t>Basic rules</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[Basic Rule No. 12]</w:t>
      </w:r>
      <w:r w:rsidRPr="006155D3">
        <w:rPr>
          <w:rFonts w:ascii="Times New Roman" w:eastAsia="Times New Roman" w:hAnsi="Times New Roman" w:cs="Times New Roman"/>
          <w:sz w:val="24"/>
          <w:szCs w:val="24"/>
          <w:lang w:val="en-US"/>
        </w:rPr>
        <w:br/>
        <w:t>Endeavour to prevent any violation of these commands, report to your superior violations committed. Every violation of the laws of war is punishable.</w:t>
      </w:r>
      <w:r w:rsidRPr="006155D3">
        <w:rPr>
          <w:rFonts w:ascii="Times New Roman" w:eastAsia="Times New Roman" w:hAnsi="Times New Roman" w:cs="Times New Roman"/>
          <w:sz w:val="24"/>
          <w:szCs w:val="24"/>
          <w:lang w:val="en-US"/>
        </w:rPr>
        <w:br/>
        <w:t>[Observation]: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you do not report violations, you make yourself an accomplice in them.</w:t>
      </w:r>
      <w:r>
        <w:rPr>
          <w:rFonts w:ascii="Times New Roman" w:eastAsia="Times New Roman" w:hAnsi="Times New Roman" w:cs="Times New Roman"/>
          <w:noProof/>
          <w:sz w:val="24"/>
          <w:szCs w:val="24"/>
        </w:rPr>
        <w:drawing>
          <wp:inline distT="0" distB="0" distL="0" distR="0">
            <wp:extent cx="151130" cy="142875"/>
            <wp:effectExtent l="19050" t="0" r="1270" b="0"/>
            <wp:docPr id="58" name="Imagen 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Lesson 2. </w:t>
      </w:r>
      <w:r w:rsidRPr="006155D3">
        <w:rPr>
          <w:rFonts w:ascii="Times New Roman" w:eastAsia="Times New Roman" w:hAnsi="Times New Roman" w:cs="Times New Roman"/>
          <w:i/>
          <w:iCs/>
          <w:sz w:val="24"/>
          <w:szCs w:val="24"/>
          <w:lang w:val="en-US"/>
        </w:rPr>
        <w:t>Behaviour in action</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xml:space="preserve">I.2. </w:t>
      </w:r>
      <w:r w:rsidRPr="006155D3">
        <w:rPr>
          <w:rFonts w:ascii="Times New Roman" w:eastAsia="Times New Roman" w:hAnsi="Times New Roman" w:cs="Times New Roman"/>
          <w:i/>
          <w:iCs/>
          <w:sz w:val="24"/>
          <w:szCs w:val="24"/>
          <w:lang w:val="en-US"/>
        </w:rPr>
        <w:t>Duties of the non-commissioned officer and officer</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After the action, he must: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report any violation of the rules of IHL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have the perpetrators of violations of rules of IHL arrested and handed over to the superior level.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 xml:space="preserve">Lesson 4. </w:t>
      </w:r>
      <w:r w:rsidRPr="006155D3">
        <w:rPr>
          <w:rFonts w:ascii="Times New Roman" w:eastAsia="Times New Roman" w:hAnsi="Times New Roman" w:cs="Times New Roman"/>
          <w:i/>
          <w:iCs/>
          <w:sz w:val="24"/>
          <w:szCs w:val="24"/>
          <w:lang w:val="en-US"/>
        </w:rPr>
        <w:t>Breaches and responsibilities</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xml:space="preserve">II.1.2. </w:t>
      </w:r>
      <w:r w:rsidRPr="006155D3">
        <w:rPr>
          <w:rFonts w:ascii="Times New Roman" w:eastAsia="Times New Roman" w:hAnsi="Times New Roman" w:cs="Times New Roman"/>
          <w:i/>
          <w:iCs/>
          <w:sz w:val="24"/>
          <w:szCs w:val="24"/>
          <w:lang w:val="en-US"/>
        </w:rPr>
        <w:t>Responsibilities of the non-commissioned officer and officer</w:t>
      </w:r>
      <w:r w:rsidRPr="006155D3">
        <w:rPr>
          <w:rFonts w:ascii="Times New Roman" w:eastAsia="Times New Roman" w:hAnsi="Times New Roman" w:cs="Times New Roman"/>
          <w:sz w:val="24"/>
          <w:szCs w:val="24"/>
          <w:lang w:val="en-US"/>
        </w:rPr>
        <w:br/>
        <w:t>Respect for IHL in the theatre of operations lies mainly with the military leader. In case of a violation of the rules of IHL by one of his soldiers, the leader must stop the breach, arrest the perpetrator or the perpetrators, or have him/them arrested, and put them at the disposal of the courts, if there is reason for it. If he does not do this, he can be prosecuted.</w:t>
      </w:r>
      <w:r w:rsidRPr="006155D3">
        <w:rPr>
          <w:rFonts w:ascii="Times New Roman" w:eastAsia="Times New Roman" w:hAnsi="Times New Roman" w:cs="Times New Roman"/>
          <w:sz w:val="24"/>
          <w:szCs w:val="24"/>
          <w:lang w:val="en-US"/>
        </w:rPr>
        <w:br/>
        <w:t>In this respect, the non-commissioned officer or officer is responsible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for acts in violation of the rules of IHL committed by his subordinates before his eyes, without reaction from his side,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 for acts in violation of the rules of IHL committed by his subordinates without his knowledge, but of which he has become aware and to which he has not reacted at all,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treatment inflicted on detained persons by the units under his command.</w:t>
      </w:r>
      <w:r>
        <w:rPr>
          <w:rFonts w:ascii="Times New Roman" w:eastAsia="Times New Roman" w:hAnsi="Times New Roman" w:cs="Times New Roman"/>
          <w:noProof/>
          <w:sz w:val="24"/>
          <w:szCs w:val="24"/>
        </w:rPr>
        <w:drawing>
          <wp:inline distT="0" distB="0" distL="0" distR="0">
            <wp:extent cx="151130" cy="142875"/>
            <wp:effectExtent l="19050" t="0" r="1270" b="0"/>
            <wp:docPr id="59" name="Imagen 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III.2 </w:t>
      </w:r>
      <w:r w:rsidRPr="006155D3">
        <w:rPr>
          <w:rFonts w:ascii="Times New Roman" w:eastAsia="Times New Roman" w:hAnsi="Times New Roman" w:cs="Times New Roman"/>
          <w:i/>
          <w:iCs/>
          <w:sz w:val="24"/>
          <w:szCs w:val="24"/>
          <w:lang w:val="en-US"/>
        </w:rPr>
        <w:t>Individual responsibility</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International humanitarian law has also established individual and criminal responsibility for the respect of humanitarian obligations.</w:t>
      </w:r>
      <w:r w:rsidRPr="006155D3">
        <w:rPr>
          <w:rFonts w:ascii="Times New Roman" w:eastAsia="Times New Roman" w:hAnsi="Times New Roman" w:cs="Times New Roman"/>
          <w:sz w:val="24"/>
          <w:szCs w:val="24"/>
          <w:lang w:val="en-US"/>
        </w:rPr>
        <w:br/>
        <w:t>This responsibility lies with all; everyone must answer for his conduct in this way. Military commanders have a very special responsibility. They indeed have the duty to do everything to prevent breaches of the Conventions and Additional Protocol I from being committed in their area of responsibility. If a commander neglects orders or does not take all the measures of control necessary, he, if grave breaches have been committed under his command, will have to answer for them on the criminal law level.</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Every member of the armed forces, whatever his rank, is personally responsible to respect the law of armed conflicts, to ensure that others respect it, and to act in case of a violation.</w:t>
      </w:r>
      <w:r w:rsidRPr="006155D3">
        <w:rPr>
          <w:rFonts w:ascii="Times New Roman" w:eastAsia="Times New Roman" w:hAnsi="Times New Roman" w:cs="Times New Roman"/>
          <w:sz w:val="24"/>
          <w:szCs w:val="24"/>
          <w:lang w:val="en-US"/>
        </w:rPr>
        <w:br/>
        <w:t xml:space="preserve">III.3. </w:t>
      </w:r>
      <w:r w:rsidRPr="006155D3">
        <w:rPr>
          <w:rFonts w:ascii="Times New Roman" w:eastAsia="Times New Roman" w:hAnsi="Times New Roman" w:cs="Times New Roman"/>
          <w:i/>
          <w:iCs/>
          <w:sz w:val="24"/>
          <w:szCs w:val="24"/>
          <w:lang w:val="en-US"/>
        </w:rPr>
        <w:t>Responsibility of the commander</w:t>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[C]ommanders can be called to answer for their acts in criminal proceedings if they knew or should have known that subordinates were about to commit war crimes and did nothing to prevent them from committing them, or if they knew or should have known that their subordinates had committed war crimes and did nothing to punish or report the culprits.</w:t>
      </w:r>
      <w:r w:rsidRPr="006155D3">
        <w:rPr>
          <w:rFonts w:ascii="Times New Roman" w:eastAsia="Times New Roman" w:hAnsi="Times New Roman" w:cs="Times New Roman"/>
          <w:sz w:val="24"/>
          <w:szCs w:val="24"/>
          <w:lang w:val="en-US"/>
        </w:rPr>
        <w:br/>
        <w:t>Members of the armed forces holding command functions have the duty: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to maintain strict but fair discipline;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to fully use the mechanisms at their disposal to investigate and prosecute violations of the law, and to make their subordinates understand that the fact of attacking an illegal objective is just as punishable as the fact of being absent without leave, and that that concerns all ranks;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to report soldiers guilty of violations to superior officers who have the competence to punish them;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to notify to a higher authority every violation committed by their own side, by friendly forces or by the enemy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A superior cannot be systematically held responsible for all forms of criminal behaviour shown by their subordinates. For this responsibility to be effective, he must have had knowledge of that breach in advance, or, at least, must have been in possession of sufficient information on that matter and have omitted to do what was in his power to prevent or repress that breach.</w:t>
      </w:r>
      <w:r w:rsidRPr="006155D3">
        <w:rPr>
          <w:rFonts w:ascii="Times New Roman" w:eastAsia="Times New Roman" w:hAnsi="Times New Roman" w:cs="Times New Roman"/>
          <w:sz w:val="24"/>
          <w:szCs w:val="24"/>
          <w:lang w:val="en-US"/>
        </w:rPr>
        <w:br/>
        <w:t>It is therefore vital that military commanders are sufficiently informed as regards the acts which are considered as “breaches” of these instruments.</w:t>
      </w:r>
      <w:r>
        <w:rPr>
          <w:rFonts w:ascii="Times New Roman" w:eastAsia="Times New Roman" w:hAnsi="Times New Roman" w:cs="Times New Roman"/>
          <w:noProof/>
          <w:sz w:val="24"/>
          <w:szCs w:val="24"/>
        </w:rPr>
        <w:drawing>
          <wp:inline distT="0" distB="0" distL="0" distR="0">
            <wp:extent cx="151130" cy="142875"/>
            <wp:effectExtent l="19050" t="0" r="1270" b="0"/>
            <wp:docPr id="60" name="Imagen 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Croatia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Croatia’s Commanders’ Manual (1992) provides: “The commander makes sure that violations of the law of war cease and ensures that disciplinary action is taken.”</w:t>
      </w:r>
      <w:r>
        <w:rPr>
          <w:rFonts w:ascii="Times New Roman" w:eastAsia="Times New Roman" w:hAnsi="Times New Roman" w:cs="Times New Roman"/>
          <w:noProof/>
          <w:sz w:val="24"/>
          <w:szCs w:val="24"/>
        </w:rPr>
        <w:drawing>
          <wp:inline distT="0" distB="0" distL="0" distR="0">
            <wp:extent cx="151130" cy="142875"/>
            <wp:effectExtent l="19050" t="0" r="1270" b="0"/>
            <wp:docPr id="61" name="Imagen 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Djibouti</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Djibouti’s Manual on International Humanitarian Law (2004)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Means of repression</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These are means which implement the obligation of parties to a conflict to prevent and </w:t>
      </w:r>
      <w:r w:rsidRPr="006155D3">
        <w:rPr>
          <w:rFonts w:ascii="Times New Roman" w:eastAsia="Times New Roman" w:hAnsi="Times New Roman" w:cs="Times New Roman"/>
          <w:sz w:val="24"/>
          <w:szCs w:val="24"/>
          <w:lang w:val="en-US"/>
        </w:rPr>
        <w:lastRenderedPageBreak/>
        <w:t xml:space="preserve">stop any violation [of IHL]. Concerning mechanisms of repression, the following are stressed in particular: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criminal and disciplinary responsibility of superiors and the obligation which military commanders or commanders of the police force have to repress and denounce violations [of IHL].</w:t>
      </w:r>
      <w:r>
        <w:rPr>
          <w:rFonts w:ascii="Times New Roman" w:eastAsia="Times New Roman" w:hAnsi="Times New Roman" w:cs="Times New Roman"/>
          <w:noProof/>
          <w:sz w:val="24"/>
          <w:szCs w:val="24"/>
        </w:rPr>
        <w:drawing>
          <wp:inline distT="0" distB="0" distL="0" distR="0">
            <wp:extent cx="151130" cy="142875"/>
            <wp:effectExtent l="19050" t="0" r="1270" b="0"/>
            <wp:docPr id="62" name="Imagen 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Dominican Republic</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Dominican Republic’s Military Manual (1980) tells soldiers:</w:t>
      </w:r>
      <w:r w:rsidRPr="006155D3">
        <w:rPr>
          <w:rFonts w:ascii="Times New Roman" w:eastAsia="Times New Roman" w:hAnsi="Times New Roman" w:cs="Times New Roman"/>
          <w:sz w:val="24"/>
          <w:szCs w:val="24"/>
          <w:lang w:val="en-US"/>
        </w:rPr>
        <w:br/>
        <w:t>You must report crimes immediately through your chain of command. If the crime involves your immediate superiors, report to their superior. You may also report violations of the laws of war to the inspector general, provost marshal, chaplain or judge advocate. In any case, the law requires that you report actual or suspected violations immediately so that evidence will not be misplaced or disappear.</w:t>
      </w:r>
      <w:r>
        <w:rPr>
          <w:rFonts w:ascii="Times New Roman" w:eastAsia="Times New Roman" w:hAnsi="Times New Roman" w:cs="Times New Roman"/>
          <w:noProof/>
          <w:sz w:val="24"/>
          <w:szCs w:val="24"/>
        </w:rPr>
        <w:drawing>
          <wp:inline distT="0" distB="0" distL="0" distR="0">
            <wp:extent cx="151130" cy="142875"/>
            <wp:effectExtent l="19050" t="0" r="1270" b="0"/>
            <wp:docPr id="63" name="Imagen 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El Salvador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El Salvador’s Human Rights Charter of the Armed Forces provides: “All violations must be reported to the immediate superior.”</w:t>
      </w:r>
      <w:r>
        <w:rPr>
          <w:rFonts w:ascii="Times New Roman" w:eastAsia="Times New Roman" w:hAnsi="Times New Roman" w:cs="Times New Roman"/>
          <w:noProof/>
          <w:sz w:val="24"/>
          <w:szCs w:val="24"/>
        </w:rPr>
        <w:drawing>
          <wp:inline distT="0" distB="0" distL="0" distR="0">
            <wp:extent cx="151130" cy="142875"/>
            <wp:effectExtent l="19050" t="0" r="1270" b="0"/>
            <wp:docPr id="64" name="Imagen 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France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France’s LOAC Summary Note (1992) provides: “The commander shall ensure, by exerting his control, that violations of the law of war cease and that disciplinary or penal action is initiated when necessary.”</w:t>
      </w:r>
      <w:r>
        <w:rPr>
          <w:rFonts w:ascii="Times New Roman" w:eastAsia="Times New Roman" w:hAnsi="Times New Roman" w:cs="Times New Roman"/>
          <w:noProof/>
          <w:sz w:val="24"/>
          <w:szCs w:val="24"/>
        </w:rPr>
        <w:drawing>
          <wp:inline distT="0" distB="0" distL="0" distR="0">
            <wp:extent cx="151130" cy="142875"/>
            <wp:effectExtent l="19050" t="0" r="1270" b="0"/>
            <wp:docPr id="65" name="Imagen 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France’s LOAC Manual (2001) provides:</w:t>
      </w:r>
      <w:r w:rsidRPr="006155D3">
        <w:rPr>
          <w:rFonts w:ascii="Times New Roman" w:eastAsia="Times New Roman" w:hAnsi="Times New Roman" w:cs="Times New Roman"/>
          <w:sz w:val="24"/>
          <w:szCs w:val="24"/>
          <w:lang w:val="en-US"/>
        </w:rPr>
        <w:br/>
        <w:t>Each individual is responsible for the violations of the law of armed conflicts for which he/she is guilty, whatever the circumstances may be … The commanders are responsible both for the acts they commit [themselves] and for the orders they give, as well as for the breaches which they allow their subordinates to perform, knowingly, for lack of control or for not having taken the necessary measures to oppose them.</w:t>
      </w:r>
      <w:r>
        <w:rPr>
          <w:rFonts w:ascii="Times New Roman" w:eastAsia="Times New Roman" w:hAnsi="Times New Roman" w:cs="Times New Roman"/>
          <w:noProof/>
          <w:sz w:val="24"/>
          <w:szCs w:val="24"/>
        </w:rPr>
        <w:drawing>
          <wp:inline distT="0" distB="0" distL="0" distR="0">
            <wp:extent cx="151130" cy="142875"/>
            <wp:effectExtent l="19050" t="0" r="1270" b="0"/>
            <wp:docPr id="66" name="Imagen 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Germany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Germany’s Military Manual (1992) states that the superior “is obliged to prevent and, where necessary, to suppress or to report to competent authorities breaches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67" name="Imagen 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When a disciplinary superior learns about incidents substantiating suspicion that international humanitarian law has been violated, he shall clear up the facts and consider as to whether disciplinary measures are to be taken. If the disciplinary offence constitutes a criminal offence, he shall refer the case to the appropriate criminal prosecution authority when criminal prosecution seems to be indicated.</w:t>
      </w:r>
      <w:r>
        <w:rPr>
          <w:rFonts w:ascii="Times New Roman" w:eastAsia="Times New Roman" w:hAnsi="Times New Roman" w:cs="Times New Roman"/>
          <w:noProof/>
          <w:sz w:val="24"/>
          <w:szCs w:val="24"/>
        </w:rPr>
        <w:drawing>
          <wp:inline distT="0" distB="0" distL="0" distR="0">
            <wp:extent cx="151130" cy="142875"/>
            <wp:effectExtent l="19050" t="0" r="1270" b="0"/>
            <wp:docPr id="68" name="Imagen 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Hungary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Hungary’s Military Manual (1992) provides that it is the “responsibility of every commander [to] ensure knowledge of the law of war”. It adds: “In cases of breaches [the commander] shall ensure that they cease and take disciplinary or penal action.”</w:t>
      </w:r>
      <w:r>
        <w:rPr>
          <w:rFonts w:ascii="Times New Roman" w:eastAsia="Times New Roman" w:hAnsi="Times New Roman" w:cs="Times New Roman"/>
          <w:noProof/>
          <w:sz w:val="24"/>
          <w:szCs w:val="24"/>
        </w:rPr>
        <w:drawing>
          <wp:inline distT="0" distB="0" distL="0" distR="0">
            <wp:extent cx="151130" cy="142875"/>
            <wp:effectExtent l="19050" t="0" r="1270" b="0"/>
            <wp:docPr id="69" name="Imagen 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Italy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Italy’s LOAC Elementary Rules Manual (1991) provides: “The commander makes sure that violations of the law of war cease and ensures that disciplinary action is taken.”</w:t>
      </w:r>
      <w:r>
        <w:rPr>
          <w:rFonts w:ascii="Times New Roman" w:eastAsia="Times New Roman" w:hAnsi="Times New Roman" w:cs="Times New Roman"/>
          <w:noProof/>
          <w:sz w:val="24"/>
          <w:szCs w:val="24"/>
        </w:rPr>
        <w:drawing>
          <wp:inline distT="0" distB="0" distL="0" distR="0">
            <wp:extent cx="151130" cy="142875"/>
            <wp:effectExtent l="19050" t="0" r="1270" b="0"/>
            <wp:docPr id="70" name="Imagen 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Madagascar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Madagascar’s Military Manual (1994) provides: “The commander shall ensure that breaches of the law of war cease and that disciplinary or penal action is initiated.”</w:t>
      </w:r>
      <w:r>
        <w:rPr>
          <w:rFonts w:ascii="Times New Roman" w:eastAsia="Times New Roman" w:hAnsi="Times New Roman" w:cs="Times New Roman"/>
          <w:noProof/>
          <w:sz w:val="24"/>
          <w:szCs w:val="24"/>
        </w:rPr>
        <w:drawing>
          <wp:inline distT="0" distB="0" distL="0" distR="0">
            <wp:extent cx="151130" cy="142875"/>
            <wp:effectExtent l="19050" t="0" r="1270" b="0"/>
            <wp:docPr id="71" name="Imagen 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Mexico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Mexico’s Army and Air Force Manual (2009) states: “Military commanders … are … responsible for preventing any breaches of these provisions, suppressing them and, if necessary, reporting them to the competent authorities.”</w:t>
      </w:r>
      <w:r>
        <w:rPr>
          <w:rFonts w:ascii="Times New Roman" w:eastAsia="Times New Roman" w:hAnsi="Times New Roman" w:cs="Times New Roman"/>
          <w:noProof/>
          <w:sz w:val="24"/>
          <w:szCs w:val="24"/>
        </w:rPr>
        <w:drawing>
          <wp:inline distT="0" distB="0" distL="0" distR="0">
            <wp:extent cx="151130" cy="142875"/>
            <wp:effectExtent l="19050" t="0" r="1270" b="0"/>
            <wp:docPr id="72" name="Imagen 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Netherlands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The Military Manual (1993) of the Netherlands refers to Article 86 of the 1977 Additional Protocol I and states: “A superior is not automatically criminally liable for every criminal behaviour of his subordinates. He must have known about it or at least have had the necessary information about it and he must have neglected to do all in his power to prevent or suppress the criminal behaviour”.</w:t>
      </w:r>
      <w:r>
        <w:rPr>
          <w:rFonts w:ascii="Times New Roman" w:eastAsia="Times New Roman" w:hAnsi="Times New Roman" w:cs="Times New Roman"/>
          <w:noProof/>
          <w:sz w:val="24"/>
          <w:szCs w:val="24"/>
        </w:rPr>
        <w:drawing>
          <wp:inline distT="0" distB="0" distL="0" distR="0">
            <wp:extent cx="151130" cy="142875"/>
            <wp:effectExtent l="19050" t="0" r="1270" b="0"/>
            <wp:docPr id="73" name="Imagen 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Commanders are also obliged to take measures in order to prevent their subordinates from committing war crimes. They must take measures to stop the committing of war crimes … This can involve criminal or disciplinary proceedings against the acts committed, but also administrative measures (for example suspension or transfer).</w:t>
      </w:r>
      <w:r>
        <w:rPr>
          <w:rFonts w:ascii="Times New Roman" w:eastAsia="Times New Roman" w:hAnsi="Times New Roman" w:cs="Times New Roman"/>
          <w:noProof/>
          <w:sz w:val="24"/>
          <w:szCs w:val="24"/>
        </w:rPr>
        <w:drawing>
          <wp:inline distT="0" distB="0" distL="0" distR="0">
            <wp:extent cx="151130" cy="142875"/>
            <wp:effectExtent l="19050" t="0" r="1270" b="0"/>
            <wp:docPr id="74" name="Imagen 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Military Handbook (1995) of the Netherlands states:</w:t>
      </w:r>
      <w:r w:rsidRPr="006155D3">
        <w:rPr>
          <w:rFonts w:ascii="Times New Roman" w:eastAsia="Times New Roman" w:hAnsi="Times New Roman" w:cs="Times New Roman"/>
          <w:sz w:val="24"/>
          <w:szCs w:val="24"/>
          <w:lang w:val="en-US"/>
        </w:rPr>
        <w:br/>
        <w:t>Commanders … are obliged to take measures to prevent that their subordinates commit war crimes. Every soldier has the duty to prevent the commission of war crimes, to stop them and to report them. The report shall be made to the Royal Military Police. In addition, report should be made to the commander.</w:t>
      </w:r>
      <w:r>
        <w:rPr>
          <w:rFonts w:ascii="Times New Roman" w:eastAsia="Times New Roman" w:hAnsi="Times New Roman" w:cs="Times New Roman"/>
          <w:noProof/>
          <w:sz w:val="24"/>
          <w:szCs w:val="24"/>
        </w:rPr>
        <w:drawing>
          <wp:inline distT="0" distB="0" distL="0" distR="0">
            <wp:extent cx="151130" cy="142875"/>
            <wp:effectExtent l="19050" t="0" r="1270" b="0"/>
            <wp:docPr id="75" name="Imagen 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Military Manual (2005) of the Netherlands states:</w:t>
      </w:r>
      <w:r w:rsidRPr="006155D3">
        <w:rPr>
          <w:rFonts w:ascii="Times New Roman" w:eastAsia="Times New Roman" w:hAnsi="Times New Roman" w:cs="Times New Roman"/>
          <w:sz w:val="24"/>
          <w:szCs w:val="24"/>
          <w:lang w:val="en-US"/>
        </w:rPr>
        <w:br/>
        <w:t>The commanding officer is responsible for the behaviour of the unit(s) under his orders. A commanding officer (and any other senior military officer) is bound to prevent planned and actual violations and to take measures where necessary, and where they may be expected of him, to prevent repetition and/or make punishment possible. A commanding officer, like those who break these rules, may be punished if he does not properly fulfil his duty as a commanding officer.</w:t>
      </w:r>
      <w:r>
        <w:rPr>
          <w:rFonts w:ascii="Times New Roman" w:eastAsia="Times New Roman" w:hAnsi="Times New Roman" w:cs="Times New Roman"/>
          <w:noProof/>
          <w:sz w:val="24"/>
          <w:szCs w:val="24"/>
        </w:rPr>
        <w:drawing>
          <wp:inline distT="0" distB="0" distL="0" distR="0">
            <wp:extent cx="151130" cy="142875"/>
            <wp:effectExtent l="19050" t="0" r="1270" b="0"/>
            <wp:docPr id="76" name="Imagen 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1121. </w:t>
      </w:r>
      <w:r w:rsidRPr="006155D3">
        <w:rPr>
          <w:rFonts w:ascii="Times New Roman" w:eastAsia="Times New Roman" w:hAnsi="Times New Roman" w:cs="Times New Roman"/>
          <w:i/>
          <w:iCs/>
          <w:sz w:val="24"/>
          <w:szCs w:val="24"/>
          <w:lang w:val="en-US"/>
        </w:rPr>
        <w:t>Individual personal responsibility and the responsibility of senior military figures and commanding officers</w:t>
      </w:r>
      <w:r w:rsidRPr="006155D3">
        <w:rPr>
          <w:rFonts w:ascii="Times New Roman" w:eastAsia="Times New Roman" w:hAnsi="Times New Roman" w:cs="Times New Roman"/>
          <w:sz w:val="24"/>
          <w:szCs w:val="24"/>
          <w:lang w:val="en-US"/>
        </w:rPr>
        <w:br/>
        <w:t>Every member of the military is personally responsible for compliance with the humanitarian law of war. Senior military officers should emphasize this by their exemplary personal behaviour. They should make it clear that everyone must be guided by conscience in upholding the humanitarian law of war.</w:t>
      </w:r>
      <w:r w:rsidRPr="006155D3">
        <w:rPr>
          <w:rFonts w:ascii="Times New Roman" w:eastAsia="Times New Roman" w:hAnsi="Times New Roman" w:cs="Times New Roman"/>
          <w:sz w:val="24"/>
          <w:szCs w:val="24"/>
          <w:lang w:val="en-US"/>
        </w:rPr>
        <w:br/>
        <w:t>1122. Action against violations, personal penal liability, the penal liability of the senior and/or commanding officer and the punishment of violations contribute to compliance with the humanitarian law of war. This will be dealt with in more detail below.</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Section 4 - War Crimes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1136. Commanding officers are bound to take measures to prevent their subordinates from committing war crimes. They must therefore counter war crimes and report them to the competent authorities for settlement. This may mean dealing with the acts committed, in terms of penal law or discipline any action, but also administrative measures (e.g., suspension or dismissal from a position).</w:t>
      </w:r>
      <w:r w:rsidRPr="006155D3">
        <w:rPr>
          <w:rFonts w:ascii="Times New Roman" w:eastAsia="Times New Roman" w:hAnsi="Times New Roman" w:cs="Times New Roman"/>
          <w:sz w:val="24"/>
          <w:szCs w:val="24"/>
          <w:lang w:val="en-US"/>
        </w:rPr>
        <w:br/>
        <w:t>A war crime is punishable in Dutch law. A possible breach of the humanitarian law of war must therefore be reported to the Royal Marechaussee or Public Prosecutor’s Office, regardless of where it happened and the suspected perpetrator. At the same time, reporting up the line of command is possible.</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Section 6 - Penal liability</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1146. Any member of the armed forces holds personal responsibility to act in accordance with the humanitarian law of war. Moreover, he must do everything within his power to ensure that others so act. Lastly, he should take measures whenever he becomes aware of breaches of the humanitarian law of war.</w:t>
      </w:r>
      <w:r w:rsidRPr="006155D3">
        <w:rPr>
          <w:rFonts w:ascii="Times New Roman" w:eastAsia="Times New Roman" w:hAnsi="Times New Roman" w:cs="Times New Roman"/>
          <w:sz w:val="24"/>
          <w:szCs w:val="24"/>
          <w:lang w:val="en-US"/>
        </w:rPr>
        <w:br/>
        <w:t xml:space="preserve">1147. The humanitarian law of war is not binding on States alone, but also on individuals. Penal liability exists not only for crimes an individual has committed, but </w:t>
      </w:r>
      <w:r w:rsidRPr="006155D3">
        <w:rPr>
          <w:rFonts w:ascii="Times New Roman" w:eastAsia="Times New Roman" w:hAnsi="Times New Roman" w:cs="Times New Roman"/>
          <w:sz w:val="24"/>
          <w:szCs w:val="24"/>
          <w:lang w:val="en-US"/>
        </w:rPr>
        <w:lastRenderedPageBreak/>
        <w:t xml:space="preserve">for connivance in the crimes of others, as an accessory, perpetrator, accomplice or inciter. </w:t>
      </w:r>
      <w:r w:rsidRPr="006155D3">
        <w:rPr>
          <w:rFonts w:ascii="Times New Roman" w:eastAsia="Times New Roman" w:hAnsi="Times New Roman" w:cs="Times New Roman"/>
          <w:sz w:val="24"/>
          <w:szCs w:val="24"/>
          <w:lang w:val="en-US"/>
        </w:rPr>
        <w:br/>
        <w:t>1148. Attempts and preparation of war crimes (e.g., by providing means of transport or accommodation) are also punishable.</w:t>
      </w:r>
      <w:r w:rsidRPr="006155D3">
        <w:rPr>
          <w:rFonts w:ascii="Times New Roman" w:eastAsia="Times New Roman" w:hAnsi="Times New Roman" w:cs="Times New Roman"/>
          <w:sz w:val="24"/>
          <w:szCs w:val="24"/>
          <w:lang w:val="en-US"/>
        </w:rPr>
        <w:br/>
        <w:t xml:space="preserve">1149. The fact that a violation of the humanitarian law of war is committed by a subordinate does not release his </w:t>
      </w:r>
      <w:r w:rsidRPr="006155D3">
        <w:rPr>
          <w:rFonts w:ascii="Times New Roman" w:eastAsia="Times New Roman" w:hAnsi="Times New Roman" w:cs="Times New Roman"/>
          <w:i/>
          <w:iCs/>
          <w:sz w:val="24"/>
          <w:szCs w:val="24"/>
          <w:lang w:val="en-US"/>
        </w:rPr>
        <w:t>superior</w:t>
      </w:r>
      <w:r w:rsidRPr="006155D3">
        <w:rPr>
          <w:rFonts w:ascii="Times New Roman" w:eastAsia="Times New Roman" w:hAnsi="Times New Roman" w:cs="Times New Roman"/>
          <w:sz w:val="24"/>
          <w:szCs w:val="24"/>
          <w:lang w:val="en-US"/>
        </w:rPr>
        <w:t xml:space="preserve"> from his penal or disciplinary responsibility. What matters is whether the superior knew that the subordinate was committing such a violation, and whether he took suitable measures to prevent or counter such violation. A superior is therefore not automatically legally liable for every misdemeanour of his subordinates: he must have known of them or anyway have held the necessary information about them, and must have omitted to do what he actually could to prevent or counter the misdemeanour.</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Liability for criminal offences committed by subordinates in (military) penal law</w:t>
      </w:r>
      <w:r w:rsidRPr="006155D3">
        <w:rPr>
          <w:rFonts w:ascii="Times New Roman" w:eastAsia="Times New Roman" w:hAnsi="Times New Roman" w:cs="Times New Roman"/>
          <w:i/>
          <w:iCs/>
          <w:sz w:val="24"/>
          <w:szCs w:val="24"/>
          <w:lang w:val="en-US"/>
        </w:rPr>
        <w:br/>
        <w:t>Article 9 of the International Criminal Offences Act</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A superior who acts as follows shall be punished with the same penalty as set for acts as in §2:</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who deliberately allows one of his subordinates to commit such an act;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who wilfully omits to take measures where necessary and reasonably expected of him if one of his subordinates has committed, or plans to commit, such an act.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Whoever culpably fails to take measures where necessary and reasonably expected of him if he has reasonable grounds to suspect that one of his subordinates has committed, or is planning to commit, such an offence, shall be punished by a penalty not exceeding two-thirds of the maximum main penalties set for acts as defined in §2.</w:t>
      </w:r>
      <w:r w:rsidRPr="006155D3">
        <w:rPr>
          <w:rFonts w:ascii="Times New Roman" w:eastAsia="Times New Roman" w:hAnsi="Times New Roman" w:cs="Times New Roman"/>
          <w:sz w:val="24"/>
          <w:szCs w:val="24"/>
          <w:lang w:val="en-US"/>
        </w:rPr>
        <w:br/>
        <w:t>3. If, in the case of the second paragraph life imprisonment is set for the act, a custodial sentence not exceeding fifteen years shall be imposed.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Article 148 of the Military Criminal Code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A member of the military who deliberately permits a subordinate to commit a crime or who, having witnessed a crime committed by a subordinate, deliberately omits to take such measures as may be necessary and reasonably expected of him, shall be punished as an accomplice.</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Article 149 of the Military Criminal Code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A member of the military who wilfully omits to take such steps as may be necessary and reasonably expected of him if he has reasonable grounds to suspect that a member of the military under his orders is committing or planning to commit a crime shall be punished by up to six months’ imprisonment or a category-three fine.</w:t>
      </w:r>
      <w:r w:rsidRPr="006155D3">
        <w:rPr>
          <w:rFonts w:ascii="Times New Roman" w:eastAsia="Times New Roman" w:hAnsi="Times New Roman" w:cs="Times New Roman"/>
          <w:sz w:val="24"/>
          <w:szCs w:val="24"/>
          <w:lang w:val="en-US"/>
        </w:rPr>
        <w:br/>
        <w:t>1150. The law relating to military discipline contains a corresponding provision concerning the liability of military superiors for disciplinary offences.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Article 27 of the Military Discipline Act</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A member of the military who, knowing that a subordinate is committing or has committed an infringement of a rule of behaviour under this Act, omits to take measures has acted in breach of military discipline.</w:t>
      </w:r>
      <w:r w:rsidRPr="006155D3">
        <w:rPr>
          <w:rFonts w:ascii="Times New Roman" w:eastAsia="Times New Roman" w:hAnsi="Times New Roman" w:cs="Times New Roman"/>
          <w:sz w:val="24"/>
          <w:szCs w:val="24"/>
          <w:lang w:val="en-US"/>
        </w:rPr>
        <w:br/>
        <w:t xml:space="preserve">1151. The superior’s liability for (international) penal offences committed by subordinates is governed by Article 9 of the International Criminal Offences Act. The current term internationally is “command superior </w:t>
      </w:r>
      <w:r w:rsidRPr="006155D3">
        <w:rPr>
          <w:rFonts w:ascii="Times New Roman" w:eastAsia="Times New Roman" w:hAnsi="Times New Roman" w:cs="Times New Roman"/>
          <w:i/>
          <w:iCs/>
          <w:sz w:val="24"/>
          <w:szCs w:val="24"/>
          <w:lang w:val="en-US"/>
        </w:rPr>
        <w:t>responsibility</w:t>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1152. This liability of superior ranks has long been recognized in the humanitarian law of war. In the last years of the 20th century, it gained importance through legal precedents, especially of the International Criminal Tribunal for the former Yugoslavia (ICTY).</w:t>
      </w:r>
      <w:r w:rsidRPr="006155D3">
        <w:rPr>
          <w:rFonts w:ascii="Times New Roman" w:eastAsia="Times New Roman" w:hAnsi="Times New Roman" w:cs="Times New Roman"/>
          <w:sz w:val="24"/>
          <w:szCs w:val="24"/>
          <w:lang w:val="en-US"/>
        </w:rPr>
        <w:br/>
        <w:t xml:space="preserve">1153. The concept of superior rank’s responsibility originates from the humanitarian law of war and from the great responsibility which military commanders bear for the </w:t>
      </w:r>
      <w:r w:rsidRPr="006155D3">
        <w:rPr>
          <w:rFonts w:ascii="Times New Roman" w:eastAsia="Times New Roman" w:hAnsi="Times New Roman" w:cs="Times New Roman"/>
          <w:sz w:val="24"/>
          <w:szCs w:val="24"/>
          <w:lang w:val="en-US"/>
        </w:rPr>
        <w:lastRenderedPageBreak/>
        <w:t>behaviour of the forces under their command, with the commensurate supervisory task and power.</w:t>
      </w:r>
      <w:r w:rsidRPr="006155D3">
        <w:rPr>
          <w:rFonts w:ascii="Times New Roman" w:eastAsia="Times New Roman" w:hAnsi="Times New Roman" w:cs="Times New Roman"/>
          <w:sz w:val="24"/>
          <w:szCs w:val="24"/>
          <w:lang w:val="en-US"/>
        </w:rPr>
        <w:br/>
        <w:t xml:space="preserve">1154. The crux of the matter is that a hierarchical relationship exists between two persons. One (the superior or leader) can exercise effective control over the other’s behaviour. The other is the subordinate. The term “superior” in the WIM [the International Criminal Offences Act] contains two elements. The military commander, or whoever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acts as such, is the person who actually exercises command or control over, or actually leads, one or more subordinates. This also applies to any person in a civilian capacity who exercises actual leadership over one or more subordinates. It should be noted that military commander is a broader term than its civilian counterpart. Moreover, more is expected of a military superior than a civilian superior. Formal legal command/subordination is not necessary, and even not sufficient if the leader can in fact exercise effective control. Such command relations in fact may suffice for responsibility of the commander. They may also exist outside the conventional State armies, in all kinds of less ordered and regulated armed groups, or in situations where the official and legal leaders are merely puppets of the true leaders behind the scenes. However, holding considerable influence but no effective control over the behaviour of others is not deemed sufficient for command superior responsibility.</w:t>
      </w:r>
      <w:r w:rsidRPr="006155D3">
        <w:rPr>
          <w:rFonts w:ascii="Times New Roman" w:eastAsia="Times New Roman" w:hAnsi="Times New Roman" w:cs="Times New Roman"/>
          <w:sz w:val="24"/>
          <w:szCs w:val="24"/>
          <w:lang w:val="en-US"/>
        </w:rPr>
        <w:br/>
        <w:t xml:space="preserve">1155. A superior who has </w:t>
      </w:r>
      <w:r w:rsidRPr="006155D3">
        <w:rPr>
          <w:rFonts w:ascii="Times New Roman" w:eastAsia="Times New Roman" w:hAnsi="Times New Roman" w:cs="Times New Roman"/>
          <w:i/>
          <w:iCs/>
          <w:sz w:val="24"/>
          <w:szCs w:val="24"/>
          <w:lang w:val="en-US"/>
        </w:rPr>
        <w:t>knowledge or serious suspicion</w:t>
      </w:r>
      <w:r w:rsidRPr="006155D3">
        <w:rPr>
          <w:rFonts w:ascii="Times New Roman" w:eastAsia="Times New Roman" w:hAnsi="Times New Roman" w:cs="Times New Roman"/>
          <w:sz w:val="24"/>
          <w:szCs w:val="24"/>
          <w:lang w:val="en-US"/>
        </w:rPr>
        <w:t xml:space="preserve"> of crimes planned or executed by subordinates, but who fails to take the measures against them which lie within his power, may be liable to prosecution on the grounds of superior responsibility. This is a separate, independent liability, without prejudice to the possibility of punishment of the commander, in some circumstances, as a “common” perpetrator, e.g., an inciter or accomplice. A peculiar feature of superior responsibility is also that it sometimes arises only after the subordinate has committed the crime. The superior’s obligations, if preventive measures had no effect, or were ignored without the superior’s knowledge, require that the superior must take adequate repressive measures later, after the crimes have been committed, in order to ensure that the crimes are brought to justice, and to enforce the disciplinary measures within his power against the offender. In other words, the issue is “failure to prevent or punish”.</w:t>
      </w:r>
      <w:r w:rsidRPr="006155D3">
        <w:rPr>
          <w:rFonts w:ascii="Times New Roman" w:eastAsia="Times New Roman" w:hAnsi="Times New Roman" w:cs="Times New Roman"/>
          <w:sz w:val="24"/>
          <w:szCs w:val="24"/>
          <w:lang w:val="en-US"/>
        </w:rPr>
        <w:br/>
        <w:t xml:space="preserve">1156. The superior may also be liable to criminal prosecution for gross negligence and recklessness if </w:t>
      </w:r>
      <w:r w:rsidRPr="006155D3">
        <w:rPr>
          <w:rFonts w:ascii="Times New Roman" w:eastAsia="Times New Roman" w:hAnsi="Times New Roman" w:cs="Times New Roman"/>
          <w:i/>
          <w:iCs/>
          <w:sz w:val="24"/>
          <w:szCs w:val="24"/>
          <w:lang w:val="en-US"/>
        </w:rPr>
        <w:t>he did not actually know, but must reasonably have suspected</w:t>
      </w:r>
      <w:r w:rsidRPr="006155D3">
        <w:rPr>
          <w:rFonts w:ascii="Times New Roman" w:eastAsia="Times New Roman" w:hAnsi="Times New Roman" w:cs="Times New Roman"/>
          <w:sz w:val="24"/>
          <w:szCs w:val="24"/>
          <w:lang w:val="en-US"/>
        </w:rPr>
        <w:t xml:space="preserve"> that a subordinate had committed, or was planning to commit, a crime and failed to take the necessary (preventive or repressive) measures within his power. Such culpable liability of superiors is based on international law, in treaties (“should have known”) and in legal precedents.</w:t>
      </w:r>
      <w:r w:rsidRPr="006155D3">
        <w:rPr>
          <w:rFonts w:ascii="Times New Roman" w:eastAsia="Times New Roman" w:hAnsi="Times New Roman" w:cs="Times New Roman"/>
          <w:sz w:val="24"/>
          <w:szCs w:val="24"/>
          <w:lang w:val="en-US"/>
        </w:rPr>
        <w:br/>
        <w:t>1157. The severity of the punishment reflects the difference in culpability between liability based on deliberate misconduct and liability based on gross negligence (culpa). If the liability is of the latter kind, the maximum penalty is reduced by one-third.</w:t>
      </w:r>
      <w:r w:rsidRPr="006155D3">
        <w:rPr>
          <w:rFonts w:ascii="Times New Roman" w:eastAsia="Times New Roman" w:hAnsi="Times New Roman" w:cs="Times New Roman"/>
          <w:sz w:val="24"/>
          <w:szCs w:val="24"/>
          <w:lang w:val="en-US"/>
        </w:rPr>
        <w:br/>
        <w:t>1158. Staff officers may also be held legally liable, even though they hold no power of command or may not act in the place of a commander. Working from headquarters, they may become aware of the planning or committing of war crimes at lower hierarchical levels. If they then omit to draw the matter to the commanding officer’s attention or to report it to other authorized bodies for (legal) investigation, they share legal liability (see point 1147 on accomplices).</w:t>
      </w:r>
      <w:r>
        <w:rPr>
          <w:rFonts w:ascii="Times New Roman" w:eastAsia="Times New Roman" w:hAnsi="Times New Roman" w:cs="Times New Roman"/>
          <w:noProof/>
          <w:sz w:val="24"/>
          <w:szCs w:val="24"/>
        </w:rPr>
        <w:drawing>
          <wp:inline distT="0" distB="0" distL="0" distR="0">
            <wp:extent cx="151130" cy="142875"/>
            <wp:effectExtent l="19050" t="0" r="1270" b="0"/>
            <wp:docPr id="77" name="Imagen 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New Zealand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New Zealand’s Military Manual (1992) provides:</w:t>
      </w:r>
      <w:r w:rsidRPr="006155D3">
        <w:rPr>
          <w:rFonts w:ascii="Times New Roman" w:eastAsia="Times New Roman" w:hAnsi="Times New Roman" w:cs="Times New Roman"/>
          <w:sz w:val="24"/>
          <w:szCs w:val="24"/>
          <w:lang w:val="en-US"/>
        </w:rPr>
        <w:br/>
        <w:t xml:space="preserve">The commander is personally liable in respect of illegal acts committed by those under his command if he knew or should have known that such acts were being committed or were likely to be committed, and it is part of his responsibility to ensure that the troops </w:t>
      </w:r>
      <w:r w:rsidRPr="006155D3">
        <w:rPr>
          <w:rFonts w:ascii="Times New Roman" w:eastAsia="Times New Roman" w:hAnsi="Times New Roman" w:cs="Times New Roman"/>
          <w:sz w:val="24"/>
          <w:szCs w:val="24"/>
          <w:lang w:val="en-US"/>
        </w:rPr>
        <w:lastRenderedPageBreak/>
        <w:t>under his command are aware of their obligations.</w:t>
      </w:r>
      <w:r>
        <w:rPr>
          <w:rFonts w:ascii="Times New Roman" w:eastAsia="Times New Roman" w:hAnsi="Times New Roman" w:cs="Times New Roman"/>
          <w:noProof/>
          <w:sz w:val="24"/>
          <w:szCs w:val="24"/>
        </w:rPr>
        <w:drawing>
          <wp:inline distT="0" distB="0" distL="0" distR="0">
            <wp:extent cx="151130" cy="142875"/>
            <wp:effectExtent l="19050" t="0" r="1270" b="0"/>
            <wp:docPr id="78" name="Imagen 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commander] is also liable to punishment if he knew or had information which should have enabled him to conclude, in the circumstances at the time, that a subordinate was committing or going to commit a breach of the law, and failed to take all feasible steps to prevent or repress that breach.</w:t>
      </w:r>
      <w:r>
        <w:rPr>
          <w:rFonts w:ascii="Times New Roman" w:eastAsia="Times New Roman" w:hAnsi="Times New Roman" w:cs="Times New Roman"/>
          <w:noProof/>
          <w:sz w:val="24"/>
          <w:szCs w:val="24"/>
        </w:rPr>
        <w:drawing>
          <wp:inline distT="0" distB="0" distL="0" distR="0">
            <wp:extent cx="151130" cy="142875"/>
            <wp:effectExtent l="19050" t="0" r="1270" b="0"/>
            <wp:docPr id="79" name="Imagen 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Nigeria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Nigeria’s Military Manual (1994) provides: </w:t>
      </w:r>
      <w:r w:rsidRPr="006155D3">
        <w:rPr>
          <w:rFonts w:ascii="Times New Roman" w:eastAsia="Times New Roman" w:hAnsi="Times New Roman" w:cs="Times New Roman"/>
          <w:sz w:val="24"/>
          <w:szCs w:val="24"/>
          <w:lang w:val="en-US"/>
        </w:rPr>
        <w:br/>
        <w:t>Article 87 [of the 1977 Additional Protocol I] thereby enjoins the parties and the parties to the conflict to request Commanders of their troops under control to prevent, and where necessary, to suppress and to report to competent authorities breaches of the conventions and the Protocols.</w:t>
      </w:r>
      <w:r>
        <w:rPr>
          <w:rFonts w:ascii="Times New Roman" w:eastAsia="Times New Roman" w:hAnsi="Times New Roman" w:cs="Times New Roman"/>
          <w:noProof/>
          <w:sz w:val="24"/>
          <w:szCs w:val="24"/>
        </w:rPr>
        <w:drawing>
          <wp:inline distT="0" distB="0" distL="0" distR="0">
            <wp:extent cx="151130" cy="142875"/>
            <wp:effectExtent l="19050" t="0" r="1270" b="0"/>
            <wp:docPr id="80" name="Imagen 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 xml:space="preserve">Nigeria’s Military Manual (1994) provides: </w:t>
      </w:r>
      <w:r w:rsidRPr="006155D3">
        <w:rPr>
          <w:rFonts w:ascii="Times New Roman" w:eastAsia="Times New Roman" w:hAnsi="Times New Roman" w:cs="Times New Roman"/>
          <w:sz w:val="24"/>
          <w:szCs w:val="24"/>
          <w:lang w:val="en-US"/>
        </w:rPr>
        <w:br/>
        <w:t>Article 87 [of the 1977 Additional Protocol I] thereby enjoins the parties and the parties to the conflict to request Commanders of their troops under control to prevent, and where necessary, to suppress and to report to competent authorities breaches of the [1949 Geneva] conventions and the [1977 Additional] Protocols.</w:t>
      </w:r>
      <w:r>
        <w:rPr>
          <w:rFonts w:ascii="Times New Roman" w:eastAsia="Times New Roman" w:hAnsi="Times New Roman" w:cs="Times New Roman"/>
          <w:noProof/>
          <w:sz w:val="24"/>
          <w:szCs w:val="24"/>
        </w:rPr>
        <w:drawing>
          <wp:inline distT="0" distB="0" distL="0" distR="0">
            <wp:extent cx="151130" cy="142875"/>
            <wp:effectExtent l="19050" t="0" r="1270" b="0"/>
            <wp:docPr id="81" name="Imagen 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Nigeria’s Manual on the Laws of War provides:</w:t>
      </w:r>
      <w:r w:rsidRPr="006155D3">
        <w:rPr>
          <w:rFonts w:ascii="Times New Roman" w:eastAsia="Times New Roman" w:hAnsi="Times New Roman" w:cs="Times New Roman"/>
          <w:sz w:val="24"/>
          <w:szCs w:val="24"/>
          <w:lang w:val="en-US"/>
        </w:rPr>
        <w:br/>
        <w:t>In some cases, commanders are responsible for war-crimes committed by their subordinates. For example, when soldiers commit acts of massacre against the civilian population of an occupied territory or against prisoners of war the responsibility for such acts may rest not only with the actual perpetrators but also with the commander. Such responsibility arises when the acts in question have been committed in pursuance of an order of the commander, when the act is done with the commander’s knowledge or when the commander ought to have known about the act and failed to use all necessary means at his disposal to ensure compliance with the Laws of War.</w:t>
      </w:r>
      <w:r>
        <w:rPr>
          <w:rFonts w:ascii="Times New Roman" w:eastAsia="Times New Roman" w:hAnsi="Times New Roman" w:cs="Times New Roman"/>
          <w:noProof/>
          <w:sz w:val="24"/>
          <w:szCs w:val="24"/>
        </w:rPr>
        <w:drawing>
          <wp:inline distT="0" distB="0" distL="0" distR="0">
            <wp:extent cx="151130" cy="142875"/>
            <wp:effectExtent l="19050" t="0" r="1270" b="0"/>
            <wp:docPr id="82" name="Imagen 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Peru</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Peru’s Human Rights Charter of the Security Forces (1991) provides: “All alleged violations must immediately be reported to the superior.”</w:t>
      </w:r>
      <w:r>
        <w:rPr>
          <w:rFonts w:ascii="Times New Roman" w:eastAsia="Times New Roman" w:hAnsi="Times New Roman" w:cs="Times New Roman"/>
          <w:noProof/>
          <w:sz w:val="24"/>
          <w:szCs w:val="24"/>
        </w:rPr>
        <w:drawing>
          <wp:inline distT="0" distB="0" distL="0" distR="0">
            <wp:extent cx="151130" cy="142875"/>
            <wp:effectExtent l="19050" t="0" r="1270" b="0"/>
            <wp:docPr id="83" name="Imagen 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Peru’s IHL Manual (2004) states:</w:t>
      </w:r>
      <w:r w:rsidRPr="006155D3">
        <w:rPr>
          <w:rFonts w:ascii="Times New Roman" w:eastAsia="Times New Roman" w:hAnsi="Times New Roman" w:cs="Times New Roman"/>
          <w:sz w:val="24"/>
          <w:szCs w:val="24"/>
          <w:lang w:val="en-US"/>
        </w:rPr>
        <w:br/>
        <w:t>The commander of the theatre of operations assumes and bears overall responsibility for ensuring strict compliance with international humanitarian law. Respect for international humanitarian law is a matter of order and discipline, and this must be taken into account when formulating plans and operational directives.</w:t>
      </w:r>
      <w:r>
        <w:rPr>
          <w:rFonts w:ascii="Times New Roman" w:eastAsia="Times New Roman" w:hAnsi="Times New Roman" w:cs="Times New Roman"/>
          <w:noProof/>
          <w:sz w:val="24"/>
          <w:szCs w:val="24"/>
        </w:rPr>
        <w:drawing>
          <wp:inline distT="0" distB="0" distL="0" distR="0">
            <wp:extent cx="151130" cy="142875"/>
            <wp:effectExtent l="19050" t="0" r="1270" b="0"/>
            <wp:docPr id="84" name="Imagen 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the event of violations of international humanitarian law, commanders must ensure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violations cease and appropriate measures are taken to ensure that they do not occur in the future;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disciplinary or criminal action is taken against those responsible for the violations.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 should be understood that, ultimately, responsibility is incurred when violations of international humanitarian law are committed as the result of a failure to act when there is a duty to act.</w:t>
      </w:r>
      <w:r>
        <w:rPr>
          <w:rFonts w:ascii="Times New Roman" w:eastAsia="Times New Roman" w:hAnsi="Times New Roman" w:cs="Times New Roman"/>
          <w:noProof/>
          <w:sz w:val="24"/>
          <w:szCs w:val="24"/>
        </w:rPr>
        <w:drawing>
          <wp:inline distT="0" distB="0" distL="0" distR="0">
            <wp:extent cx="151130" cy="142875"/>
            <wp:effectExtent l="19050" t="0" r="1270" b="0"/>
            <wp:docPr id="85" name="Imagen 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Report acts or facts that constitute war crimes and enforce criminal and disciplinary responsibility for such crimes committed by superiors and subordinates, applying article 87 of Protocol I additional to the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86" name="Imagen 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Peru’s IHL and Human Rights Manual (2010) states: “The commander must personally make sure that his subordinates know the obligations stemming from international humanitarian law and that they respect them.”</w:t>
      </w:r>
      <w:r>
        <w:rPr>
          <w:rFonts w:ascii="Times New Roman" w:eastAsia="Times New Roman" w:hAnsi="Times New Roman" w:cs="Times New Roman"/>
          <w:noProof/>
          <w:sz w:val="24"/>
          <w:szCs w:val="24"/>
        </w:rPr>
        <w:drawing>
          <wp:inline distT="0" distB="0" distL="0" distR="0">
            <wp:extent cx="151130" cy="142875"/>
            <wp:effectExtent l="19050" t="0" r="1270" b="0"/>
            <wp:docPr id="87" name="Imagen 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The commander of the theatre of operations assumes and bears overall responsibility for ensuring strict compliance with international humanitarian law. Respect for international humanitarian law is a matter of order and discipline, and this must be taken </w:t>
      </w:r>
      <w:r w:rsidRPr="006155D3">
        <w:rPr>
          <w:rFonts w:ascii="Times New Roman" w:eastAsia="Times New Roman" w:hAnsi="Times New Roman" w:cs="Times New Roman"/>
          <w:sz w:val="24"/>
          <w:szCs w:val="24"/>
          <w:lang w:val="en-US"/>
        </w:rPr>
        <w:lastRenderedPageBreak/>
        <w:t>into account when formulating plans and operational directives.</w:t>
      </w:r>
      <w:r>
        <w:rPr>
          <w:rFonts w:ascii="Times New Roman" w:eastAsia="Times New Roman" w:hAnsi="Times New Roman" w:cs="Times New Roman"/>
          <w:noProof/>
          <w:sz w:val="24"/>
          <w:szCs w:val="24"/>
        </w:rPr>
        <w:drawing>
          <wp:inline distT="0" distB="0" distL="0" distR="0">
            <wp:extent cx="151130" cy="142875"/>
            <wp:effectExtent l="19050" t="0" r="1270" b="0"/>
            <wp:docPr id="88" name="Imagen 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the event of violations of international humanitarian law, commanders must ensure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violations cease and appropriate measures are taken to ensure that they do not occur in the future;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disciplinary or criminal action is taken against those responsible for the violations.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 should be understood that, ultimately, responsibility is incurred when violations of international humanitarian law are committed as the result of a failure to act when there is a duty to act.</w:t>
      </w:r>
      <w:r>
        <w:rPr>
          <w:rFonts w:ascii="Times New Roman" w:eastAsia="Times New Roman" w:hAnsi="Times New Roman" w:cs="Times New Roman"/>
          <w:noProof/>
          <w:sz w:val="24"/>
          <w:szCs w:val="24"/>
        </w:rPr>
        <w:drawing>
          <wp:inline distT="0" distB="0" distL="0" distR="0">
            <wp:extent cx="151130" cy="142875"/>
            <wp:effectExtent l="19050" t="0" r="1270" b="0"/>
            <wp:docPr id="89" name="Imagen 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Report acts or facts that constitute war crimes and enforce criminal and disciplinary responsibility for such crimes committed by superiors and subordinates, applying article 87 of [the 1977 Additional] Protocol I additional to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90" name="Imagen 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Philippines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Soldier’s Rules (1989) of the Philippines, providing a list of the most basic principles of behaviour for soldiers, states that a soldier must “endeavour to prevent any breach of the above rules. Report any violations to your superior.”</w:t>
      </w:r>
      <w:r>
        <w:rPr>
          <w:rFonts w:ascii="Times New Roman" w:eastAsia="Times New Roman" w:hAnsi="Times New Roman" w:cs="Times New Roman"/>
          <w:noProof/>
          <w:sz w:val="24"/>
          <w:szCs w:val="24"/>
        </w:rPr>
        <w:drawing>
          <wp:inline distT="0" distB="0" distL="0" distR="0">
            <wp:extent cx="151130" cy="142875"/>
            <wp:effectExtent l="19050" t="0" r="1270" b="0"/>
            <wp:docPr id="91" name="Imagen 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Handbook on Discipline (1989) of the Philippines states:</w:t>
      </w:r>
      <w:r w:rsidRPr="006155D3">
        <w:rPr>
          <w:rFonts w:ascii="Times New Roman" w:eastAsia="Times New Roman" w:hAnsi="Times New Roman" w:cs="Times New Roman"/>
          <w:sz w:val="24"/>
          <w:szCs w:val="24"/>
          <w:lang w:val="en-US"/>
        </w:rPr>
        <w:br/>
        <w:t>The immediate CO [commanding officer] of errant military personnel is held accountable either as conduct unbecoming pursuant to AW 96, or as accessory after the fact in cases where he refuses to act, delays or otherwise aids or abets the wrong doing of his subordinates which is the subject of a valid complaint or duly issued warrant of arrest.</w:t>
      </w:r>
      <w:r>
        <w:rPr>
          <w:rFonts w:ascii="Times New Roman" w:eastAsia="Times New Roman" w:hAnsi="Times New Roman" w:cs="Times New Roman"/>
          <w:noProof/>
          <w:sz w:val="24"/>
          <w:szCs w:val="24"/>
        </w:rPr>
        <w:drawing>
          <wp:inline distT="0" distB="0" distL="0" distR="0">
            <wp:extent cx="151130" cy="142875"/>
            <wp:effectExtent l="19050" t="0" r="1270" b="0"/>
            <wp:docPr id="92" name="Imagen 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Code of Ethics (1991) of the Philippines provides: “Commanders shall exercise their authority over their subordinates with prudence and shall accept responsibility for their actions.”</w:t>
      </w:r>
      <w:r>
        <w:rPr>
          <w:rFonts w:ascii="Times New Roman" w:eastAsia="Times New Roman" w:hAnsi="Times New Roman" w:cs="Times New Roman"/>
          <w:noProof/>
          <w:sz w:val="24"/>
          <w:szCs w:val="24"/>
        </w:rPr>
        <w:drawing>
          <wp:inline distT="0" distB="0" distL="0" distR="0">
            <wp:extent cx="151130" cy="142875"/>
            <wp:effectExtent l="19050" t="0" r="1270" b="0"/>
            <wp:docPr id="93" name="Imagen 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Joint Circular on Adherence to IHL and Human Rights (1991) of the Philippines provides:</w:t>
      </w:r>
      <w:r w:rsidRPr="006155D3">
        <w:rPr>
          <w:rFonts w:ascii="Times New Roman" w:eastAsia="Times New Roman" w:hAnsi="Times New Roman" w:cs="Times New Roman"/>
          <w:sz w:val="24"/>
          <w:szCs w:val="24"/>
          <w:lang w:val="en-US"/>
        </w:rPr>
        <w:br/>
        <w:t>a. Commanders shall be responsible for the conduct and behavior of AFP [Armed Forces of the Philippines] and PNP [Philippine National Police] personnel under their control and supervision. They will be held accountable under pertinent provisions of the Articles of War in the case of military personnel and PNP Rules and Regulations and the Revised Penal Code for PNP personnel, or as accessory after the fact in cases where they refuse to act, delay or otherwise aid or abet the wrongdoing of their subordinate, the subject of a valid complaint or warrant of arrest.</w:t>
      </w:r>
      <w:r w:rsidRPr="006155D3">
        <w:rPr>
          <w:rFonts w:ascii="Times New Roman" w:eastAsia="Times New Roman" w:hAnsi="Times New Roman" w:cs="Times New Roman"/>
          <w:sz w:val="24"/>
          <w:szCs w:val="24"/>
          <w:lang w:val="en-US"/>
        </w:rPr>
        <w:br/>
        <w:t>b. Commanders shall ensure that all participants in security/police operations shall be briefed and de-briefed before and after every operation to insure proper behavior of personnel and understanding of their mission as well as to assess the over-all impact of the operation to AFP/PNP goals and objectives and whenever necessary immediately undertake corrective legal measures on any misconduct committed by AFP/PNP personnel.</w:t>
      </w:r>
      <w:r>
        <w:rPr>
          <w:rFonts w:ascii="Times New Roman" w:eastAsia="Times New Roman" w:hAnsi="Times New Roman" w:cs="Times New Roman"/>
          <w:noProof/>
          <w:sz w:val="24"/>
          <w:szCs w:val="24"/>
        </w:rPr>
        <w:drawing>
          <wp:inline distT="0" distB="0" distL="0" distR="0">
            <wp:extent cx="151130" cy="142875"/>
            <wp:effectExtent l="19050" t="0" r="1270" b="0"/>
            <wp:docPr id="94" name="Imagen 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Republic of Korea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Republic of Korea’s Military Operations Law of War Compliance Regulation (1993) states that commanders of United Nations Command/Combined Forces Command (UNC/CFC) are responsible for securing respect for the laws of war.</w:t>
      </w:r>
      <w:r>
        <w:rPr>
          <w:rFonts w:ascii="Times New Roman" w:eastAsia="Times New Roman" w:hAnsi="Times New Roman" w:cs="Times New Roman"/>
          <w:noProof/>
          <w:sz w:val="24"/>
          <w:szCs w:val="24"/>
        </w:rPr>
        <w:drawing>
          <wp:inline distT="0" distB="0" distL="0" distR="0">
            <wp:extent cx="151130" cy="142875"/>
            <wp:effectExtent l="19050" t="0" r="1270" b="0"/>
            <wp:docPr id="95" name="Imagen 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Russian Federation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Russian Federation’s Military Manual (1990) provides that, during an armed conflict, a commander is obliged “to put an end to any violation of the rules of IHL [and] to prosecute persons having committed a violation of the rules of IHL”.</w:t>
      </w:r>
      <w:r>
        <w:rPr>
          <w:rFonts w:ascii="Times New Roman" w:eastAsia="Times New Roman" w:hAnsi="Times New Roman" w:cs="Times New Roman"/>
          <w:noProof/>
          <w:sz w:val="24"/>
          <w:szCs w:val="24"/>
        </w:rPr>
        <w:drawing>
          <wp:inline distT="0" distB="0" distL="0" distR="0">
            <wp:extent cx="151130" cy="142875"/>
            <wp:effectExtent l="19050" t="0" r="1270" b="0"/>
            <wp:docPr id="96" name="Imagen 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The Russian Federation’s Combat Manual (2005) states: “Every serviceman must prevent his subordinates and comrades from violating the norms of International humanitarian law, and report to their superior if such violations take place.”</w:t>
      </w:r>
      <w:r>
        <w:rPr>
          <w:rFonts w:ascii="Times New Roman" w:eastAsia="Times New Roman" w:hAnsi="Times New Roman" w:cs="Times New Roman"/>
          <w:noProof/>
          <w:sz w:val="24"/>
          <w:szCs w:val="24"/>
        </w:rPr>
        <w:drawing>
          <wp:inline distT="0" distB="0" distL="0" distR="0">
            <wp:extent cx="151130" cy="142875"/>
            <wp:effectExtent l="19050" t="0" r="1270" b="0"/>
            <wp:docPr id="97" name="Imagen 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Internal Service Regulations of the Armed Forces of the Russian Federation (2007) provides: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General Obligations of Commanders (Superiors)</w:t>
      </w:r>
      <w:r w:rsidRPr="006155D3">
        <w:rPr>
          <w:rFonts w:ascii="Times New Roman" w:eastAsia="Times New Roman" w:hAnsi="Times New Roman" w:cs="Times New Roman"/>
          <w:i/>
          <w:iCs/>
          <w:sz w:val="24"/>
          <w:szCs w:val="24"/>
          <w:lang w:val="en-US"/>
        </w:rPr>
        <w:br/>
        <w:t>77. …</w:t>
      </w:r>
      <w:r w:rsidRPr="006155D3">
        <w:rPr>
          <w:rFonts w:ascii="Times New Roman" w:eastAsia="Times New Roman" w:hAnsi="Times New Roman" w:cs="Times New Roman"/>
          <w:sz w:val="24"/>
          <w:szCs w:val="24"/>
          <w:lang w:val="en-US"/>
        </w:rPr>
        <w:t xml:space="preserve"> In the course of carrying out combat missions by a military unit, the commander (superior), guided by requirements of field manuals, must take measures aimed at respecting IHL rules and bring to disciplinary responsibility those guilty of breaching them. In the event of discovering constituent elements of a criminal offence in the actions (omissions) of his subordinates, the commander of the unit shall institute criminal proceedings, in accordance with the legislation of the Russian Federation.</w:t>
      </w:r>
      <w:r>
        <w:rPr>
          <w:rFonts w:ascii="Times New Roman" w:eastAsia="Times New Roman" w:hAnsi="Times New Roman" w:cs="Times New Roman"/>
          <w:noProof/>
          <w:sz w:val="24"/>
          <w:szCs w:val="24"/>
        </w:rPr>
        <w:drawing>
          <wp:inline distT="0" distB="0" distL="0" distR="0">
            <wp:extent cx="151130" cy="142875"/>
            <wp:effectExtent l="19050" t="0" r="1270" b="0"/>
            <wp:docPr id="98" name="Imagen 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Sierra Leone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Sierra Leone’s Instructor Manual (2007)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Responsibilities of Staff Officers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they are criminally liable if they are aware of current or pending war crimes at a subordinate level and fail to refer the matter to a commander or other appropriate authority for investigation.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Commanders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They are criminally responsible if: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He knows or ought to know that his subordinates are going to commit war crimes but fails to take steps to prevent them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he knows or ought to know that his subordinates have committed war crimes and he fails to punish them or report offenders.</w:t>
      </w:r>
      <w:r>
        <w:rPr>
          <w:rFonts w:ascii="Times New Roman" w:eastAsia="Times New Roman" w:hAnsi="Times New Roman" w:cs="Times New Roman"/>
          <w:noProof/>
          <w:sz w:val="24"/>
          <w:szCs w:val="24"/>
        </w:rPr>
        <w:drawing>
          <wp:inline distT="0" distB="0" distL="0" distR="0">
            <wp:extent cx="151130" cy="142875"/>
            <wp:effectExtent l="19050" t="0" r="1270" b="0"/>
            <wp:docPr id="99" name="Imagen 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South Africa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South Africa’s Medical Services Military Manual refers to Article 87 of the 1977 Additional Protocol I and provides: “Commanders will prevent [and] suppress and report breaches of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00" name="Imagen 1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South Africa’s LOAC Manual (1996) states: </w:t>
      </w:r>
      <w:r w:rsidRPr="006155D3">
        <w:rPr>
          <w:rFonts w:ascii="Times New Roman" w:eastAsia="Times New Roman" w:hAnsi="Times New Roman" w:cs="Times New Roman"/>
          <w:sz w:val="24"/>
          <w:szCs w:val="24"/>
          <w:lang w:val="en-US"/>
        </w:rPr>
        <w:br/>
        <w:t>All soldiers must be aware of their responsibility to report war crimes which are breaches of the LOAC. Normally the report should be made to the next superior in the chain of command. A report may also be made to the Military Police, a Legal Officer or a Chaplain.</w:t>
      </w:r>
      <w:r>
        <w:rPr>
          <w:rFonts w:ascii="Times New Roman" w:eastAsia="Times New Roman" w:hAnsi="Times New Roman" w:cs="Times New Roman"/>
          <w:noProof/>
          <w:sz w:val="24"/>
          <w:szCs w:val="24"/>
        </w:rPr>
        <w:drawing>
          <wp:inline distT="0" distB="0" distL="0" distR="0">
            <wp:extent cx="151130" cy="142875"/>
            <wp:effectExtent l="19050" t="0" r="1270" b="0"/>
            <wp:docPr id="101" name="Imagen 1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South Africa’s Revised Civic Education Manual (2004) states:</w:t>
      </w:r>
      <w:r w:rsidRPr="006155D3">
        <w:rPr>
          <w:rFonts w:ascii="Times New Roman" w:eastAsia="Times New Roman" w:hAnsi="Times New Roman" w:cs="Times New Roman"/>
          <w:sz w:val="24"/>
          <w:szCs w:val="24"/>
          <w:lang w:val="en-US"/>
        </w:rPr>
        <w:br/>
        <w:t>Every commander who is aware that subordinates or other persons under his/her control/command are going to commit or have committed a breach of the LOAC, are to initiate the necessary steps to prevent such a breach; and/or take the necessary disciplinary or penal action against those committing such a breach of the LOAC.</w:t>
      </w:r>
      <w:r>
        <w:rPr>
          <w:rFonts w:ascii="Times New Roman" w:eastAsia="Times New Roman" w:hAnsi="Times New Roman" w:cs="Times New Roman"/>
          <w:noProof/>
          <w:sz w:val="24"/>
          <w:szCs w:val="24"/>
        </w:rPr>
        <w:drawing>
          <wp:inline distT="0" distB="0" distL="0" distR="0">
            <wp:extent cx="151130" cy="142875"/>
            <wp:effectExtent l="19050" t="0" r="1270" b="0"/>
            <wp:docPr id="102" name="Imagen 1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All soldiers must be aware of their responsibility to report war crimes, which are breaches of the LOAC. Normally report should be made to the next senior in the chain of command. A report may also be made to the Military Police, a Legal Officer or a Chaplain.</w:t>
      </w:r>
      <w:r>
        <w:rPr>
          <w:rFonts w:ascii="Times New Roman" w:eastAsia="Times New Roman" w:hAnsi="Times New Roman" w:cs="Times New Roman"/>
          <w:noProof/>
          <w:sz w:val="24"/>
          <w:szCs w:val="24"/>
        </w:rPr>
        <w:drawing>
          <wp:inline distT="0" distB="0" distL="0" distR="0">
            <wp:extent cx="151130" cy="142875"/>
            <wp:effectExtent l="19050" t="0" r="1270" b="0"/>
            <wp:docPr id="103" name="Imagen 1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Spain’s LOAC Manual (1996) provides: “The commander must ensure that the violations cease and that disciplinary or penal action is taken.”</w:t>
      </w:r>
      <w:r>
        <w:rPr>
          <w:rFonts w:ascii="Times New Roman" w:eastAsia="Times New Roman" w:hAnsi="Times New Roman" w:cs="Times New Roman"/>
          <w:noProof/>
          <w:sz w:val="24"/>
          <w:szCs w:val="24"/>
        </w:rPr>
        <w:drawing>
          <wp:inline distT="0" distB="0" distL="0" distR="0">
            <wp:extent cx="151130" cy="142875"/>
            <wp:effectExtent l="19050" t="0" r="1270" b="0"/>
            <wp:docPr id="104" name="Imagen 1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Spain’s LOAC Manual (2007) states:</w:t>
      </w:r>
      <w:r w:rsidRPr="006155D3">
        <w:rPr>
          <w:rFonts w:ascii="Times New Roman" w:eastAsia="Times New Roman" w:hAnsi="Times New Roman" w:cs="Times New Roman"/>
          <w:sz w:val="24"/>
          <w:szCs w:val="24"/>
          <w:lang w:val="en-US"/>
        </w:rPr>
        <w:br/>
        <w:t>2.2.c. DUTY TO PREVENT AND SUPPRESS BREACHES</w:t>
      </w:r>
      <w:r w:rsidRPr="006155D3">
        <w:rPr>
          <w:rFonts w:ascii="Times New Roman" w:eastAsia="Times New Roman" w:hAnsi="Times New Roman" w:cs="Times New Roman"/>
          <w:sz w:val="24"/>
          <w:szCs w:val="24"/>
          <w:lang w:val="en-US"/>
        </w:rPr>
        <w:br/>
        <w:t xml:space="preserve">Commanders must take the necessary measures to prevent and suppress breaches of the </w:t>
      </w:r>
      <w:r w:rsidRPr="006155D3">
        <w:rPr>
          <w:rFonts w:ascii="Times New Roman" w:eastAsia="Times New Roman" w:hAnsi="Times New Roman" w:cs="Times New Roman"/>
          <w:sz w:val="24"/>
          <w:szCs w:val="24"/>
          <w:lang w:val="en-US"/>
        </w:rPr>
        <w:lastRenderedPageBreak/>
        <w:t>law of armed conflict. …</w:t>
      </w:r>
      <w:r w:rsidRPr="006155D3">
        <w:rPr>
          <w:rFonts w:ascii="Times New Roman" w:eastAsia="Times New Roman" w:hAnsi="Times New Roman" w:cs="Times New Roman"/>
          <w:sz w:val="24"/>
          <w:szCs w:val="24"/>
          <w:lang w:val="en-US"/>
        </w:rPr>
        <w:br/>
        <w:t>When a breach occurs, they must ensure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 a stop is put to the breach;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disciplinary or legal action is taken against those who commit violations</w:t>
      </w:r>
      <w:r w:rsidRPr="006155D3">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2.2.d. OMISSION</w:t>
      </w:r>
      <w:r w:rsidRPr="006155D3">
        <w:rPr>
          <w:rFonts w:ascii="Times New Roman" w:eastAsia="Times New Roman" w:hAnsi="Times New Roman" w:cs="Times New Roman"/>
          <w:sz w:val="24"/>
          <w:szCs w:val="24"/>
          <w:lang w:val="en-US"/>
        </w:rPr>
        <w:br/>
        <w:t>… Criminal and disciplinary responsibility also extends to commanders if they knew or had information that should have enabled them to conclude that a subordinate had committed or was going to commit a violation and did not take all the measures in their power to prevent or suppress it.</w:t>
      </w:r>
      <w:r>
        <w:rPr>
          <w:rFonts w:ascii="Times New Roman" w:eastAsia="Times New Roman" w:hAnsi="Times New Roman" w:cs="Times New Roman"/>
          <w:noProof/>
          <w:sz w:val="24"/>
          <w:szCs w:val="24"/>
        </w:rPr>
        <w:drawing>
          <wp:inline distT="0" distB="0" distL="0" distR="0">
            <wp:extent cx="151130" cy="142875"/>
            <wp:effectExtent l="19050" t="0" r="1270" b="0"/>
            <wp:docPr id="105" name="Imagen 1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fact that a breach was committed by a subordinate does not absolve his superiors from criminal or disciplinary responsibility, as the case may be, if they knew, or had information which should have enabled them to conclude in the circumstances at the time, that he was committing or was going to commit such a breach and if they did not take all feasible measures within their power to prevent it.</w:t>
      </w:r>
      <w:r>
        <w:rPr>
          <w:rFonts w:ascii="Times New Roman" w:eastAsia="Times New Roman" w:hAnsi="Times New Roman" w:cs="Times New Roman"/>
          <w:noProof/>
          <w:sz w:val="24"/>
          <w:szCs w:val="24"/>
        </w:rPr>
        <w:drawing>
          <wp:inline distT="0" distB="0" distL="0" distR="0">
            <wp:extent cx="151130" cy="142875"/>
            <wp:effectExtent l="19050" t="0" r="1270" b="0"/>
            <wp:docPr id="106" name="Imagen 1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Sweden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Sweden’s IHL Manual (1991) provides:</w:t>
      </w:r>
      <w:r w:rsidRPr="006155D3">
        <w:rPr>
          <w:rFonts w:ascii="Times New Roman" w:eastAsia="Times New Roman" w:hAnsi="Times New Roman" w:cs="Times New Roman"/>
          <w:sz w:val="24"/>
          <w:szCs w:val="24"/>
          <w:lang w:val="en-US"/>
        </w:rPr>
        <w:br/>
        <w:t>The fact that a breach of the [1949 Geneva] Conventions or of [the 1977 Additional Protocol I] was committed by a subordinate does not absolve his superior from penal or disciplinary responsibility. This applies, however, only if the superiors knew, or had received intelligence enabling them to deduce, that the subordinate had committed or was about to commit such a breach, and if they had not taken all feasible steps in their power to prevent or punish the breach.</w:t>
      </w:r>
      <w:r w:rsidRPr="006155D3">
        <w:rPr>
          <w:rFonts w:ascii="Times New Roman" w:eastAsia="Times New Roman" w:hAnsi="Times New Roman" w:cs="Times New Roman"/>
          <w:sz w:val="24"/>
          <w:szCs w:val="24"/>
          <w:lang w:val="en-US"/>
        </w:rPr>
        <w:br/>
        <w:t>The Additional Protocol further clearly states that military commanders shall prevent breaches and if necessary punish and report such cases … Naturally, it is also very important that both commanders and men discover and report transgressions committed by units of the adversary.</w:t>
      </w:r>
      <w:r>
        <w:rPr>
          <w:rFonts w:ascii="Times New Roman" w:eastAsia="Times New Roman" w:hAnsi="Times New Roman" w:cs="Times New Roman"/>
          <w:noProof/>
          <w:sz w:val="24"/>
          <w:szCs w:val="24"/>
        </w:rPr>
        <w:drawing>
          <wp:inline distT="0" distB="0" distL="0" distR="0">
            <wp:extent cx="151130" cy="142875"/>
            <wp:effectExtent l="19050" t="0" r="1270" b="0"/>
            <wp:docPr id="107" name="Imagen 1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Switzerland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Switzerland’s Basic Military Manual (1987) provides that commanders “are responsible to ensure that their troops respect the Conventions as well as for the punishment of possible breaches”.</w:t>
      </w:r>
      <w:r>
        <w:rPr>
          <w:rFonts w:ascii="Times New Roman" w:eastAsia="Times New Roman" w:hAnsi="Times New Roman" w:cs="Times New Roman"/>
          <w:noProof/>
          <w:sz w:val="24"/>
          <w:szCs w:val="24"/>
        </w:rPr>
        <w:drawing>
          <wp:inline distT="0" distB="0" distL="0" distR="0">
            <wp:extent cx="151130" cy="142875"/>
            <wp:effectExtent l="19050" t="0" r="1270" b="0"/>
            <wp:docPr id="108" name="Imagen 1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Togo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Togo’s Military Manual (1996) states: “Each military commander is responsible for respect for the law of war in his sphere of command.”</w:t>
      </w:r>
      <w:r>
        <w:rPr>
          <w:rFonts w:ascii="Times New Roman" w:eastAsia="Times New Roman" w:hAnsi="Times New Roman" w:cs="Times New Roman"/>
          <w:noProof/>
          <w:sz w:val="24"/>
          <w:szCs w:val="24"/>
        </w:rPr>
        <w:drawing>
          <wp:inline distT="0" distB="0" distL="0" distR="0">
            <wp:extent cx="151130" cy="142875"/>
            <wp:effectExtent l="19050" t="0" r="1270" b="0"/>
            <wp:docPr id="109" name="Imagen 1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In case of breach of the law of war [the military commander] shall ensure that the breach ceases; that a disciplinary or criminal action is engaged. In any case, the responsibility of the military commander regarding violations committed by his subordinates is total if it is established that he has not taken any measure to prevent or repress these violations.</w:t>
      </w:r>
      <w:r>
        <w:rPr>
          <w:rFonts w:ascii="Times New Roman" w:eastAsia="Times New Roman" w:hAnsi="Times New Roman" w:cs="Times New Roman"/>
          <w:noProof/>
          <w:sz w:val="24"/>
          <w:szCs w:val="24"/>
        </w:rPr>
        <w:drawing>
          <wp:inline distT="0" distB="0" distL="0" distR="0">
            <wp:extent cx="151130" cy="142875"/>
            <wp:effectExtent l="19050" t="0" r="1270" b="0"/>
            <wp:docPr id="110" name="Imagen 1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Ukraine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Ukraine’s IHL Manual (2004) states:</w:t>
      </w:r>
      <w:r w:rsidRPr="006155D3">
        <w:rPr>
          <w:rFonts w:ascii="Times New Roman" w:eastAsia="Times New Roman" w:hAnsi="Times New Roman" w:cs="Times New Roman"/>
          <w:sz w:val="24"/>
          <w:szCs w:val="24"/>
          <w:lang w:val="en-US"/>
        </w:rPr>
        <w:br/>
        <w:t>The fact that a violation of the law of armed conflicts was committed by a subordinate person shall not relieve his/her commanders of disciplinary or criminal responsibility provided that they were aware of the subordinate’s intentions and failed to take all possible precautionary measures to prevent violations.</w:t>
      </w:r>
      <w:r>
        <w:rPr>
          <w:rFonts w:ascii="Times New Roman" w:eastAsia="Times New Roman" w:hAnsi="Times New Roman" w:cs="Times New Roman"/>
          <w:noProof/>
          <w:sz w:val="24"/>
          <w:szCs w:val="24"/>
        </w:rPr>
        <w:drawing>
          <wp:inline distT="0" distB="0" distL="0" distR="0">
            <wp:extent cx="151130" cy="142875"/>
            <wp:effectExtent l="19050" t="0" r="1270" b="0"/>
            <wp:docPr id="111" name="Imagen 1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Kingdom of Great Britain and Northern Ireland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UK Military Manual (1952) provides:</w:t>
      </w:r>
      <w:r w:rsidRPr="006155D3">
        <w:rPr>
          <w:rFonts w:ascii="Times New Roman" w:eastAsia="Times New Roman" w:hAnsi="Times New Roman" w:cs="Times New Roman"/>
          <w:sz w:val="24"/>
          <w:szCs w:val="24"/>
          <w:lang w:val="en-US"/>
        </w:rPr>
        <w:br/>
        <w:t xml:space="preserve">In some cases military commanders may be responsible for war crimes committed by subordinate members of the armed forces or other persons subject to their control. Thus, for example, when troops commit, or assist in the commission of, massacres and atrocities against the civilian inhabitants of occupied territory, or against prisoners of </w:t>
      </w:r>
      <w:r w:rsidRPr="006155D3">
        <w:rPr>
          <w:rFonts w:ascii="Times New Roman" w:eastAsia="Times New Roman" w:hAnsi="Times New Roman" w:cs="Times New Roman"/>
          <w:sz w:val="24"/>
          <w:szCs w:val="24"/>
          <w:lang w:val="en-US"/>
        </w:rPr>
        <w:lastRenderedPageBreak/>
        <w:t>war, the responsibility may rest not only with the actual perpetrator but also with the commander.</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The commander is also responsible, if he has actual knowledge or should have knowledge, through reports received by him or through other means, that troops or other persons subject to his control are about to commit or have committed a war crime and if he fails to use the means at his disposal to ensure compliance with the law of war.</w:t>
      </w:r>
      <w:r>
        <w:rPr>
          <w:rFonts w:ascii="Times New Roman" w:eastAsia="Times New Roman" w:hAnsi="Times New Roman" w:cs="Times New Roman"/>
          <w:noProof/>
          <w:sz w:val="24"/>
          <w:szCs w:val="24"/>
        </w:rPr>
        <w:drawing>
          <wp:inline distT="0" distB="0" distL="0" distR="0">
            <wp:extent cx="151130" cy="142875"/>
            <wp:effectExtent l="19050" t="0" r="1270" b="0"/>
            <wp:docPr id="112" name="Imagen 1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UK LOAC Manual (2004) states:</w:t>
      </w:r>
      <w:r w:rsidRPr="006155D3">
        <w:rPr>
          <w:rFonts w:ascii="Times New Roman" w:eastAsia="Times New Roman" w:hAnsi="Times New Roman" w:cs="Times New Roman"/>
          <w:sz w:val="24"/>
          <w:szCs w:val="24"/>
          <w:lang w:val="en-US"/>
        </w:rPr>
        <w:br/>
        <w:t>16.36. Military commanders are responsible for preventing violations of the law (including the law of armed conflict) and for taking the necessary disciplinary action. A commander will be criminally responsible if he participates in the commission of a war crime himself …, particularly if he orders its commission. However, he also becomes criminally responsible if he “knew or, owing to the circumstances at the time, should have known” that war crimes were being or were about to be committed and failed “to take all necessary and reasonable measures within his or her power to prevent or repress their commission or to submit the matter to the competent authority for investigation and prosecution”.</w:t>
      </w:r>
      <w:r w:rsidRPr="006155D3">
        <w:rPr>
          <w:rFonts w:ascii="Times New Roman" w:eastAsia="Times New Roman" w:hAnsi="Times New Roman" w:cs="Times New Roman"/>
          <w:sz w:val="24"/>
          <w:szCs w:val="24"/>
          <w:lang w:val="en-US"/>
        </w:rPr>
        <w:br/>
        <w:t xml:space="preserve">16.36.1. The concept of command responsibility was first enunciated in the case of General Yamashita. In that case, General Yamashita was held to have failed to exercise “effective control” of his troops who were carrying out widespread atrocities in the Philippines. The Tribunal held that the nature of the crimes themselves provided </w:t>
      </w:r>
      <w:r w:rsidRPr="006155D3">
        <w:rPr>
          <w:rFonts w:ascii="Times New Roman" w:eastAsia="Times New Roman" w:hAnsi="Times New Roman" w:cs="Times New Roman"/>
          <w:i/>
          <w:iCs/>
          <w:sz w:val="24"/>
          <w:szCs w:val="24"/>
          <w:lang w:val="en-US"/>
        </w:rPr>
        <w:t xml:space="preserve">prima facie </w:t>
      </w:r>
      <w:r w:rsidRPr="006155D3">
        <w:rPr>
          <w:rFonts w:ascii="Times New Roman" w:eastAsia="Times New Roman" w:hAnsi="Times New Roman" w:cs="Times New Roman"/>
          <w:sz w:val="24"/>
          <w:szCs w:val="24"/>
          <w:lang w:val="en-US"/>
        </w:rPr>
        <w:t>evidence of knowledge and laid down a test that was reflected in the text of the Manual of Military Law Part III of 1958. According to that test, a commander was considered responsible if “he has actual knowledge or should have knowledge, through reports received by him or through other means”.</w:t>
      </w:r>
      <w:r w:rsidRPr="006155D3">
        <w:rPr>
          <w:rFonts w:ascii="Times New Roman" w:eastAsia="Times New Roman" w:hAnsi="Times New Roman" w:cs="Times New Roman"/>
          <w:sz w:val="24"/>
          <w:szCs w:val="24"/>
          <w:lang w:val="en-US"/>
        </w:rPr>
        <w:br/>
        <w:t>16.36.2. The Statute of the International Criminal Tribunal for the Former Yugoslavia dealt with command responsibility as follows: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fact that any of the acts …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16.36.3. The Statute of the International Criminal Court deals with command responsibility as follows: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 That military commander or person either knew or, owing to the circumstances at the time, should have known that the forces were committing or about to commit such crimes;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(ii) That military commander or person failed to take all necessary and reasonable measures within his or her power to prevent or suppress their commission or to submit the matter to the competent authorities for investigation and prosecution.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With respect to superior and subordinate relationships not described in paragraph (a), a superior shall be criminally responsible for crimes … committed by subordinates under his or her effective authority and control, as a result of his or her failure to exercise control properly over such subordinates,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16.36.3. Despite the various formulations of the test, there is general agreement on the nature of command and the degree of knowledge required.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16.36.5. The test of command in this context is one of “effective control” over a subordinate. There need not be proof of command in the sense of formal organisational structures “so long as the fundamental requirement of an effective power to control the subordinate, in the sense of preventing or punishing criminal conduct is satisfied”.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16.36.6. Similarly, it is now accepted that an element of knowledge has to be proved, as command responsibility is not a form of strict liability. Actual knowledge is clearly sufficient, but it is also sufficient if a commander “had reason to know”. This has been described as “where he had in his possession information of a nature, which at the least, would put him on notice of the risk of such offences by indicating the need for additional investigation in order to ascertain whether such crimes were committed or were about to be committed by his subordinates”. It follows that possession of the means of knowledge may be regarded, in appropriate circumstances, as being the same as knowledge itself.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Responsibility of civilian authorities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16.37. Civilian superiors will also be liable for the acts of their subordinates in the same way as military commanders, though the difference in the command relationship means that a court is likely to require evidence of actual knowledge or a conscious disregard of information which would have enabled him to know.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Responsibility of states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16.38. Parties to a conflict are obliged to instruct military commanders to prevent breaches of the law of armed conflict and ensure that their subordinates know of their obligations under that law. This provision is based on the principle that an effective disciplinary system to prevent breaches is the best way of ensuring compliance with the law of armed conflict. But failure to do so does not of itself give rise to criminal responsibility. </w:t>
      </w:r>
      <w:r w:rsidRPr="006155D3">
        <w:rPr>
          <w:rFonts w:ascii="Times New Roman" w:eastAsia="Times New Roman" w:hAnsi="Times New Roman" w:cs="Times New Roman"/>
          <w:sz w:val="24"/>
          <w:szCs w:val="24"/>
          <w:lang w:val="en-US"/>
        </w:rPr>
        <w:br/>
        <w:t>16.38.1. Heads of state and their ministers are not immune from prosecution and punishment for war crimes. Their liability is governed by the same principles as those governing the responsibility of civilian authorities.</w:t>
      </w:r>
      <w:r>
        <w:rPr>
          <w:rFonts w:ascii="Times New Roman" w:eastAsia="Times New Roman" w:hAnsi="Times New Roman" w:cs="Times New Roman"/>
          <w:noProof/>
          <w:sz w:val="24"/>
          <w:szCs w:val="24"/>
        </w:rPr>
        <w:drawing>
          <wp:inline distT="0" distB="0" distL="0" distR="0">
            <wp:extent cx="151130" cy="142875"/>
            <wp:effectExtent l="19050" t="0" r="1270" b="0"/>
            <wp:docPr id="113" name="Imagen 1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States of America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US Field Manual (1956) states:</w:t>
      </w:r>
      <w:r w:rsidRPr="006155D3">
        <w:rPr>
          <w:rFonts w:ascii="Times New Roman" w:eastAsia="Times New Roman" w:hAnsi="Times New Roman" w:cs="Times New Roman"/>
          <w:sz w:val="24"/>
          <w:szCs w:val="24"/>
          <w:lang w:val="en-US"/>
        </w:rPr>
        <w:br/>
        <w:t>In some cases, military commanders may be responsible for war crimes committed by subordinate members of the armed forces, or other persons subject to their control. Thus, for instance, when troops commit massacres and atrocities against the civilian population of occupied territory or against prisoners of war, the responsibility may rest not only with the actual perpetrators but also with the commander … The commander is also responsible if he has actual knowledge, or should have knowledge, through reports received by him or through other means, that troops or other persons subject to his control are about to commit or have committed a war crime and he fails to take the necessary and reasonable steps to insure compliance with the law of war or to punish violators thereof.</w:t>
      </w:r>
      <w:r>
        <w:rPr>
          <w:rFonts w:ascii="Times New Roman" w:eastAsia="Times New Roman" w:hAnsi="Times New Roman" w:cs="Times New Roman"/>
          <w:noProof/>
          <w:sz w:val="24"/>
          <w:szCs w:val="24"/>
        </w:rPr>
        <w:drawing>
          <wp:inline distT="0" distB="0" distL="0" distR="0">
            <wp:extent cx="151130" cy="142875"/>
            <wp:effectExtent l="19050" t="0" r="1270" b="0"/>
            <wp:docPr id="114" name="Imagen 1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US Air Force Pamphlet (1976) states:</w:t>
      </w:r>
      <w:r w:rsidRPr="006155D3">
        <w:rPr>
          <w:rFonts w:ascii="Times New Roman" w:eastAsia="Times New Roman" w:hAnsi="Times New Roman" w:cs="Times New Roman"/>
          <w:sz w:val="24"/>
          <w:szCs w:val="24"/>
          <w:lang w:val="en-US"/>
        </w:rPr>
        <w:br/>
        <w:t xml:space="preserve">An important illustration of the </w:t>
      </w:r>
      <w:r w:rsidRPr="006155D3">
        <w:rPr>
          <w:rFonts w:ascii="Times New Roman" w:eastAsia="Times New Roman" w:hAnsi="Times New Roman" w:cs="Times New Roman"/>
          <w:i/>
          <w:iCs/>
          <w:sz w:val="24"/>
          <w:szCs w:val="24"/>
          <w:lang w:val="en-US"/>
        </w:rPr>
        <w:t>mens rea</w:t>
      </w:r>
      <w:r w:rsidRPr="006155D3">
        <w:rPr>
          <w:rFonts w:ascii="Times New Roman" w:eastAsia="Times New Roman" w:hAnsi="Times New Roman" w:cs="Times New Roman"/>
          <w:sz w:val="24"/>
          <w:szCs w:val="24"/>
          <w:lang w:val="en-US"/>
        </w:rPr>
        <w:t xml:space="preserve"> requirement relates to a commander’s responsibility to maintain discipline and preclude violations by members of his command …</w:t>
      </w:r>
      <w:r w:rsidRPr="006155D3">
        <w:rPr>
          <w:rFonts w:ascii="Times New Roman" w:eastAsia="Times New Roman" w:hAnsi="Times New Roman" w:cs="Times New Roman"/>
          <w:sz w:val="24"/>
          <w:szCs w:val="24"/>
          <w:lang w:val="en-US"/>
        </w:rPr>
        <w:br/>
        <w:t>Command responsibility for acts committed by subordinates arises when the specific wrongful acts in question are knowingly ordered or encouraged. In addition, the Commander is responsible if he has the actual knowledge, or should have had knowledge through reports received by him or through other means, that combatants under his control have or are about to commit criminal violations, and he culpably fails to take reasonably necessary steps to ensure compliance with the law and punish violators thereof.</w:t>
      </w:r>
      <w:r>
        <w:rPr>
          <w:rFonts w:ascii="Times New Roman" w:eastAsia="Times New Roman" w:hAnsi="Times New Roman" w:cs="Times New Roman"/>
          <w:noProof/>
          <w:sz w:val="24"/>
          <w:szCs w:val="24"/>
        </w:rPr>
        <w:drawing>
          <wp:inline distT="0" distB="0" distL="0" distR="0">
            <wp:extent cx="151130" cy="142875"/>
            <wp:effectExtent l="19050" t="0" r="1270" b="0"/>
            <wp:docPr id="115" name="Imagen 1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The US Air Force Pamphlet (1976) provides: “an important illustration of the </w:t>
      </w:r>
      <w:r w:rsidRPr="006155D3">
        <w:rPr>
          <w:rFonts w:ascii="Times New Roman" w:eastAsia="Times New Roman" w:hAnsi="Times New Roman" w:cs="Times New Roman"/>
          <w:i/>
          <w:iCs/>
          <w:sz w:val="24"/>
          <w:szCs w:val="24"/>
          <w:lang w:val="en-US"/>
        </w:rPr>
        <w:t>mens rea</w:t>
      </w:r>
      <w:r w:rsidRPr="006155D3">
        <w:rPr>
          <w:rFonts w:ascii="Times New Roman" w:eastAsia="Times New Roman" w:hAnsi="Times New Roman" w:cs="Times New Roman"/>
          <w:sz w:val="24"/>
          <w:szCs w:val="24"/>
          <w:lang w:val="en-US"/>
        </w:rPr>
        <w:t xml:space="preserve"> requirement relates to a commander’s responsibility to maintain discipline and preclude violations by members of his command”.</w:t>
      </w:r>
      <w:r>
        <w:rPr>
          <w:rFonts w:ascii="Times New Roman" w:eastAsia="Times New Roman" w:hAnsi="Times New Roman" w:cs="Times New Roman"/>
          <w:noProof/>
          <w:sz w:val="24"/>
          <w:szCs w:val="24"/>
        </w:rPr>
        <w:drawing>
          <wp:inline distT="0" distB="0" distL="0" distR="0">
            <wp:extent cx="151130" cy="142875"/>
            <wp:effectExtent l="19050" t="0" r="1270" b="0"/>
            <wp:docPr id="116" name="Imagen 1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sz w:val="24"/>
          <w:szCs w:val="24"/>
          <w:lang w:val="en-US"/>
        </w:rPr>
        <w:lastRenderedPageBreak/>
        <w:t>The US Soldier’s Manual (1984) tells soldiers:</w:t>
      </w:r>
      <w:r w:rsidRPr="006155D3">
        <w:rPr>
          <w:rFonts w:ascii="Times New Roman" w:eastAsia="Times New Roman" w:hAnsi="Times New Roman" w:cs="Times New Roman"/>
          <w:sz w:val="24"/>
          <w:szCs w:val="24"/>
          <w:lang w:val="en-US"/>
        </w:rPr>
        <w:br/>
        <w:t>You must report crimes immediately through your chain of command. If the crime involves your immediate superiors, report to their superior. You may also report violations of the laws of war to the inspector general, provost marshal, chaplain, or judge advocate. In any case, the law requires that you report actual or suspected violations immediately so that evidence will not be misplaced or disappear.</w:t>
      </w:r>
      <w:r>
        <w:rPr>
          <w:rFonts w:ascii="Times New Roman" w:eastAsia="Times New Roman" w:hAnsi="Times New Roman" w:cs="Times New Roman"/>
          <w:noProof/>
          <w:sz w:val="24"/>
          <w:szCs w:val="24"/>
        </w:rPr>
        <w:drawing>
          <wp:inline distT="0" distB="0" distL="0" distR="0">
            <wp:extent cx="151130" cy="142875"/>
            <wp:effectExtent l="19050" t="0" r="1270" b="0"/>
            <wp:docPr id="117" name="Imagen 1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The US Naval Handbook (1995) provides:</w:t>
      </w:r>
      <w:r w:rsidRPr="006155D3">
        <w:rPr>
          <w:rFonts w:ascii="Times New Roman" w:eastAsia="Times New Roman" w:hAnsi="Times New Roman" w:cs="Times New Roman"/>
          <w:sz w:val="24"/>
          <w:szCs w:val="24"/>
          <w:lang w:val="en-US"/>
        </w:rPr>
        <w:br/>
        <w:t>Officers in command are not only responsible for ensuring that they conduct all combat operations in accordance with the law of armed conflict; they are also responsible for the proper performance of their subordinates. While a commander may delegate some or all of his authority, he cannot delegate responsibility for the conduct of the forces he commands. The fact that a commander did not order, authorize, or knowingly acquiesce in a violation of the law of armed conflict by a subordinate will not relieve him of responsibility for its occurrence if it is established that he failed to exercise properly his command authority or failed otherwise to take reasonable measures to discover and correct violations that may occur.</w:t>
      </w:r>
      <w:r>
        <w:rPr>
          <w:rFonts w:ascii="Times New Roman" w:eastAsia="Times New Roman" w:hAnsi="Times New Roman" w:cs="Times New Roman"/>
          <w:noProof/>
          <w:sz w:val="24"/>
          <w:szCs w:val="24"/>
        </w:rPr>
        <w:drawing>
          <wp:inline distT="0" distB="0" distL="0" distR="0">
            <wp:extent cx="151130" cy="142875"/>
            <wp:effectExtent l="19050" t="0" r="1270" b="0"/>
            <wp:docPr id="118" name="Imagen 1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It is the responsibility of the Chief of Naval Operations and the Commandant of the Marine Corps to ensure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alleged violations of the law of armed conflict, whether committed by or against United States or enemy personnel, are promptly reported, thoroughly investigated, and where appropriate, remedied by corrective actions.</w:t>
      </w:r>
      <w:r>
        <w:rPr>
          <w:rFonts w:ascii="Times New Roman" w:eastAsia="Times New Roman" w:hAnsi="Times New Roman" w:cs="Times New Roman"/>
          <w:noProof/>
          <w:sz w:val="24"/>
          <w:szCs w:val="24"/>
        </w:rPr>
        <w:drawing>
          <wp:inline distT="0" distB="0" distL="0" distR="0">
            <wp:extent cx="151130" cy="142875"/>
            <wp:effectExtent l="19050" t="0" r="1270" b="0"/>
            <wp:docPr id="119" name="Imagen 1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Annotated Supplement to the US Naval Handbook (1997) states:</w:t>
      </w:r>
      <w:r w:rsidRPr="006155D3">
        <w:rPr>
          <w:rFonts w:ascii="Times New Roman" w:eastAsia="Times New Roman" w:hAnsi="Times New Roman" w:cs="Times New Roman"/>
          <w:sz w:val="24"/>
          <w:szCs w:val="24"/>
          <w:lang w:val="en-US"/>
        </w:rPr>
        <w:br/>
        <w:t>A commander at any level is personally responsible for the criminal acts of warfare committed by a subordinate if the commander knew in advance of the breach about to be committed and had the ability to prevent it, but failed to take the appropriate action to do so. In determining the personal responsibility of the commander, the element of knowledge may be presumed if the commander had information which should have enabled him or her to conclude under the circumstances that such a breach was to be expected. Officers in command are also personally responsible for unlawful acts of warfare performed by subordinates when such acts are committed by order, authorization, or acquiescence of a superior. Those acts will each be determined objectively.</w:t>
      </w:r>
      <w:r>
        <w:rPr>
          <w:rFonts w:ascii="Times New Roman" w:eastAsia="Times New Roman" w:hAnsi="Times New Roman" w:cs="Times New Roman"/>
          <w:noProof/>
          <w:sz w:val="24"/>
          <w:szCs w:val="24"/>
        </w:rPr>
        <w:drawing>
          <wp:inline distT="0" distB="0" distL="0" distR="0">
            <wp:extent cx="151130" cy="142875"/>
            <wp:effectExtent l="19050" t="0" r="1270" b="0"/>
            <wp:docPr id="120" name="Imagen 1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Where U.S. personnel are involved, military personnel with supervisory authority have a duty to prevent criminal acts. Any person in the naval service who sees a criminal act about to be committed must act to prevent it to the utmost of his or her ability and to the extent of his or her authority … Possible actions include moral arguments to dissuade, threatening to report the criminal act, repeating orders of superiors, stating personal disagreement, and asking the senior individual on scene to intervene as a means of preventing the criminal act. In the event the criminal act directly and imminently endangers a person’s life (including the life of another person lawfully under his or her custody), force may be used to the extent necessary to prevent the crime. However, the use of deadly force is rarely justified; it may be used only to protect life and only under conditions of extreme necessity as a last resort when lesser means are clearly inadequate to protect life.</w:t>
      </w:r>
      <w:r>
        <w:rPr>
          <w:rFonts w:ascii="Times New Roman" w:eastAsia="Times New Roman" w:hAnsi="Times New Roman" w:cs="Times New Roman"/>
          <w:noProof/>
          <w:sz w:val="24"/>
          <w:szCs w:val="24"/>
        </w:rPr>
        <w:drawing>
          <wp:inline distT="0" distB="0" distL="0" distR="0">
            <wp:extent cx="151130" cy="142875"/>
            <wp:effectExtent l="19050" t="0" r="1270" b="0"/>
            <wp:docPr id="121" name="Imagen 1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US Manual for Military Commissions (2007), Part IV, Crimes and Elements, states:</w:t>
      </w:r>
      <w:r w:rsidRPr="006155D3">
        <w:rPr>
          <w:rFonts w:ascii="Times New Roman" w:eastAsia="Times New Roman" w:hAnsi="Times New Roman" w:cs="Times New Roman"/>
          <w:sz w:val="24"/>
          <w:szCs w:val="24"/>
          <w:lang w:val="en-US"/>
        </w:rPr>
        <w:br/>
        <w:t>Any person is punishable as a principal under this chapter who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commits an offense punishable by this chapter, or aids, abets, counsels, commands, or procures its commission;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(2) causes an act to be done which if directly performed by him would be punishable by this chapter;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is a superior commander who, with regard to acts punishable under this chapter, knew, had reason to know, or should have known, that a subordinate was about to commit such acts or had done so and who failed to take the necessary and reasonable measures to prevent such acts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122" name="Imagen 1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US Naval Handbook (2007) states:</w:t>
      </w:r>
      <w:r w:rsidRPr="006155D3">
        <w:rPr>
          <w:rFonts w:ascii="Times New Roman" w:eastAsia="Times New Roman" w:hAnsi="Times New Roman" w:cs="Times New Roman"/>
          <w:sz w:val="24"/>
          <w:szCs w:val="24"/>
          <w:lang w:val="en-US"/>
        </w:rPr>
        <w:br/>
        <w:t>A naval commander may delegate some or all of his authority; however, he cannot delegate his accountability for the conduct of the forces he commands. Under the law of armed conflict, a commander may be held … responsible for the acts of subordinates when the commander knew, or should have known, that subordinates under his control were going to commit or had committed violations of the law of armed conflict and he failed to exercise properly his command authority or failed otherwise to take reasonable measures to discover and correct violations that may occur.</w:t>
      </w:r>
      <w:r>
        <w:rPr>
          <w:rFonts w:ascii="Times New Roman" w:eastAsia="Times New Roman" w:hAnsi="Times New Roman" w:cs="Times New Roman"/>
          <w:noProof/>
          <w:sz w:val="24"/>
          <w:szCs w:val="24"/>
        </w:rPr>
        <w:drawing>
          <wp:inline distT="0" distB="0" distL="0" distR="0">
            <wp:extent cx="151130" cy="142875"/>
            <wp:effectExtent l="19050" t="0" r="1270" b="0"/>
            <wp:docPr id="123" name="Imagen 1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DOD [Department of Defense] Directive 2311.01E, DOD Law of War Program is the DOD source for law of war reporting requirements. This directive defines a reportable incident as “a possible, suspected, or alleged violation of the law of war, for which there is credible information, or conduct during military operations other than war that would constitute a violation of the law of war if it occurred during an armed conflict.” Such incidents must be “promptly reported, thoroughly investigated, and, where appropriate, remedied by corrective action.”</w:t>
      </w:r>
      <w:r w:rsidRPr="006155D3">
        <w:rPr>
          <w:rFonts w:ascii="Times New Roman" w:eastAsia="Times New Roman" w:hAnsi="Times New Roman" w:cs="Times New Roman"/>
          <w:sz w:val="24"/>
          <w:szCs w:val="24"/>
          <w:lang w:val="en-US"/>
        </w:rPr>
        <w:br/>
        <w:t>All military and U.S. civilian employees and contractor personnel assigned to or accompanying a DOD component shall report incidents through the chain of command. The commander of any unit that obtains information about a reportable incident shall immediately report the incident through command channels to operational and military department higher authorities.</w:t>
      </w:r>
      <w:r>
        <w:rPr>
          <w:rFonts w:ascii="Times New Roman" w:eastAsia="Times New Roman" w:hAnsi="Times New Roman" w:cs="Times New Roman"/>
          <w:noProof/>
          <w:sz w:val="24"/>
          <w:szCs w:val="24"/>
        </w:rPr>
        <w:drawing>
          <wp:inline distT="0" distB="0" distL="0" distR="0">
            <wp:extent cx="151130" cy="142875"/>
            <wp:effectExtent l="19050" t="0" r="1270" b="0"/>
            <wp:docPr id="124" name="Imagen 1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The US Manual for Military Commissions (2010), Part IV, Crimes and Elements, states: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Principals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Any person punishable under this chapter who—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commits an offense punishable by this chapter, or aids, abets, counsels, commands, or procures its commission;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causes an act to be done which if directly performed by him would be punishable by this chapter;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is a superior commander who, with regard to acts punishable under this chapter, knew, had reason to know, or should have known, that a subordinate was about to commit such acts or had done so and who failed to take the necessary and reasonable measures to prevent such acts or to punish the perpetrators thereof is a principal.</w:t>
      </w:r>
      <w:r>
        <w:rPr>
          <w:rFonts w:ascii="Times New Roman" w:eastAsia="Times New Roman" w:hAnsi="Times New Roman" w:cs="Times New Roman"/>
          <w:noProof/>
          <w:sz w:val="24"/>
          <w:szCs w:val="24"/>
        </w:rPr>
        <w:drawing>
          <wp:inline distT="0" distB="0" distL="0" distR="0">
            <wp:extent cx="151130" cy="142875"/>
            <wp:effectExtent l="19050" t="0" r="1270" b="0"/>
            <wp:docPr id="125" name="Imagen 1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Uruguay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Uruguay’s Disciplinary Regulations (1980) states: “No superior shall be absolved of his responsibility by his subordinates’ omission or carelessness in matters that he must and can supervise himself.”</w:t>
      </w:r>
      <w:r>
        <w:rPr>
          <w:rFonts w:ascii="Times New Roman" w:eastAsia="Times New Roman" w:hAnsi="Times New Roman" w:cs="Times New Roman"/>
          <w:noProof/>
          <w:sz w:val="24"/>
          <w:szCs w:val="24"/>
        </w:rPr>
        <w:drawing>
          <wp:inline distT="0" distB="0" distL="0" distR="0">
            <wp:extent cx="151130" cy="142875"/>
            <wp:effectExtent l="19050" t="0" r="1270" b="0"/>
            <wp:docPr id="126" name="Imagen 1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Yugoslavia, Socialist Federal Republic of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Socialist Federal Republic of Yugoslavia’s Military Manual (1988) states that a superior who was aware of preparations for acts that would violate certain norms and did not prevent their occurrence or carry out appropriate disciplinary measures is personally responsible. A superior officer shall especially be responsible as an accomplice or instigator in case of repeated violations by subordinates.</w:t>
      </w:r>
      <w:r>
        <w:rPr>
          <w:rFonts w:ascii="Times New Roman" w:eastAsia="Times New Roman" w:hAnsi="Times New Roman" w:cs="Times New Roman"/>
          <w:noProof/>
          <w:sz w:val="24"/>
          <w:szCs w:val="24"/>
        </w:rPr>
        <w:drawing>
          <wp:inline distT="0" distB="0" distL="0" distR="0">
            <wp:extent cx="151130" cy="142875"/>
            <wp:effectExtent l="19050" t="0" r="1270" b="0"/>
            <wp:docPr id="127" name="Imagen 1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1" w:name="_IVNaLe"/>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"javascript:openUrlLight('src_IVNaLe')"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IV. National Legislation</w:t>
      </w:r>
      <w:r w:rsidRPr="006155D3">
        <w:rPr>
          <w:rFonts w:ascii="Times New Roman" w:eastAsia="Times New Roman" w:hAnsi="Times New Roman" w:cs="Times New Roman"/>
          <w:sz w:val="24"/>
          <w:szCs w:val="24"/>
        </w:rPr>
        <w:fldChar w:fldCharType="end"/>
      </w:r>
      <w:bookmarkEnd w:id="71"/>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Afghanistan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Afghanistan’s Criminal Procedure Code for Military Courts (2006) states:</w:t>
      </w:r>
      <w:r w:rsidRPr="006155D3">
        <w:rPr>
          <w:rFonts w:ascii="Times New Roman" w:eastAsia="Times New Roman" w:hAnsi="Times New Roman" w:cs="Times New Roman"/>
          <w:sz w:val="24"/>
          <w:szCs w:val="24"/>
          <w:lang w:val="en-US"/>
        </w:rPr>
        <w:br/>
        <w:t>Commanders notified of military crimes committed by service members under their command are obliged to conduct a preliminary inquiry into the facts and circumstances surrounding the alleged crime. If the commander’s inquiry reveals that there is good cause for continued disciplinary proceedings, he will, in appropriate cases, refer the matter to the prosecutor for further investigation.</w:t>
      </w:r>
      <w:r>
        <w:rPr>
          <w:rFonts w:ascii="Times New Roman" w:eastAsia="Times New Roman" w:hAnsi="Times New Roman" w:cs="Times New Roman"/>
          <w:noProof/>
          <w:sz w:val="24"/>
          <w:szCs w:val="24"/>
        </w:rPr>
        <w:drawing>
          <wp:inline distT="0" distB="0" distL="0" distR="0">
            <wp:extent cx="151130" cy="142875"/>
            <wp:effectExtent l="19050" t="0" r="1270" b="0"/>
            <wp:docPr id="128" name="Imagen 1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Armenia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Under Armenia’s Penal Code (2003), a commander or an official commits a crime against the peace and security of mankind</w:t>
      </w:r>
      <w:r w:rsidRPr="006155D3">
        <w:rPr>
          <w:rFonts w:ascii="Times New Roman" w:eastAsia="Times New Roman" w:hAnsi="Times New Roman" w:cs="Times New Roman"/>
          <w:sz w:val="24"/>
          <w:szCs w:val="24"/>
          <w:lang w:val="en-US"/>
        </w:rPr>
        <w:br/>
        <w:t>if he knew, or had information which should have enabled him to conclude in the circumstances at the time, that his subordinate was committing or was going to commit an offence [the use of a prohibited method of warfare or a serious breach of international humanitarian law, as defined in Articles 387 and 390 of the Code] and if he did not take all feasible measures within his power to prevent or repress the offence.</w:t>
      </w:r>
      <w:r>
        <w:rPr>
          <w:rFonts w:ascii="Times New Roman" w:eastAsia="Times New Roman" w:hAnsi="Times New Roman" w:cs="Times New Roman"/>
          <w:noProof/>
          <w:sz w:val="24"/>
          <w:szCs w:val="24"/>
        </w:rPr>
        <w:drawing>
          <wp:inline distT="0" distB="0" distL="0" distR="0">
            <wp:extent cx="151130" cy="142875"/>
            <wp:effectExtent l="19050" t="0" r="1270" b="0"/>
            <wp:docPr id="129" name="Imagen 1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Australia’s Criminal Code Act (1995), as amended to 2007,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Responsibility of commanders and other superiors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(2) A military commander or person effectively acting as a military commander is criminally responsible for offences under this Division committed by forces under his or her effective command and control, or effective authority and control, as the case may be, as a result of his or her failure to exercise control properly over those forces,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the military commander or person either knew or, owing to the circumstances at the time, was reckless as to whether the forces were committing or about to commit such offences;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military commander or person failed to take all necessary and reasonable measures within his or her power to prevent or repress their commission or to submit the matter to the competent authorities for investigation and prosecution.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With respect to superior and subordinate relationships not described in subsection (2), a superior is criminally responsible for offences against this Division committed by subordinates under his or her effective authority and control, as a result of his or her failure to exercise control properly over those subordinates,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the superior either knew, or consciously disregarded information that clearly indicated, that the subordinates were committing or about to commit such offences;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offences concerned activities that were within the effective responsibility and control of the superior;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 the superior failed to take all necessary and reasonable measures within his or her power to prevent or repress their commission or to submit the matter to the competent authorities for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30" name="Imagen 1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Azerbaijan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Azerbaijan’s Criminal Code (1999), in a provision entitled “Negligence or giving criminal orders in time of armed conflict”, states:</w:t>
      </w:r>
      <w:r w:rsidRPr="006155D3">
        <w:rPr>
          <w:rFonts w:ascii="Times New Roman" w:eastAsia="Times New Roman" w:hAnsi="Times New Roman" w:cs="Times New Roman"/>
          <w:sz w:val="24"/>
          <w:szCs w:val="24"/>
          <w:lang w:val="en-US"/>
        </w:rPr>
        <w:br/>
        <w:t>Failure to use in time of armed conflict all the opportunities by the commander or the person in charge in the framework of their responsibilities in order to prevent that persons under their command commit crimes considered in articles 115–116 of the present Code [i.e. “violations of [the] laws and customs of war” and “violations of the norms of international humanitarian law in time of armed conflict”] … will be punished.</w:t>
      </w:r>
      <w:r>
        <w:rPr>
          <w:rFonts w:ascii="Times New Roman" w:eastAsia="Times New Roman" w:hAnsi="Times New Roman" w:cs="Times New Roman"/>
          <w:noProof/>
          <w:sz w:val="24"/>
          <w:szCs w:val="24"/>
        </w:rPr>
        <w:drawing>
          <wp:inline distT="0" distB="0" distL="0" distR="0">
            <wp:extent cx="151130" cy="142875"/>
            <wp:effectExtent l="19050" t="0" r="1270" b="0"/>
            <wp:docPr id="131" name="Imagen 1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Bangladesh</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Bangladesh’s International Crimes (Tribunal) Act (1973) provides:</w:t>
      </w:r>
      <w:r w:rsidRPr="006155D3">
        <w:rPr>
          <w:rFonts w:ascii="Times New Roman" w:eastAsia="Times New Roman" w:hAnsi="Times New Roman" w:cs="Times New Roman"/>
          <w:sz w:val="24"/>
          <w:szCs w:val="24"/>
          <w:lang w:val="en-US"/>
        </w:rPr>
        <w:br/>
        <w:t>The following acts or any of them are crimes within the jurisdiction of a Tribunal for which there shall be individual responsibility, namely: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 … failure to prevent commission of any such crimes [i.e. crimes against humanity, crimes against peace, genocide, war crimes, “violations of any humanitarian rules applicable in armed conflicts laid down in the Geneva Convention of 1949” or any other crimes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32" name="Imagen 1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Bangladesh’s International Crimes (Tribunal) Act (1973) provides:</w:t>
      </w:r>
      <w:r w:rsidRPr="006155D3">
        <w:rPr>
          <w:rFonts w:ascii="Times New Roman" w:eastAsia="Times New Roman" w:hAnsi="Times New Roman" w:cs="Times New Roman"/>
          <w:sz w:val="24"/>
          <w:szCs w:val="24"/>
          <w:lang w:val="en-US"/>
        </w:rPr>
        <w:br/>
        <w:t>Any commander or superior officer … who fails or omits to discharge his duty to maintain discipline, or to control or supervise the actions of the persons under his command or his subordinates, whereby such persons or subordinates or any of them commit any such crimes [crimes against humanity, crimes against peace, genocide, war crimes, “violations of any humanitarian rules applicable in armed conflicts laid down in the Geneva Convention of 1949” or any other crimes under international law], or who fails to take necessary measures to prevent the commission of such crimes, is guilty of such crimes.</w:t>
      </w:r>
      <w:r>
        <w:rPr>
          <w:rFonts w:ascii="Times New Roman" w:eastAsia="Times New Roman" w:hAnsi="Times New Roman" w:cs="Times New Roman"/>
          <w:noProof/>
          <w:sz w:val="24"/>
          <w:szCs w:val="24"/>
        </w:rPr>
        <w:drawing>
          <wp:inline distT="0" distB="0" distL="0" distR="0">
            <wp:extent cx="151130" cy="142875"/>
            <wp:effectExtent l="19050" t="0" r="1270" b="0"/>
            <wp:docPr id="133" name="Imagen 1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Belarus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Belarus’s Criminal Code (1999) provides:</w:t>
      </w:r>
      <w:r w:rsidRPr="006155D3">
        <w:rPr>
          <w:rFonts w:ascii="Times New Roman" w:eastAsia="Times New Roman" w:hAnsi="Times New Roman" w:cs="Times New Roman"/>
          <w:sz w:val="24"/>
          <w:szCs w:val="24"/>
          <w:lang w:val="en-US"/>
        </w:rPr>
        <w:br/>
        <w:t>If, in a situation of armed conflict, a superior or officer intentionally does not take all the measures possible in his power in order to prevent or repress the commission by his subordinates of the crimes set out in articles 134, 135 and 136 of this Code [i.e. “use of weapons of mass destruction”, “violations of the laws and customs of war” and “criminal infringement of the norms of international humanitarian law during armed conflicts”] he is punishable.</w:t>
      </w:r>
      <w:r>
        <w:rPr>
          <w:rFonts w:ascii="Times New Roman" w:eastAsia="Times New Roman" w:hAnsi="Times New Roman" w:cs="Times New Roman"/>
          <w:noProof/>
          <w:sz w:val="24"/>
          <w:szCs w:val="24"/>
        </w:rPr>
        <w:drawing>
          <wp:inline distT="0" distB="0" distL="0" distR="0">
            <wp:extent cx="151130" cy="142875"/>
            <wp:effectExtent l="19050" t="0" r="1270" b="0"/>
            <wp:docPr id="134" name="Imagen 1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Belgium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Belgium’s Penal Code (1867), as amended in 2003, provides: </w:t>
      </w:r>
      <w:r w:rsidRPr="006155D3">
        <w:rPr>
          <w:rFonts w:ascii="Times New Roman" w:eastAsia="Times New Roman" w:hAnsi="Times New Roman" w:cs="Times New Roman"/>
          <w:sz w:val="24"/>
          <w:szCs w:val="24"/>
          <w:lang w:val="en-US"/>
        </w:rPr>
        <w:br/>
        <w:t xml:space="preserve">The punishment for the following shall correspond to the punishment for the consummated offence: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5. omitting to act within the limits of one’s abilities when there is knowledge of orders given to execute such an offence or of facts inciting the execution thereof and when the commission thereof could have been prevented or ended.</w:t>
      </w:r>
      <w:r>
        <w:rPr>
          <w:rFonts w:ascii="Times New Roman" w:eastAsia="Times New Roman" w:hAnsi="Times New Roman" w:cs="Times New Roman"/>
          <w:noProof/>
          <w:sz w:val="24"/>
          <w:szCs w:val="24"/>
        </w:rPr>
        <w:drawing>
          <wp:inline distT="0" distB="0" distL="0" distR="0">
            <wp:extent cx="151130" cy="142875"/>
            <wp:effectExtent l="19050" t="0" r="1270" b="0"/>
            <wp:docPr id="135" name="Imagen 1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Belgium’s Law concerning the Repression of Grave Breaches of the Geneva Conventions and their Additional Protocols (1993), as amended in 1999, which applies to both international and non-international armed conflicts, provides:</w:t>
      </w:r>
      <w:r w:rsidRPr="006155D3">
        <w:rPr>
          <w:rFonts w:ascii="Times New Roman" w:eastAsia="Times New Roman" w:hAnsi="Times New Roman" w:cs="Times New Roman"/>
          <w:sz w:val="24"/>
          <w:szCs w:val="24"/>
          <w:lang w:val="en-US"/>
        </w:rPr>
        <w:br/>
        <w:t>The following shall be punishable by the penalty provided for completed breaches: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failure to act to the extent available to them by persons who had knowledge of the orders given to commit such a breach or of acts initiating the commission thereof and who were able to prevent or put an end to such breach.</w:t>
      </w:r>
      <w:r>
        <w:rPr>
          <w:rFonts w:ascii="Times New Roman" w:eastAsia="Times New Roman" w:hAnsi="Times New Roman" w:cs="Times New Roman"/>
          <w:noProof/>
          <w:sz w:val="24"/>
          <w:szCs w:val="24"/>
        </w:rPr>
        <w:drawing>
          <wp:inline distT="0" distB="0" distL="0" distR="0">
            <wp:extent cx="151130" cy="142875"/>
            <wp:effectExtent l="19050" t="0" r="1270" b="0"/>
            <wp:docPr id="136" name="Imagen 1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Bosnia and Herzegovina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Bosnia and Herzegovina’s Criminal Code (2003) states:</w:t>
      </w:r>
      <w:r w:rsidRPr="006155D3">
        <w:rPr>
          <w:rFonts w:ascii="Times New Roman" w:eastAsia="Times New Roman" w:hAnsi="Times New Roman" w:cs="Times New Roman"/>
          <w:sz w:val="24"/>
          <w:szCs w:val="24"/>
          <w:lang w:val="en-US"/>
        </w:rPr>
        <w:br/>
        <w:t xml:space="preserve">The fact that any of the criminal offences referred to in Article 171 through 175 and Article 177 through 179 of this Code [Articles 171 (Genocide), 172 (Crimes against Humanity), 173 (War Crimes against Civilians), 174 (War Crimes against the Wounded and Sick), 175 (War Crimes against Prisoners of War), 177 (Unlawful Killing or Wounding of the Enemy), 178 (Marauding the Killed and Wounded at the Battlefield) and 179 (Violating the Laws and Practices of Warfare)] was perpetrated by a subordinate does not relieve his superior of criminal responsibility if he knew or had </w:t>
      </w:r>
      <w:r w:rsidRPr="006155D3">
        <w:rPr>
          <w:rFonts w:ascii="Times New Roman" w:eastAsia="Times New Roman" w:hAnsi="Times New Roman" w:cs="Times New Roman"/>
          <w:sz w:val="24"/>
          <w:szCs w:val="24"/>
          <w:lang w:val="en-US"/>
        </w:rPr>
        <w:lastRenderedPageBreak/>
        <w:t>reason to know that the subordinate was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137" name="Imagen 1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Cambodia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Cambodia’s Law on the Establishment of the ECCC (2001), in a provision dealing with individual responsibility, states:</w:t>
      </w:r>
      <w:r w:rsidRPr="006155D3">
        <w:rPr>
          <w:rFonts w:ascii="Times New Roman" w:eastAsia="Times New Roman" w:hAnsi="Times New Roman" w:cs="Times New Roman"/>
          <w:sz w:val="24"/>
          <w:szCs w:val="24"/>
          <w:lang w:val="en-US"/>
        </w:rPr>
        <w:br/>
        <w:t>The fact that any of the acts referred to in Articles 3 through 8 of this law was committed by a subordinate does not relieve the superior of personal criminal responsibility if the superior had effective command and control or authority and control over the subordinate, and the superior knew or had reason to know that the subordinate was about to commit such acts or had done so and the superior failed to take the necessary and reasonable measures to prevent such acts or to punish the perpetrators.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Cambodia’s Law on the Establishment of the ECCC (2001), as amended in 2004, provides:</w:t>
      </w:r>
      <w:r w:rsidRPr="006155D3">
        <w:rPr>
          <w:rFonts w:ascii="Times New Roman" w:eastAsia="Times New Roman" w:hAnsi="Times New Roman" w:cs="Times New Roman"/>
          <w:sz w:val="24"/>
          <w:szCs w:val="24"/>
          <w:lang w:val="en-US"/>
        </w:rPr>
        <w:br/>
        <w:t>The fact that any of the acts referred to in Articles 3 new, 4, 5, 6, 7 and 8 of this law were committed by a subordinate does not relieve the superior of personal criminal responsibility if the superior had effective command and control or authority and control over the subordinate, and the superior knew or had reason to know that the subordinate was about to commit such acts or had done so and the superior failed to take the necessary and reasonable measures to prevent such acts or to punish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138" name="Imagen 1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Canada’s Crimes against Humanity and War Crimes Act (2000) provides that military commanders and “superiors” may commit indictable offences if they meet all of the following conditions: (a) fail to “exercise control properly over a person under their effective command and control” and as a result that person commits a war crime; (b) know or are “criminally negligent in failing to know, that the person is about to commit or is committing such an offence”; and (c) subsequently fail to take “as soon as practicable, all necessary and reasonable measures within their power to prevent or repress the commission of the offence, or the further commission of offences” or fail “to take, as soon as practicable, all necessary and reasonable measures within their power to submit the matter to the competent authorities for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39" name="Imagen 1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Croatia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Croatia’s Criminal Code (1997), as amended to 2006, states:</w:t>
      </w:r>
      <w:r w:rsidRPr="006155D3">
        <w:rPr>
          <w:rFonts w:ascii="Times New Roman" w:eastAsia="Times New Roman" w:hAnsi="Times New Roman" w:cs="Times New Roman"/>
          <w:sz w:val="24"/>
          <w:szCs w:val="24"/>
          <w:lang w:val="en-US"/>
        </w:rPr>
        <w:br/>
        <w:t>A military commander or another person acting in effect as a military commander or as a civilian in superior command or any other person who in a civil organization has the effective power of command or supervision shall be punished for the criminal offences referred to … if he knew that his subordinates had committed these criminal offences or were about to commit them and failed to take all reasonable measures to prevent them.</w:t>
      </w:r>
      <w:r>
        <w:rPr>
          <w:rFonts w:ascii="Times New Roman" w:eastAsia="Times New Roman" w:hAnsi="Times New Roman" w:cs="Times New Roman"/>
          <w:noProof/>
          <w:sz w:val="24"/>
          <w:szCs w:val="24"/>
        </w:rPr>
        <w:drawing>
          <wp:inline distT="0" distB="0" distL="0" distR="0">
            <wp:extent cx="151130" cy="142875"/>
            <wp:effectExtent l="19050" t="0" r="1270" b="0"/>
            <wp:docPr id="140" name="Imagen 1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Democratic Republic of the Congo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Democratic Republic of the Congo’s Military Judiciary Code (2002) provides:</w:t>
      </w:r>
      <w:r w:rsidRPr="006155D3">
        <w:rPr>
          <w:rFonts w:ascii="Times New Roman" w:eastAsia="Times New Roman" w:hAnsi="Times New Roman" w:cs="Times New Roman"/>
          <w:sz w:val="24"/>
          <w:szCs w:val="24"/>
          <w:lang w:val="en-US"/>
        </w:rPr>
        <w:br/>
        <w:t>When a subordinate is prosecuted as principal perpetrator of one of the offences contained in article 80, and his hierarchical superiors cannot be prosecuted as co-perpetrators, they are considered as accomplices insofar as they have organized or tolerated the criminal actions of their subordinate.</w:t>
      </w:r>
      <w:r>
        <w:rPr>
          <w:rFonts w:ascii="Times New Roman" w:eastAsia="Times New Roman" w:hAnsi="Times New Roman" w:cs="Times New Roman"/>
          <w:noProof/>
          <w:sz w:val="24"/>
          <w:szCs w:val="24"/>
        </w:rPr>
        <w:drawing>
          <wp:inline distT="0" distB="0" distL="0" distR="0">
            <wp:extent cx="151130" cy="142875"/>
            <wp:effectExtent l="19050" t="0" r="1270" b="0"/>
            <wp:docPr id="141" name="Imagen 1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Democratic Republic of the Congo’s Military Penal Code (2002) provides:</w:t>
      </w:r>
      <w:r w:rsidRPr="006155D3">
        <w:rPr>
          <w:rFonts w:ascii="Times New Roman" w:eastAsia="Times New Roman" w:hAnsi="Times New Roman" w:cs="Times New Roman"/>
          <w:sz w:val="24"/>
          <w:szCs w:val="24"/>
          <w:lang w:val="en-US"/>
        </w:rPr>
        <w:br/>
        <w:t xml:space="preserve">When a subordinate is prosecuted as principal perpetrator of a war crime and when his </w:t>
      </w:r>
      <w:r w:rsidRPr="006155D3">
        <w:rPr>
          <w:rFonts w:ascii="Times New Roman" w:eastAsia="Times New Roman" w:hAnsi="Times New Roman" w:cs="Times New Roman"/>
          <w:sz w:val="24"/>
          <w:szCs w:val="24"/>
          <w:lang w:val="en-US"/>
        </w:rPr>
        <w:lastRenderedPageBreak/>
        <w:t>hierarchical superiors cannot be investigated as co-perpetrators, they are considered as accomplices insofar as they have tolerated the criminal actions of their subordinate.</w:t>
      </w:r>
      <w:r>
        <w:rPr>
          <w:rFonts w:ascii="Times New Roman" w:eastAsia="Times New Roman" w:hAnsi="Times New Roman" w:cs="Times New Roman"/>
          <w:noProof/>
          <w:sz w:val="24"/>
          <w:szCs w:val="24"/>
        </w:rPr>
        <w:drawing>
          <wp:inline distT="0" distB="0" distL="0" distR="0">
            <wp:extent cx="151130" cy="142875"/>
            <wp:effectExtent l="19050" t="0" r="1270" b="0"/>
            <wp:docPr id="142" name="Imagen 1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Egypt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Under Egypt’s Military Criminal Code (1966), commanders have the duty to investigate allegations of military offences.</w:t>
      </w:r>
      <w:r>
        <w:rPr>
          <w:rFonts w:ascii="Times New Roman" w:eastAsia="Times New Roman" w:hAnsi="Times New Roman" w:cs="Times New Roman"/>
          <w:noProof/>
          <w:sz w:val="24"/>
          <w:szCs w:val="24"/>
        </w:rPr>
        <w:drawing>
          <wp:inline distT="0" distB="0" distL="0" distR="0">
            <wp:extent cx="151130" cy="142875"/>
            <wp:effectExtent l="19050" t="0" r="1270" b="0"/>
            <wp:docPr id="143" name="Imagen 1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Estonia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Estonia’s Penal Code (2001) provides:</w:t>
      </w:r>
      <w:r w:rsidRPr="006155D3">
        <w:rPr>
          <w:rFonts w:ascii="Times New Roman" w:eastAsia="Times New Roman" w:hAnsi="Times New Roman" w:cs="Times New Roman"/>
          <w:sz w:val="24"/>
          <w:szCs w:val="24"/>
          <w:lang w:val="en-US"/>
        </w:rPr>
        <w:br/>
        <w:t>Besides the author of one of the crimes set out in this chapter [i.e. crimes against humanity, crimes against peace and war crimes], the representative of the public administration or the military commander who has issued the order to commit such crime, with the consent of whom it has been committed or who has failed to prevent it although it was in his or her power to do so, shall also be punished.</w:t>
      </w:r>
      <w:r>
        <w:rPr>
          <w:rFonts w:ascii="Times New Roman" w:eastAsia="Times New Roman" w:hAnsi="Times New Roman" w:cs="Times New Roman"/>
          <w:noProof/>
          <w:sz w:val="24"/>
          <w:szCs w:val="24"/>
        </w:rPr>
        <w:drawing>
          <wp:inline distT="0" distB="0" distL="0" distR="0">
            <wp:extent cx="151130" cy="142875"/>
            <wp:effectExtent l="19050" t="0" r="1270" b="0"/>
            <wp:docPr id="144" name="Imagen 1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Finland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Finland’s Criminal Code (1889), as amended in 2008,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Section 12 - Responsibility of the superior</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A military or other superior shall be sentenced for the offence or the attempt of an offence referred to in section 1, 3–7 or 13 in the same way as the offender or participant if forces or subordinates that are factually under the command and supervision of the superior have been guilty of an act as a consequence of the failure of the superior to properly supervise the actions of the forces or subordinates, and if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the superior knew or on the basis of the circumstances he or she should have known that the forces or subordinates committed or intended to commit said offences,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the superior did not undertake the necessary measures available to him or her and that could have been reasonably expected of him or her in order to prevent the completion of the offences.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Section 13 – Failure to report the offence of a subordinate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A military or other superior who neglects to undertake the necessary measures that can be reasonably expected of him or her in order to submit to the authorities for investigation an offence referred to in section 1 or sections 3–7 or the present section suspected to have been committed by a person factually under his or her command and supervision, shall be sentenced for failure to report the offence of subordinate to a fine or to imprisonment for at most two years.</w:t>
      </w:r>
      <w:r w:rsidRPr="006155D3">
        <w:rPr>
          <w:rFonts w:ascii="Times New Roman" w:eastAsia="Times New Roman" w:hAnsi="Times New Roman" w:cs="Times New Roman"/>
          <w:sz w:val="24"/>
          <w:szCs w:val="24"/>
          <w:lang w:val="en-US"/>
        </w:rPr>
        <w:br/>
        <w:t>(2) However, a superior who is a participant in the offence committed by his or her subordinate or under the conditions referred to in section 12 is an offender or participant in the offence committed by his or her subordinate shall not be sentenced for failure to report the offence of the subordinate.</w:t>
      </w:r>
      <w:r>
        <w:rPr>
          <w:rFonts w:ascii="Times New Roman" w:eastAsia="Times New Roman" w:hAnsi="Times New Roman" w:cs="Times New Roman"/>
          <w:noProof/>
          <w:sz w:val="24"/>
          <w:szCs w:val="24"/>
        </w:rPr>
        <w:drawing>
          <wp:inline distT="0" distB="0" distL="0" distR="0">
            <wp:extent cx="151130" cy="142875"/>
            <wp:effectExtent l="19050" t="0" r="1270" b="0"/>
            <wp:docPr id="145" name="Imagen 1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France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France’s Code of Military Justice (1982) provides: “When a subordinate is tried as the chief actor in an offence … and his hierarchical superiors cannot be sought as co-actors, they are considered to be accessories in that they organized or tolerated the criminal acts of their subordinate.”</w:t>
      </w:r>
      <w:r>
        <w:rPr>
          <w:rFonts w:ascii="Times New Roman" w:eastAsia="Times New Roman" w:hAnsi="Times New Roman" w:cs="Times New Roman"/>
          <w:noProof/>
          <w:sz w:val="24"/>
          <w:szCs w:val="24"/>
        </w:rPr>
        <w:drawing>
          <wp:inline distT="0" distB="0" distL="0" distR="0">
            <wp:extent cx="151130" cy="142875"/>
            <wp:effectExtent l="19050" t="0" r="1270" b="0"/>
            <wp:docPr id="146" name="Imagen 1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France’s Code of Military Justice (2006), in a chapter entitled “In times of war”, states: </w:t>
      </w:r>
      <w:r w:rsidRPr="006155D3">
        <w:rPr>
          <w:rFonts w:ascii="Times New Roman" w:eastAsia="Times New Roman" w:hAnsi="Times New Roman" w:cs="Times New Roman"/>
          <w:sz w:val="24"/>
          <w:szCs w:val="24"/>
          <w:lang w:val="en-US"/>
        </w:rPr>
        <w:br/>
        <w:t>If a subordinate is prosecuted as the main perpetrator of one of the offences stipulated in Article L. 122-3, and if his or her hierarchical superiors cannot be sought as co-perpetrators, they are considered accomplices to the extent that they have organized or tolerated the criminal acts of their subordinate.</w:t>
      </w:r>
      <w:r>
        <w:rPr>
          <w:rFonts w:ascii="Times New Roman" w:eastAsia="Times New Roman" w:hAnsi="Times New Roman" w:cs="Times New Roman"/>
          <w:noProof/>
          <w:sz w:val="24"/>
          <w:szCs w:val="24"/>
        </w:rPr>
        <w:drawing>
          <wp:inline distT="0" distB="0" distL="0" distR="0">
            <wp:extent cx="151130" cy="142875"/>
            <wp:effectExtent l="19050" t="0" r="1270" b="0"/>
            <wp:docPr id="147" name="Imagen 1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France’s Penal Code (1994), as amended in 2010, states:</w:t>
      </w:r>
      <w:r w:rsidRPr="006155D3">
        <w:rPr>
          <w:rFonts w:ascii="Times New Roman" w:eastAsia="Times New Roman" w:hAnsi="Times New Roman" w:cs="Times New Roman"/>
          <w:sz w:val="24"/>
          <w:szCs w:val="24"/>
          <w:lang w:val="en-US"/>
        </w:rPr>
        <w:br/>
        <w:t xml:space="preserve">[T]he military commander or person acting as a military commander who either knew or, owing to the circumstances, should have known that subordinates under his or her effective authority and control were committing or were about to commit a war crime </w:t>
      </w:r>
      <w:r w:rsidRPr="006155D3">
        <w:rPr>
          <w:rFonts w:ascii="Times New Roman" w:eastAsia="Times New Roman" w:hAnsi="Times New Roman" w:cs="Times New Roman"/>
          <w:sz w:val="24"/>
          <w:szCs w:val="24"/>
          <w:lang w:val="en-US"/>
        </w:rPr>
        <w:lastRenderedPageBreak/>
        <w:t>… and who failed to take all necessary and reasonable measures within his or her power to prevent or repress its commission, or to submit the matter to the competent authorities for investigation and prosecution, is considered to be an accomplice of such war crime.</w:t>
      </w:r>
      <w:r w:rsidRPr="006155D3">
        <w:rPr>
          <w:rFonts w:ascii="Times New Roman" w:eastAsia="Times New Roman" w:hAnsi="Times New Roman" w:cs="Times New Roman"/>
          <w:sz w:val="24"/>
          <w:szCs w:val="24"/>
          <w:lang w:val="en-US"/>
        </w:rPr>
        <w:br/>
        <w:t>… [T]he superior not performing a function of military commander who either knew that the subordinates under his or her effective authority and control were committing or were about to commit a war crime … or who consciously disregarded information which clearly indicated so, and who failed to take all necessary and reasonable measures within his or her power to prevent or repress its commission or to submit the matter to the competent authorities for investigation and prosecution, while the crime concerned activities that were within his or her effective responsibility and control, is also considered to be an accomplice of such war crime.</w:t>
      </w:r>
      <w:r>
        <w:rPr>
          <w:rFonts w:ascii="Times New Roman" w:eastAsia="Times New Roman" w:hAnsi="Times New Roman" w:cs="Times New Roman"/>
          <w:noProof/>
          <w:sz w:val="24"/>
          <w:szCs w:val="24"/>
        </w:rPr>
        <w:drawing>
          <wp:inline distT="0" distB="0" distL="0" distR="0">
            <wp:extent cx="151130" cy="142875"/>
            <wp:effectExtent l="19050" t="0" r="1270" b="0"/>
            <wp:docPr id="148" name="Imagen 1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Germany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Germany’s Law Introducing the International Crimes Code (2002) contains a provision entitled “Responsibility of military commanders and other superiors” which states:</w:t>
      </w:r>
      <w:r w:rsidRPr="006155D3">
        <w:rPr>
          <w:rFonts w:ascii="Times New Roman" w:eastAsia="Times New Roman" w:hAnsi="Times New Roman" w:cs="Times New Roman"/>
          <w:sz w:val="24"/>
          <w:szCs w:val="24"/>
          <w:lang w:val="en-US"/>
        </w:rPr>
        <w:br/>
        <w:t>(1) A military commander or civilian superior who omits to prevent his or her subordinate from committing an offence pursuant to this Law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 genocide, crimes against humanity and war crimes] shall be punished in the same way as a perpetrator of the offence committed by that subordinate …</w:t>
      </w:r>
      <w:r w:rsidRPr="006155D3">
        <w:rPr>
          <w:rFonts w:ascii="Times New Roman" w:eastAsia="Times New Roman" w:hAnsi="Times New Roman" w:cs="Times New Roman"/>
          <w:sz w:val="24"/>
          <w:szCs w:val="24"/>
          <w:lang w:val="en-US"/>
        </w:rPr>
        <w:br/>
        <w:t>(2) Any person effectively giving orders or exercising command and control in a unit shall be deemed equivalent to a military commander. Any person effectively exercising command and control in a civil organization or in an enterprise shall be deemed equivalent to a civilian superior.</w:t>
      </w:r>
      <w:r>
        <w:rPr>
          <w:rFonts w:ascii="Times New Roman" w:eastAsia="Times New Roman" w:hAnsi="Times New Roman" w:cs="Times New Roman"/>
          <w:noProof/>
          <w:sz w:val="24"/>
          <w:szCs w:val="24"/>
        </w:rPr>
        <w:drawing>
          <wp:inline distT="0" distB="0" distL="0" distR="0">
            <wp:extent cx="151130" cy="142875"/>
            <wp:effectExtent l="19050" t="0" r="1270" b="0"/>
            <wp:docPr id="149" name="Imagen 1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(1) A military commander who intentionally or negligently omits properly to supervise a subordinate under his or her command or under his or her effective control shall be punished for violation of the duty of supervision if the subordinate commits an offence pursuant to this Law, where the imminent commission of such an offence was discernible to the commander and he or she could have prevented it.</w:t>
      </w:r>
      <w:r w:rsidRPr="006155D3">
        <w:rPr>
          <w:rFonts w:ascii="Times New Roman" w:eastAsia="Times New Roman" w:hAnsi="Times New Roman" w:cs="Times New Roman"/>
          <w:sz w:val="24"/>
          <w:szCs w:val="24"/>
          <w:lang w:val="en-US"/>
        </w:rPr>
        <w:br/>
        <w:t>(2) A civilian superior who intentionally or negligently omits properly to supervise a subordinate under his or her authority or under his or her effective control shall be punished for violation of the duty of supervision if the subordinate commits an offence pursuant to this Law, where the imminent commission of such an offence was discernible to the superior without more and he or she could have prevented it.</w:t>
      </w:r>
      <w:r w:rsidRPr="006155D3">
        <w:rPr>
          <w:rFonts w:ascii="Times New Roman" w:eastAsia="Times New Roman" w:hAnsi="Times New Roman" w:cs="Times New Roman"/>
          <w:sz w:val="24"/>
          <w:szCs w:val="24"/>
          <w:lang w:val="en-US"/>
        </w:rPr>
        <w:br/>
        <w:t>(3) [Article 1] Section 4 subsection (2) shall apply mutatis mutandis.</w:t>
      </w:r>
      <w:r>
        <w:rPr>
          <w:rFonts w:ascii="Times New Roman" w:eastAsia="Times New Roman" w:hAnsi="Times New Roman" w:cs="Times New Roman"/>
          <w:noProof/>
          <w:sz w:val="24"/>
          <w:szCs w:val="24"/>
        </w:rPr>
        <w:drawing>
          <wp:inline distT="0" distB="0" distL="0" distR="0">
            <wp:extent cx="151130" cy="142875"/>
            <wp:effectExtent l="19050" t="0" r="1270" b="0"/>
            <wp:docPr id="150" name="Imagen 1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(1) A military commander or a civilian superior who omits immediately to draw the attention of the agency responsible for the investigation or prosecution of any offence pursuant to this Law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 genocide, crimes against humanity and war crimes], to such an offence committed by a subordinate, shall be punished …</w:t>
      </w:r>
      <w:r w:rsidRPr="006155D3">
        <w:rPr>
          <w:rFonts w:ascii="Times New Roman" w:eastAsia="Times New Roman" w:hAnsi="Times New Roman" w:cs="Times New Roman"/>
          <w:sz w:val="24"/>
          <w:szCs w:val="24"/>
          <w:lang w:val="en-US"/>
        </w:rPr>
        <w:br/>
        <w:t>(2) [Article 1(4)(2)] shall apply mutatis mutandis.</w:t>
      </w:r>
      <w:r>
        <w:rPr>
          <w:rFonts w:ascii="Times New Roman" w:eastAsia="Times New Roman" w:hAnsi="Times New Roman" w:cs="Times New Roman"/>
          <w:noProof/>
          <w:sz w:val="24"/>
          <w:szCs w:val="24"/>
        </w:rPr>
        <w:drawing>
          <wp:inline distT="0" distB="0" distL="0" distR="0">
            <wp:extent cx="151130" cy="142875"/>
            <wp:effectExtent l="19050" t="0" r="1270" b="0"/>
            <wp:docPr id="151" name="Imagen 1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Hungary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Hungary’s Order of the Minister of Defence on the Adoption of Service Regulations (2005) states that the commander “shall comply with and enforce the rule of law, regulations related to warfare and humanitarian rules, shall not tolerate arbitrary action, brutality or violations of the obligations regulated in laws and internal provisions”.</w:t>
      </w:r>
      <w:r>
        <w:rPr>
          <w:rFonts w:ascii="Times New Roman" w:eastAsia="Times New Roman" w:hAnsi="Times New Roman" w:cs="Times New Roman"/>
          <w:noProof/>
          <w:sz w:val="24"/>
          <w:szCs w:val="24"/>
        </w:rPr>
        <w:drawing>
          <wp:inline distT="0" distB="0" distL="0" distR="0">
            <wp:extent cx="151130" cy="142875"/>
            <wp:effectExtent l="19050" t="0" r="1270" b="0"/>
            <wp:docPr id="152" name="Imagen 1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India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India’s Army Act (1950) provides that it is an offence for a commander “receiving a complaint that any one under his command has beaten or otherwise maltreated or oppressed any person … [to] fail to have due reparation made to the injured person or to report the case to the proper authority”.</w:t>
      </w:r>
      <w:r>
        <w:rPr>
          <w:rFonts w:ascii="Times New Roman" w:eastAsia="Times New Roman" w:hAnsi="Times New Roman" w:cs="Times New Roman"/>
          <w:noProof/>
          <w:sz w:val="24"/>
          <w:szCs w:val="24"/>
        </w:rPr>
        <w:drawing>
          <wp:inline distT="0" distB="0" distL="0" distR="0">
            <wp:extent cx="151130" cy="142875"/>
            <wp:effectExtent l="19050" t="0" r="1270" b="0"/>
            <wp:docPr id="153" name="Imagen 1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Iraq</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Iraq’s Law of the Supreme Iraqi Criminal Tribunal (2005) states:</w:t>
      </w:r>
      <w:r w:rsidRPr="006155D3">
        <w:rPr>
          <w:rFonts w:ascii="Times New Roman" w:eastAsia="Times New Roman" w:hAnsi="Times New Roman" w:cs="Times New Roman"/>
          <w:sz w:val="24"/>
          <w:szCs w:val="24"/>
          <w:lang w:val="en-US"/>
        </w:rPr>
        <w:br/>
        <w:t>A superior is not relieved of the criminal responsibility for crimes committed by his subordinates, if he knew or had reason to know that the subordinate had committed, or was about to commit such acts, and the superior failed to take the necessary and reasonable measures to prevent such acts or to refer the matter to the competent authorities for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54" name="Imagen 1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Italy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Under Italy’s Penal Code (1930), a person who fails to prevent someone from committing an act that he or she had the duty to prevent may incur criminal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155" name="Imagen 1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Luxembourg</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Luxembourg’s Law on the Repression of War Crimes (1947) provides:</w:t>
      </w:r>
      <w:r w:rsidRPr="006155D3">
        <w:rPr>
          <w:rFonts w:ascii="Times New Roman" w:eastAsia="Times New Roman" w:hAnsi="Times New Roman" w:cs="Times New Roman"/>
          <w:sz w:val="24"/>
          <w:szCs w:val="24"/>
          <w:lang w:val="en-US"/>
        </w:rPr>
        <w:br/>
        <w:t>Without prejudice to the provisions of Articles 66 and 67 of the Penal Code, the following may be charged, according to the circumstances, as co-authors or as accomplices in the crimes and offences set out in Article 1 of the present law [i.e. war crimes]: superiors in rank who have tolerated the criminal activities of their subordinates, and those who, without being superiors in rank of the principal authors, have aided those crimes or offences.</w:t>
      </w:r>
      <w:r>
        <w:rPr>
          <w:rFonts w:ascii="Times New Roman" w:eastAsia="Times New Roman" w:hAnsi="Times New Roman" w:cs="Times New Roman"/>
          <w:noProof/>
          <w:sz w:val="24"/>
          <w:szCs w:val="24"/>
        </w:rPr>
        <w:drawing>
          <wp:inline distT="0" distB="0" distL="0" distR="0">
            <wp:extent cx="151130" cy="142875"/>
            <wp:effectExtent l="19050" t="0" r="1270" b="0"/>
            <wp:docPr id="156" name="Imagen 1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Luxembourg’s Law on the Punishment of Grave Breaches (1985) provides:</w:t>
      </w:r>
      <w:r w:rsidRPr="006155D3">
        <w:rPr>
          <w:rFonts w:ascii="Times New Roman" w:eastAsia="Times New Roman" w:hAnsi="Times New Roman" w:cs="Times New Roman"/>
          <w:sz w:val="24"/>
          <w:szCs w:val="24"/>
          <w:lang w:val="en-US"/>
        </w:rPr>
        <w:br/>
        <w:t>Without prejudice to the provisions of Articles 66 and 67 of the Penal Code, the following may be charged, according to the circumstances, as co-authors or as accomplices in the crimes set out in Articles 1 and 3 of the present law [i.e. grave breaches of the 1949 Geneva Conventions and acts related thereto]: superiors in rank who have tolerated the criminal activities of their subordinates, and those who, without being superiors in rank of the principal authors, have aided those crimes.</w:t>
      </w:r>
      <w:r>
        <w:rPr>
          <w:rFonts w:ascii="Times New Roman" w:eastAsia="Times New Roman" w:hAnsi="Times New Roman" w:cs="Times New Roman"/>
          <w:noProof/>
          <w:sz w:val="24"/>
          <w:szCs w:val="24"/>
        </w:rPr>
        <w:drawing>
          <wp:inline distT="0" distB="0" distL="0" distR="0">
            <wp:extent cx="151130" cy="142875"/>
            <wp:effectExtent l="19050" t="0" r="1270" b="0"/>
            <wp:docPr id="157" name="Imagen 1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who, having knowledge of orders given with regard to the commission of crimes set out in Articles 1 and 3 [i.e. grave breaches of the 1949 Geneva Conventions and acts related thereto] or of facts being at the beginning of the commission thereof, and who could have prevented the completion or could have terminated it, did not act within their scope of action.</w:t>
      </w:r>
      <w:r>
        <w:rPr>
          <w:rFonts w:ascii="Times New Roman" w:eastAsia="Times New Roman" w:hAnsi="Times New Roman" w:cs="Times New Roman"/>
          <w:noProof/>
          <w:sz w:val="24"/>
          <w:szCs w:val="24"/>
        </w:rPr>
        <w:drawing>
          <wp:inline distT="0" distB="0" distL="0" distR="0">
            <wp:extent cx="151130" cy="142875"/>
            <wp:effectExtent l="19050" t="0" r="1270" b="0"/>
            <wp:docPr id="158" name="Imagen 1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Netherlands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Military Criminal Code (1964), as amended in 1990, of the Netherlands provides:</w:t>
      </w:r>
      <w:r w:rsidRPr="006155D3">
        <w:rPr>
          <w:rFonts w:ascii="Times New Roman" w:eastAsia="Times New Roman" w:hAnsi="Times New Roman" w:cs="Times New Roman"/>
          <w:sz w:val="24"/>
          <w:szCs w:val="24"/>
          <w:lang w:val="en-US"/>
        </w:rPr>
        <w:br/>
        <w:t>Art. 148. A soldier who intentionally allows a subordinate to commit a crime, or who witnesses a crime committed by a subordinate and intentionally omits to take measures, to the extent they are necessary and required from him, will be punished as an accomplice.</w:t>
      </w:r>
      <w:r w:rsidRPr="006155D3">
        <w:rPr>
          <w:rFonts w:ascii="Times New Roman" w:eastAsia="Times New Roman" w:hAnsi="Times New Roman" w:cs="Times New Roman"/>
          <w:sz w:val="24"/>
          <w:szCs w:val="24"/>
          <w:lang w:val="en-US"/>
        </w:rPr>
        <w:br/>
        <w:t>Art. 149. A soldier who intentionally omits to take measures, to the extent they are necessary and required from him, [will be punished] when his subordinate commits, or plans to commit a crime, which he reasonably must have presumed.</w:t>
      </w:r>
      <w:r>
        <w:rPr>
          <w:rFonts w:ascii="Times New Roman" w:eastAsia="Times New Roman" w:hAnsi="Times New Roman" w:cs="Times New Roman"/>
          <w:noProof/>
          <w:sz w:val="24"/>
          <w:szCs w:val="24"/>
        </w:rPr>
        <w:drawing>
          <wp:inline distT="0" distB="0" distL="0" distR="0">
            <wp:extent cx="151130" cy="142875"/>
            <wp:effectExtent l="19050" t="0" r="1270" b="0"/>
            <wp:docPr id="159" name="Imagen 1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International Crimes Act (2003) of the Netherlands provides:</w:t>
      </w:r>
      <w:r w:rsidRPr="006155D3">
        <w:rPr>
          <w:rFonts w:ascii="Times New Roman" w:eastAsia="Times New Roman" w:hAnsi="Times New Roman" w:cs="Times New Roman"/>
          <w:sz w:val="24"/>
          <w:szCs w:val="24"/>
          <w:lang w:val="en-US"/>
        </w:rPr>
        <w:br/>
        <w:t>1. A superior shall be liable to the penalties prescribed for the offences referred to in [Article] 2 [genocide, crimes against humanity, war crimes and torture] if he: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intentionally permits the commission of such an offence by a subordinate;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intentionally fails to take measures, in so far as these are necessary and can be expected of him, if one of his subordinates has committed or intends to commit such an offence.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2. Anyone who culpably neglects to take measures, in so far as these are necessary and can be expected of him, where he has reasonable grounds for suspecting that a subordinate has committed or intends to commit such an offence, shall be liable to no </w:t>
      </w:r>
      <w:r w:rsidRPr="006155D3">
        <w:rPr>
          <w:rFonts w:ascii="Times New Roman" w:eastAsia="Times New Roman" w:hAnsi="Times New Roman" w:cs="Times New Roman"/>
          <w:sz w:val="24"/>
          <w:szCs w:val="24"/>
          <w:lang w:val="en-US"/>
        </w:rPr>
        <w:lastRenderedPageBreak/>
        <w:t>more than two-thirds of the maximum of the principal sentences prescribed for the offences referred to in [Article] 2.</w:t>
      </w:r>
      <w:r>
        <w:rPr>
          <w:rFonts w:ascii="Times New Roman" w:eastAsia="Times New Roman" w:hAnsi="Times New Roman" w:cs="Times New Roman"/>
          <w:noProof/>
          <w:sz w:val="24"/>
          <w:szCs w:val="24"/>
        </w:rPr>
        <w:drawing>
          <wp:inline distT="0" distB="0" distL="0" distR="0">
            <wp:extent cx="151130" cy="142875"/>
            <wp:effectExtent l="19050" t="0" r="1270" b="0"/>
            <wp:docPr id="160" name="Imagen 1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Norway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Norway’s Penal Code (1902), as amended in 2008, states: </w:t>
      </w:r>
      <w:r w:rsidRPr="006155D3">
        <w:rPr>
          <w:rFonts w:ascii="Times New Roman" w:eastAsia="Times New Roman" w:hAnsi="Times New Roman" w:cs="Times New Roman"/>
          <w:sz w:val="24"/>
          <w:szCs w:val="24"/>
          <w:lang w:val="en-US"/>
        </w:rPr>
        <w:br/>
        <w:t>A military or civilian commander or person effectively acting as such is liable to punishment for breach of superior responsibility if persons under his authority and control commit a crime mentioned in sections 101 to 107[genocide, crimes against humanity and war crimes], when the crime is a result of the commander or person’s failure to exercise control properly over them, and the commander or person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knew or should have known that the subordinates were committing or were about to commit such a crime,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failed to take necessary and reasonable measures within his power to prevent or stop the crime, or to report the matter to a competent authority for prosecution.</w:t>
      </w:r>
      <w:r>
        <w:rPr>
          <w:rFonts w:ascii="Times New Roman" w:eastAsia="Times New Roman" w:hAnsi="Times New Roman" w:cs="Times New Roman"/>
          <w:noProof/>
          <w:sz w:val="24"/>
          <w:szCs w:val="24"/>
        </w:rPr>
        <w:drawing>
          <wp:inline distT="0" distB="0" distL="0" distR="0">
            <wp:extent cx="151130" cy="142875"/>
            <wp:effectExtent l="19050" t="0" r="1270" b="0"/>
            <wp:docPr id="161" name="Imagen 1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Peru</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Peru’s Code of Military and Police Justice (2006) states:</w:t>
      </w:r>
      <w:r w:rsidRPr="006155D3">
        <w:rPr>
          <w:rFonts w:ascii="Times New Roman" w:eastAsia="Times New Roman" w:hAnsi="Times New Roman" w:cs="Times New Roman"/>
          <w:sz w:val="24"/>
          <w:szCs w:val="24"/>
          <w:lang w:val="en-US"/>
        </w:rPr>
        <w:br/>
        <w:t>A military commander or person effectively acting as a military commander who commits a crime described in the present Title [of this law] shall be subjected to the same penalty as the one applicable to those under his or her command or effective authority and control provided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This person knew that his or her subordinates were committing or were about to commit such crimes; and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He or she failed to take all necessary and reasonable measures within his or her power to prevent or repress their commission or to submit the matter to the competent authorities for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62" name="Imagen 1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Peru’s Decree on the Use of Force by the Armed Forces (2010) states: </w:t>
      </w:r>
      <w:r w:rsidRPr="006155D3">
        <w:rPr>
          <w:rFonts w:ascii="Times New Roman" w:eastAsia="Times New Roman" w:hAnsi="Times New Roman" w:cs="Times New Roman"/>
          <w:sz w:val="24"/>
          <w:szCs w:val="24"/>
          <w:lang w:val="en-US"/>
        </w:rPr>
        <w:br/>
        <w:t>The superior is responsible for violations of the present Legislative Decree and its Regulations [which set forth IHL obligations] if the superior knew that his or her subordinates committed such violations and if the superior failed to take the adequate available measures to prevent or punish the violations.</w:t>
      </w:r>
      <w:r>
        <w:rPr>
          <w:rFonts w:ascii="Times New Roman" w:eastAsia="Times New Roman" w:hAnsi="Times New Roman" w:cs="Times New Roman"/>
          <w:noProof/>
          <w:sz w:val="24"/>
          <w:szCs w:val="24"/>
        </w:rPr>
        <w:drawing>
          <wp:inline distT="0" distB="0" distL="0" distR="0">
            <wp:extent cx="151130" cy="142875"/>
            <wp:effectExtent l="19050" t="0" r="1270" b="0"/>
            <wp:docPr id="163" name="Imagen 1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Peru’s Military and Police Criminal Code (2010) states: </w:t>
      </w:r>
      <w:r w:rsidRPr="006155D3">
        <w:rPr>
          <w:rFonts w:ascii="Times New Roman" w:eastAsia="Times New Roman" w:hAnsi="Times New Roman" w:cs="Times New Roman"/>
          <w:sz w:val="24"/>
          <w:szCs w:val="24"/>
          <w:lang w:val="en-US"/>
        </w:rPr>
        <w:br/>
        <w:t>In cases concerning crimes against International Humanitarian Law, the punishment shall be lessened for individuals who carried out an order by a government, authority or superior, whether civilian or military, as long as: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a. The perpetrator did not know that the order was unlawful; and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order was not manifestly unlawful.</w:t>
      </w:r>
      <w:r>
        <w:rPr>
          <w:rFonts w:ascii="Times New Roman" w:eastAsia="Times New Roman" w:hAnsi="Times New Roman" w:cs="Times New Roman"/>
          <w:noProof/>
          <w:sz w:val="24"/>
          <w:szCs w:val="24"/>
        </w:rPr>
        <w:drawing>
          <wp:inline distT="0" distB="0" distL="0" distR="0">
            <wp:extent cx="151130" cy="142875"/>
            <wp:effectExtent l="19050" t="0" r="1270" b="0"/>
            <wp:docPr id="164" name="Imagen 1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Republic of Korea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Republic of Korea’s ICC Act (2007) provides:</w:t>
      </w:r>
      <w:r w:rsidRPr="006155D3">
        <w:rPr>
          <w:rFonts w:ascii="Times New Roman" w:eastAsia="Times New Roman" w:hAnsi="Times New Roman" w:cs="Times New Roman"/>
          <w:sz w:val="24"/>
          <w:szCs w:val="24"/>
          <w:lang w:val="en-US"/>
        </w:rPr>
        <w:br/>
        <w:t>Article 5 (Responsibility of military commanders and other superiors)</w:t>
      </w:r>
      <w:r w:rsidRPr="006155D3">
        <w:rPr>
          <w:rFonts w:ascii="Times New Roman" w:eastAsia="Times New Roman" w:hAnsi="Times New Roman" w:cs="Times New Roman"/>
          <w:sz w:val="24"/>
          <w:szCs w:val="24"/>
          <w:lang w:val="en-US"/>
        </w:rPr>
        <w:br/>
        <w:t>A military commander (the term “commander” hereinafter includes any person effectively acting as a commander) or a superior of a group or an organization (the term “superior” hereinafter includes any person effectively acting as a superior) who omits to prevent a subordinate under his or her effective command and control from committing [genocide, crimes against humanity or war crimes] shall be punished in the same way as a perpetrator of the offence committed by that subordinate.</w:t>
      </w:r>
      <w:r>
        <w:rPr>
          <w:rFonts w:ascii="Times New Roman" w:eastAsia="Times New Roman" w:hAnsi="Times New Roman" w:cs="Times New Roman"/>
          <w:noProof/>
          <w:sz w:val="24"/>
          <w:szCs w:val="24"/>
        </w:rPr>
        <w:drawing>
          <wp:inline distT="0" distB="0" distL="0" distR="0">
            <wp:extent cx="151130" cy="142875"/>
            <wp:effectExtent l="19050" t="0" r="1270" b="0"/>
            <wp:docPr id="165" name="Imagen 1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military commander or a civilian superior who fails to draw attention of the authority responsible for the investigation or prosecution to the commission of [genocide, crimes against humanity, or war crimes] by his or her subordinate shall be punished by imprisonment for up to five years.</w:t>
      </w:r>
      <w:r>
        <w:rPr>
          <w:rFonts w:ascii="Times New Roman" w:eastAsia="Times New Roman" w:hAnsi="Times New Roman" w:cs="Times New Roman"/>
          <w:noProof/>
          <w:sz w:val="24"/>
          <w:szCs w:val="24"/>
        </w:rPr>
        <w:drawing>
          <wp:inline distT="0" distB="0" distL="0" distR="0">
            <wp:extent cx="151130" cy="142875"/>
            <wp:effectExtent l="19050" t="0" r="1270" b="0"/>
            <wp:docPr id="166" name="Imagen 1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Rwanda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Rwanda’s Law Setting up Gacaca Jurisdictions (2001) aims</w:t>
      </w:r>
      <w:r w:rsidRPr="006155D3">
        <w:rPr>
          <w:rFonts w:ascii="Times New Roman" w:eastAsia="Times New Roman" w:hAnsi="Times New Roman" w:cs="Times New Roman"/>
          <w:sz w:val="24"/>
          <w:szCs w:val="24"/>
          <w:lang w:val="en-US"/>
        </w:rPr>
        <w:br/>
        <w:t>to organize the putting on trial of persons prosecuted for having, between 1 October 1990 and 31 December 1994, committed acts qualified and punished by the Penal Code and which constitute: a) … crimes of genocide or crimes against humanity as defined by the [1948 Genocide Convention], by the [1949 Geneva Convention IV and the 1977 Additional Protocols], as well as in the [1968 UN Convention on the Non-Applicability of Statutory Limitation to War Crimes and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67" name="Imagen 1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fact that any of the acts aimed at by this organic law has been committed by a subordinate does not free his superior from his criminal responsibility if he knew or could know that his subordinate was getting ready to commit this act or had done it and that the superior has not taken necessary and reasonable measures to punish the authors or prevent that the mentioned act be not committed when he had means.</w:t>
      </w:r>
      <w:r>
        <w:rPr>
          <w:rFonts w:ascii="Times New Roman" w:eastAsia="Times New Roman" w:hAnsi="Times New Roman" w:cs="Times New Roman"/>
          <w:noProof/>
          <w:sz w:val="24"/>
          <w:szCs w:val="24"/>
        </w:rPr>
        <w:drawing>
          <wp:inline distT="0" distB="0" distL="0" distR="0">
            <wp:extent cx="151130" cy="142875"/>
            <wp:effectExtent l="19050" t="0" r="1270" b="0"/>
            <wp:docPr id="168" name="Imagen 1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Rwanda’s Presidential Order Establishing Army General Statutes (2002) provides:</w:t>
      </w:r>
      <w:r w:rsidRPr="006155D3">
        <w:rPr>
          <w:rFonts w:ascii="Times New Roman" w:eastAsia="Times New Roman" w:hAnsi="Times New Roman" w:cs="Times New Roman"/>
          <w:sz w:val="24"/>
          <w:szCs w:val="24"/>
          <w:lang w:val="en-US"/>
        </w:rPr>
        <w:br/>
        <w:t>Any officer and/or man heading a service shall be answerable to his hierarchical superiors for the smooth functioning of that service. He shall be required, therefore, to punish or cause to be punished all abuses, negligence or breaches of laws and regulations that may come to his notice in the exercise of his functions.</w:t>
      </w:r>
      <w:r>
        <w:rPr>
          <w:rFonts w:ascii="Times New Roman" w:eastAsia="Times New Roman" w:hAnsi="Times New Roman" w:cs="Times New Roman"/>
          <w:noProof/>
          <w:sz w:val="24"/>
          <w:szCs w:val="24"/>
        </w:rPr>
        <w:drawing>
          <wp:inline distT="0" distB="0" distL="0" distR="0">
            <wp:extent cx="151130" cy="142875"/>
            <wp:effectExtent l="19050" t="0" r="1270" b="0"/>
            <wp:docPr id="169" name="Imagen 1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Rwanda’s Law Repressing the Crime of Genocide, Crimes against Humanity and War Crimes (2003) provides:</w:t>
      </w:r>
      <w:r w:rsidRPr="006155D3">
        <w:rPr>
          <w:rFonts w:ascii="Times New Roman" w:eastAsia="Times New Roman" w:hAnsi="Times New Roman" w:cs="Times New Roman"/>
          <w:sz w:val="24"/>
          <w:szCs w:val="24"/>
          <w:lang w:val="en-US"/>
        </w:rPr>
        <w:br/>
        <w:t>The fact that one of the crimes provided for by this law has been committed by a subordinate does not free the authority which is his superior from its criminal responsibility if it knew or had reasons to know that the subordinate was preparing to commit that act or had committed it and if the authority superior in hierarchy did not take the necessary and reasonable measures to prevent the said act from being committed or to punish its perpetrators, and to inform the relevant authorities.</w:t>
      </w:r>
      <w:r>
        <w:rPr>
          <w:rFonts w:ascii="Times New Roman" w:eastAsia="Times New Roman" w:hAnsi="Times New Roman" w:cs="Times New Roman"/>
          <w:noProof/>
          <w:sz w:val="24"/>
          <w:szCs w:val="24"/>
        </w:rPr>
        <w:drawing>
          <wp:inline distT="0" distB="0" distL="0" distR="0">
            <wp:extent cx="151130" cy="142875"/>
            <wp:effectExtent l="19050" t="0" r="1270" b="0"/>
            <wp:docPr id="170" name="Imagen 1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Serbia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Serbia’s Criminal Code (2005) states:</w:t>
      </w:r>
      <w:r w:rsidRPr="006155D3">
        <w:rPr>
          <w:rFonts w:ascii="Times New Roman" w:eastAsia="Times New Roman" w:hAnsi="Times New Roman" w:cs="Times New Roman"/>
          <w:sz w:val="24"/>
          <w:szCs w:val="24"/>
          <w:lang w:val="en-US"/>
        </w:rPr>
        <w:br/>
        <w:t>(1) A military commander or person who in practice is discharging such function, knowing that forces under his command or control are preparing or have commenced committing offences specified [genocide, crimes against humanity and war crimes] … fails to undertake measures that he could have taken or was obliged to take to prevent commission of such crimes, and this results in actual commission of that crime, shall be punished by the penalty prescribed for such offence.</w:t>
      </w:r>
      <w:r w:rsidRPr="006155D3">
        <w:rPr>
          <w:rFonts w:ascii="Times New Roman" w:eastAsia="Times New Roman" w:hAnsi="Times New Roman" w:cs="Times New Roman"/>
          <w:sz w:val="24"/>
          <w:szCs w:val="24"/>
          <w:lang w:val="en-US"/>
        </w:rPr>
        <w:br/>
        <w:t>(2) Any other superior who knowing that forces under his command or control are preparing or have commenced committing offences specified [genocide, crimes against humanity and war crimes] … fails to undertake measures that he could have taken or was obliged to take to prevent commission of such crimes, and this results in actual commission of that crime, shall be punished by the penalty prescribed for such offence.</w:t>
      </w:r>
      <w:r>
        <w:rPr>
          <w:rFonts w:ascii="Times New Roman" w:eastAsia="Times New Roman" w:hAnsi="Times New Roman" w:cs="Times New Roman"/>
          <w:noProof/>
          <w:sz w:val="24"/>
          <w:szCs w:val="24"/>
        </w:rPr>
        <w:drawing>
          <wp:inline distT="0" distB="0" distL="0" distR="0">
            <wp:extent cx="151130" cy="142875"/>
            <wp:effectExtent l="19050" t="0" r="1270" b="0"/>
            <wp:docPr id="171" name="Imagen 1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Somalia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Somalia’s Military Criminal Code (1963)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372. Unlawful appropriation of goods.</w:t>
      </w:r>
      <w:r w:rsidRPr="006155D3">
        <w:rPr>
          <w:rFonts w:ascii="Times New Roman" w:eastAsia="Times New Roman" w:hAnsi="Times New Roman" w:cs="Times New Roman"/>
          <w:sz w:val="24"/>
          <w:szCs w:val="24"/>
          <w:lang w:val="en-US"/>
        </w:rPr>
        <w:t xml:space="preserve"> – 1. A soldier or other person serving in or accompanying the armed forces of the State who takes possession, needlessly and without authorization, of food, clothing or equipment, or who has them handed over to him, shall be punished by military confinement for up to five years. </w:t>
      </w:r>
      <w:r w:rsidRPr="006155D3">
        <w:rPr>
          <w:rFonts w:ascii="Times New Roman" w:eastAsia="Times New Roman" w:hAnsi="Times New Roman" w:cs="Times New Roman"/>
          <w:sz w:val="24"/>
          <w:szCs w:val="24"/>
          <w:lang w:val="en-US"/>
        </w:rPr>
        <w:br/>
        <w:t xml:space="preserve">2. If the act is committed by two or more people in concert, the penalty shall be increased by one third to one half. </w:t>
      </w:r>
      <w:r w:rsidRPr="006155D3">
        <w:rPr>
          <w:rFonts w:ascii="Times New Roman" w:eastAsia="Times New Roman" w:hAnsi="Times New Roman" w:cs="Times New Roman"/>
          <w:sz w:val="24"/>
          <w:szCs w:val="24"/>
          <w:lang w:val="en-US"/>
        </w:rPr>
        <w:br/>
        <w:t>3. If violence is used, a penalty of military confinement for one to eight years shall be applied.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373. Failure to prevent unlawful appropriation of goods –</w:t>
      </w:r>
      <w:r w:rsidRPr="006155D3">
        <w:rPr>
          <w:rFonts w:ascii="Times New Roman" w:eastAsia="Times New Roman" w:hAnsi="Times New Roman" w:cs="Times New Roman"/>
          <w:sz w:val="24"/>
          <w:szCs w:val="24"/>
          <w:lang w:val="en-US"/>
        </w:rPr>
        <w:t xml:space="preserve"> An officer or a non-</w:t>
      </w:r>
      <w:r w:rsidRPr="006155D3">
        <w:rPr>
          <w:rFonts w:ascii="Times New Roman" w:eastAsia="Times New Roman" w:hAnsi="Times New Roman" w:cs="Times New Roman"/>
          <w:sz w:val="24"/>
          <w:szCs w:val="24"/>
          <w:lang w:val="en-US"/>
        </w:rPr>
        <w:lastRenderedPageBreak/>
        <w:t>commissioned officer who does not do everything in his power to prevent the act specified in the preceding article shall be punished by military confinement for up to one year.</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414. Failure to prevent particular military offences. –</w:t>
      </w:r>
      <w:r w:rsidRPr="006155D3">
        <w:rPr>
          <w:rFonts w:ascii="Times New Roman" w:eastAsia="Times New Roman" w:hAnsi="Times New Roman" w:cs="Times New Roman"/>
          <w:sz w:val="24"/>
          <w:szCs w:val="24"/>
          <w:lang w:val="en-US"/>
        </w:rPr>
        <w:t xml:space="preserve"> 1. … [A] soldier who, for fear of danger or for some other inexcusable reason, does not do everything possible to prevent the commission of one of the offences provided for in Articles 370 [looting], 371 [fire, destruction or serious damage in an enemy country], 376 [ill-treatment of the sick, wounded or shipwrecked] [and] 377 [dispossession of the sick, wounded or shipwrecked] … shall be punished: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 xml:space="preserve">(a) </w:t>
      </w:r>
      <w:r w:rsidRPr="006155D3">
        <w:rPr>
          <w:rFonts w:ascii="Times New Roman" w:eastAsia="Times New Roman" w:hAnsi="Times New Roman" w:cs="Times New Roman"/>
          <w:sz w:val="24"/>
          <w:szCs w:val="24"/>
          <w:lang w:val="en-US"/>
        </w:rPr>
        <w:t xml:space="preserve">by confinement for not less than 10 years, in the case of an offence for which the law prescribes a penalty of death with demotion or of life imprisonment;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 xml:space="preserve">(b) </w:t>
      </w:r>
      <w:r w:rsidRPr="006155D3">
        <w:rPr>
          <w:rFonts w:ascii="Times New Roman" w:eastAsia="Times New Roman" w:hAnsi="Times New Roman" w:cs="Times New Roman"/>
          <w:sz w:val="24"/>
          <w:szCs w:val="24"/>
          <w:lang w:val="en-US"/>
        </w:rPr>
        <w:t xml:space="preserve">in other cases, by the penalty prescribed for the offence, reduced by one half to two thirds.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If the guilty party is higher in rank, or, being of the same rank, is higher in command or more senior, the penalty prescribed by law for the offence whose commission was not prevented shall be applied. The judge may nevertheless reduce the penalty.</w:t>
      </w:r>
      <w:r>
        <w:rPr>
          <w:rFonts w:ascii="Times New Roman" w:eastAsia="Times New Roman" w:hAnsi="Times New Roman" w:cs="Times New Roman"/>
          <w:noProof/>
          <w:sz w:val="24"/>
          <w:szCs w:val="24"/>
        </w:rPr>
        <w:drawing>
          <wp:inline distT="0" distB="0" distL="0" distR="0">
            <wp:extent cx="151130" cy="142875"/>
            <wp:effectExtent l="19050" t="0" r="1270" b="0"/>
            <wp:docPr id="172" name="Imagen 1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Somalia’s Act of Military Discipline (1975) states:</w:t>
      </w:r>
      <w:r w:rsidRPr="006155D3">
        <w:rPr>
          <w:rFonts w:ascii="Times New Roman" w:eastAsia="Times New Roman" w:hAnsi="Times New Roman" w:cs="Times New Roman"/>
          <w:sz w:val="24"/>
          <w:szCs w:val="24"/>
          <w:lang w:val="en-US"/>
        </w:rPr>
        <w:br/>
        <w:t>65. … Every Commanding Officer who conceals or ignores disciplinary failures [by] his subordinates will … himself [be considered to have committed a] … disciplinary failure of his duties.</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291. … If a Commanding Officer does not [impose the] appropriate penalty [for] a disciplinary failure [by a subordinate], he will be liable for such [a] failure; it means failing to act [in view of] a disciplinary failure is a failure [in] itself and against the rules.</w:t>
      </w:r>
      <w:r>
        <w:rPr>
          <w:rFonts w:ascii="Times New Roman" w:eastAsia="Times New Roman" w:hAnsi="Times New Roman" w:cs="Times New Roman"/>
          <w:noProof/>
          <w:sz w:val="24"/>
          <w:szCs w:val="24"/>
        </w:rPr>
        <w:drawing>
          <wp:inline distT="0" distB="0" distL="0" distR="0">
            <wp:extent cx="151130" cy="142875"/>
            <wp:effectExtent l="19050" t="0" r="1270" b="0"/>
            <wp:docPr id="173" name="Imagen 1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Spain’s Military Criminal Code (1985) imposes a prison sentence on any military officer who does not maintain due discipline in the forces under his command, who tolerates any abuse of authority or power in his subordinates, or who does not take the necessary steps to prevent a military offence among those listed under “Offences against the Laws and Customs of War”.</w:t>
      </w:r>
      <w:r>
        <w:rPr>
          <w:rFonts w:ascii="Times New Roman" w:eastAsia="Times New Roman" w:hAnsi="Times New Roman" w:cs="Times New Roman"/>
          <w:noProof/>
          <w:sz w:val="24"/>
          <w:szCs w:val="24"/>
        </w:rPr>
        <w:drawing>
          <wp:inline distT="0" distB="0" distL="0" distR="0">
            <wp:extent cx="151130" cy="142875"/>
            <wp:effectExtent l="19050" t="0" r="1270" b="0"/>
            <wp:docPr id="174" name="Imagen 1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According to the Report on the Practice of Spain, Article 11 of Spain’s Penal Code (1995), which provides for responsibility by omission, would be applicable in regard to the commander’s duty to prevent breaches of the 1949 Geneva Conventions and the 1977 Additional Protocol I.</w:t>
      </w:r>
      <w:r>
        <w:rPr>
          <w:rFonts w:ascii="Times New Roman" w:eastAsia="Times New Roman" w:hAnsi="Times New Roman" w:cs="Times New Roman"/>
          <w:noProof/>
          <w:sz w:val="24"/>
          <w:szCs w:val="24"/>
        </w:rPr>
        <w:drawing>
          <wp:inline distT="0" distB="0" distL="0" distR="0">
            <wp:extent cx="151130" cy="142875"/>
            <wp:effectExtent l="19050" t="0" r="1270" b="0"/>
            <wp:docPr id="175" name="Imagen 1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Spain’s Penal Code (1995), as amended in 2003, states:</w:t>
      </w:r>
      <w:r w:rsidRPr="006155D3">
        <w:rPr>
          <w:rFonts w:ascii="Times New Roman" w:eastAsia="Times New Roman" w:hAnsi="Times New Roman" w:cs="Times New Roman"/>
          <w:sz w:val="24"/>
          <w:szCs w:val="24"/>
          <w:lang w:val="en-US"/>
        </w:rPr>
        <w:br/>
        <w:t xml:space="preserve">1. A military authority or commander, or any person who acts as such, who fails to adopt the measures at his or her disposal to prevent the commission of any of the crimes in Chapters II, II </w:t>
      </w:r>
      <w:r w:rsidRPr="006155D3">
        <w:rPr>
          <w:rFonts w:ascii="Times New Roman" w:eastAsia="Times New Roman" w:hAnsi="Times New Roman" w:cs="Times New Roman"/>
          <w:i/>
          <w:iCs/>
          <w:sz w:val="24"/>
          <w:szCs w:val="24"/>
          <w:lang w:val="en-US"/>
        </w:rPr>
        <w:t>bis</w:t>
      </w:r>
      <w:r w:rsidRPr="006155D3">
        <w:rPr>
          <w:rFonts w:ascii="Times New Roman" w:eastAsia="Times New Roman" w:hAnsi="Times New Roman" w:cs="Times New Roman"/>
          <w:sz w:val="24"/>
          <w:szCs w:val="24"/>
          <w:lang w:val="en-US"/>
        </w:rPr>
        <w:t xml:space="preserve"> and III of the present title [which is entitled “Crimes against the International Community” and includes war crimes] by the forces under his or her command or effective control shall be punished with the same penalty as the perpetrators.</w:t>
      </w:r>
      <w:r w:rsidRPr="006155D3">
        <w:rPr>
          <w:rFonts w:ascii="Times New Roman" w:eastAsia="Times New Roman" w:hAnsi="Times New Roman" w:cs="Times New Roman"/>
          <w:sz w:val="24"/>
          <w:szCs w:val="24"/>
          <w:lang w:val="en-US"/>
        </w:rPr>
        <w:br/>
        <w:t xml:space="preserve">2. If the above is due to serious negligence, the penalty shall be lowered by one or two degrees. </w:t>
      </w:r>
      <w:r w:rsidRPr="006155D3">
        <w:rPr>
          <w:rFonts w:ascii="Times New Roman" w:eastAsia="Times New Roman" w:hAnsi="Times New Roman" w:cs="Times New Roman"/>
          <w:sz w:val="24"/>
          <w:szCs w:val="24"/>
          <w:lang w:val="en-US"/>
        </w:rPr>
        <w:br/>
        <w:t xml:space="preserve">3. A military authority or commander, or any person who acts as such, who fails to adopt the measures at his or her disposal in order to allow the prosecution of the crimes defined in Chapters II, II </w:t>
      </w:r>
      <w:r w:rsidRPr="006155D3">
        <w:rPr>
          <w:rFonts w:ascii="Times New Roman" w:eastAsia="Times New Roman" w:hAnsi="Times New Roman" w:cs="Times New Roman"/>
          <w:i/>
          <w:iCs/>
          <w:sz w:val="24"/>
          <w:szCs w:val="24"/>
          <w:lang w:val="en-US"/>
        </w:rPr>
        <w:t>bis</w:t>
      </w:r>
      <w:r w:rsidRPr="006155D3">
        <w:rPr>
          <w:rFonts w:ascii="Times New Roman" w:eastAsia="Times New Roman" w:hAnsi="Times New Roman" w:cs="Times New Roman"/>
          <w:sz w:val="24"/>
          <w:szCs w:val="24"/>
          <w:lang w:val="en-US"/>
        </w:rPr>
        <w:t xml:space="preserve"> and III of the present title [which is entitled “Crimes against the International Community” and includes war crimes] committed by persons under his or her command or effective control, shall be punished with the same penalty </w:t>
      </w:r>
      <w:r w:rsidRPr="006155D3">
        <w:rPr>
          <w:rFonts w:ascii="Times New Roman" w:eastAsia="Times New Roman" w:hAnsi="Times New Roman" w:cs="Times New Roman"/>
          <w:sz w:val="24"/>
          <w:szCs w:val="24"/>
          <w:lang w:val="en-US"/>
        </w:rPr>
        <w:lastRenderedPageBreak/>
        <w:t xml:space="preserve">as the perpetrators. </w:t>
      </w:r>
      <w:r w:rsidRPr="006155D3">
        <w:rPr>
          <w:rFonts w:ascii="Times New Roman" w:eastAsia="Times New Roman" w:hAnsi="Times New Roman" w:cs="Times New Roman"/>
          <w:sz w:val="24"/>
          <w:szCs w:val="24"/>
          <w:lang w:val="en-US"/>
        </w:rPr>
        <w:br/>
        <w:t xml:space="preserve">4. The superior not covered by the sub-sections above who within his or her mandate fails to adopt measures at his or her disposal to prevent the commission by his or her subordinates of any of the crimes defined in Chapter II, II </w:t>
      </w:r>
      <w:r w:rsidRPr="006155D3">
        <w:rPr>
          <w:rFonts w:ascii="Times New Roman" w:eastAsia="Times New Roman" w:hAnsi="Times New Roman" w:cs="Times New Roman"/>
          <w:i/>
          <w:iCs/>
          <w:sz w:val="24"/>
          <w:szCs w:val="24"/>
          <w:lang w:val="en-US"/>
        </w:rPr>
        <w:t>bis</w:t>
      </w:r>
      <w:r w:rsidRPr="006155D3">
        <w:rPr>
          <w:rFonts w:ascii="Times New Roman" w:eastAsia="Times New Roman" w:hAnsi="Times New Roman" w:cs="Times New Roman"/>
          <w:sz w:val="24"/>
          <w:szCs w:val="24"/>
          <w:lang w:val="en-US"/>
        </w:rPr>
        <w:t xml:space="preserve"> and III of the present title [which is entitled “Crimes against the International Community” and includes war crimes] shall be punished with the same penalty as the perpetrators. </w:t>
      </w:r>
      <w:r w:rsidRPr="006155D3">
        <w:rPr>
          <w:rFonts w:ascii="Times New Roman" w:eastAsia="Times New Roman" w:hAnsi="Times New Roman" w:cs="Times New Roman"/>
          <w:sz w:val="24"/>
          <w:szCs w:val="24"/>
          <w:lang w:val="en-US"/>
        </w:rPr>
        <w:br/>
        <w:t xml:space="preserve">5. The superior who fails to adopt the measures at his or her disposal in order to allow for the prosecution of the crimes defined in Chapters II, II </w:t>
      </w:r>
      <w:r w:rsidRPr="006155D3">
        <w:rPr>
          <w:rFonts w:ascii="Times New Roman" w:eastAsia="Times New Roman" w:hAnsi="Times New Roman" w:cs="Times New Roman"/>
          <w:i/>
          <w:iCs/>
          <w:sz w:val="24"/>
          <w:szCs w:val="24"/>
          <w:lang w:val="en-US"/>
        </w:rPr>
        <w:t>bis</w:t>
      </w:r>
      <w:r w:rsidRPr="006155D3">
        <w:rPr>
          <w:rFonts w:ascii="Times New Roman" w:eastAsia="Times New Roman" w:hAnsi="Times New Roman" w:cs="Times New Roman"/>
          <w:sz w:val="24"/>
          <w:szCs w:val="24"/>
          <w:lang w:val="en-US"/>
        </w:rPr>
        <w:t xml:space="preserve"> and III of the present title [which is entitled “Crimes against the International Community” and includes war crimes] committed by his or her subordinates shall be punished with a penalty two degrees lower than the perpetrators. </w:t>
      </w:r>
      <w:r w:rsidRPr="006155D3">
        <w:rPr>
          <w:rFonts w:ascii="Times New Roman" w:eastAsia="Times New Roman" w:hAnsi="Times New Roman" w:cs="Times New Roman"/>
          <w:sz w:val="24"/>
          <w:szCs w:val="24"/>
          <w:lang w:val="en-US"/>
        </w:rPr>
        <w:br/>
        <w:t xml:space="preserve">6. The officer or authority who, without committing any of the above and who despite his or her duties failed to promote the prosecution of any of the crimes defined in chapters II, II </w:t>
      </w:r>
      <w:r w:rsidRPr="006155D3">
        <w:rPr>
          <w:rFonts w:ascii="Times New Roman" w:eastAsia="Times New Roman" w:hAnsi="Times New Roman" w:cs="Times New Roman"/>
          <w:i/>
          <w:iCs/>
          <w:sz w:val="24"/>
          <w:szCs w:val="24"/>
          <w:lang w:val="en-US"/>
        </w:rPr>
        <w:t>bis</w:t>
      </w:r>
      <w:r w:rsidRPr="006155D3">
        <w:rPr>
          <w:rFonts w:ascii="Times New Roman" w:eastAsia="Times New Roman" w:hAnsi="Times New Roman" w:cs="Times New Roman"/>
          <w:sz w:val="24"/>
          <w:szCs w:val="24"/>
          <w:lang w:val="en-US"/>
        </w:rPr>
        <w:t xml:space="preserve"> and III of the present title [which is entitled “Crimes against the International Community” and includes war crimes] within his or her knowledge, shall be punished with two to six years’ special suspension from holding any public office or employment.</w:t>
      </w:r>
      <w:r>
        <w:rPr>
          <w:rFonts w:ascii="Times New Roman" w:eastAsia="Times New Roman" w:hAnsi="Times New Roman" w:cs="Times New Roman"/>
          <w:noProof/>
          <w:sz w:val="24"/>
          <w:szCs w:val="24"/>
        </w:rPr>
        <w:drawing>
          <wp:inline distT="0" distB="0" distL="0" distR="0">
            <wp:extent cx="151130" cy="142875"/>
            <wp:effectExtent l="19050" t="0" r="1270" b="0"/>
            <wp:docPr id="176" name="Imagen 1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Spain’s Royal Ordinances for the Armed Forces (2009) states in the article on criminal responsibility for offences against international humanitarian law:</w:t>
      </w:r>
      <w:r w:rsidRPr="006155D3">
        <w:rPr>
          <w:rFonts w:ascii="Times New Roman" w:eastAsia="Times New Roman" w:hAnsi="Times New Roman" w:cs="Times New Roman"/>
          <w:sz w:val="24"/>
          <w:szCs w:val="24"/>
          <w:lang w:val="en-US"/>
        </w:rPr>
        <w:br/>
        <w:t>[The superior] must be aware of the grave responsibility that he or she is under and [must] assume in order to avoid the commission, by [members of] the forces under his or her command or effective control, of crimes … against protected persons and objects in the context of an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77" name="Imagen 1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Sweden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Sweden’s Penal Code (1962), as amended in 1998, provides: “If a crime against international law has been committed by a member of the armed forces, his lawful superior shall also be sentenced in so far as he was able to foresee the crime but failed to perform his duty to prevent it.”</w:t>
      </w:r>
      <w:r>
        <w:rPr>
          <w:rFonts w:ascii="Times New Roman" w:eastAsia="Times New Roman" w:hAnsi="Times New Roman" w:cs="Times New Roman"/>
          <w:noProof/>
          <w:sz w:val="24"/>
          <w:szCs w:val="24"/>
        </w:rPr>
        <w:drawing>
          <wp:inline distT="0" distB="0" distL="0" distR="0">
            <wp:extent cx="151130" cy="142875"/>
            <wp:effectExtent l="19050" t="0" r="1270" b="0"/>
            <wp:docPr id="178" name="Imagen 1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Ukraine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Ukraine’s Criminal Code (2001) provides for a fine or imprisonment for the “intentional non-stopping of a crime committed by a subordinate”, as well as for the failure by a military service official, who is an investigation authority, of carrying out investigations against a subordinate for alleged crimes.</w:t>
      </w:r>
      <w:r>
        <w:rPr>
          <w:rFonts w:ascii="Times New Roman" w:eastAsia="Times New Roman" w:hAnsi="Times New Roman" w:cs="Times New Roman"/>
          <w:noProof/>
          <w:sz w:val="24"/>
          <w:szCs w:val="24"/>
        </w:rPr>
        <w:drawing>
          <wp:inline distT="0" distB="0" distL="0" distR="0">
            <wp:extent cx="151130" cy="142875"/>
            <wp:effectExtent l="19050" t="0" r="1270" b="0"/>
            <wp:docPr id="179" name="Imagen 1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Kingdom of Great Britain and Northern Ireland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UK ICC Act (2001), as amended in 2009, states: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Responsibility of commanders and other superiors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(1) This section applies in relation to—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offences under this Part [i.e. genocide, crimes against humanity and war crimes],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offences ancillary to such offences.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A military commander, or a person effectively acting as a military commander, is responsible for offences committed by forces under his effective command and control, or (as the case may be) his effective authority and control, as a result of his failure to exercise control properly over such forces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he either knew, or owing to the circumstances at the time, should have known that the forces were committing or about to commit such offences,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he failed to take all necessary and reasonable measures within his power to prevent or repress their commission or to submit the matter to the competent authorities for investigation and prosecution.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(3) With respect to superior and subordinate relationships not described in subsection (2), a superior is responsible for offences committed by subordinates under his effective </w:t>
      </w:r>
      <w:r w:rsidRPr="006155D3">
        <w:rPr>
          <w:rFonts w:ascii="Times New Roman" w:eastAsia="Times New Roman" w:hAnsi="Times New Roman" w:cs="Times New Roman"/>
          <w:sz w:val="24"/>
          <w:szCs w:val="24"/>
          <w:lang w:val="en-US"/>
        </w:rPr>
        <w:lastRenderedPageBreak/>
        <w:t>authority and control, as a result of his failure to exercise control properly over such subordinates where—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he either knew, or consciously disregarded information which clearly indicated, that the subordinates were committing or about to commit such offences,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offences concerned activities that were within his effective responsibility and control,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 he failed to take all necessary and reasonable measures within his power to prevent or repress their commission or to submit the matter to the competent authorities for investigation and prosecution.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(4) A person responsible under this section for an offence is regarded as aiding, abetting, counselling or procuring the commission of the offence.</w:t>
      </w:r>
      <w:r w:rsidRPr="006155D3">
        <w:rPr>
          <w:rFonts w:ascii="Times New Roman" w:eastAsia="Times New Roman" w:hAnsi="Times New Roman" w:cs="Times New Roman"/>
          <w:sz w:val="24"/>
          <w:szCs w:val="24"/>
          <w:lang w:val="en-US"/>
        </w:rPr>
        <w:br/>
        <w:t>(5) In interpreting and applying the provisions of this section (which corresponds to article 28 [of the 1998 ICC Statute]) the court shall take into account any relevant judgment or decision of the ICC.</w:t>
      </w:r>
      <w:r w:rsidRPr="006155D3">
        <w:rPr>
          <w:rFonts w:ascii="Times New Roman" w:eastAsia="Times New Roman" w:hAnsi="Times New Roman" w:cs="Times New Roman"/>
          <w:sz w:val="24"/>
          <w:szCs w:val="24"/>
          <w:lang w:val="en-US"/>
        </w:rPr>
        <w:br/>
        <w:t>Account may also be taken of any other relevant international jurisprudence.</w:t>
      </w:r>
      <w:r w:rsidRPr="006155D3">
        <w:rPr>
          <w:rFonts w:ascii="Times New Roman" w:eastAsia="Times New Roman" w:hAnsi="Times New Roman" w:cs="Times New Roman"/>
          <w:sz w:val="24"/>
          <w:szCs w:val="24"/>
          <w:lang w:val="en-US"/>
        </w:rPr>
        <w:br/>
        <w:t>(6) Nothing in this section shall be read as restricting or excluding—</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any liability of the commander or superior apart from this section,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liability of persons other than the commander or superior.</w:t>
      </w:r>
      <w:r>
        <w:rPr>
          <w:rFonts w:ascii="Times New Roman" w:eastAsia="Times New Roman" w:hAnsi="Times New Roman" w:cs="Times New Roman"/>
          <w:noProof/>
          <w:sz w:val="24"/>
          <w:szCs w:val="24"/>
        </w:rPr>
        <w:drawing>
          <wp:inline distT="0" distB="0" distL="0" distR="0">
            <wp:extent cx="151130" cy="142875"/>
            <wp:effectExtent l="19050" t="0" r="1270" b="0"/>
            <wp:docPr id="180" name="Imagen 1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States of America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The US Regulations Governing the Trials of Accused War Criminals in the Pacific Region I (1945), establishing provisions for the punishment of a list of more specific offences and also of “all other offences against the laws or customs of war”, provided for the punishment of “participation in a common plan or conspiracy to accomplish any of [these acts]”. It stated: </w:t>
      </w:r>
      <w:r w:rsidRPr="006155D3">
        <w:rPr>
          <w:rFonts w:ascii="Times New Roman" w:eastAsia="Times New Roman" w:hAnsi="Times New Roman" w:cs="Times New Roman"/>
          <w:sz w:val="24"/>
          <w:szCs w:val="24"/>
          <w:lang w:val="en-US"/>
        </w:rPr>
        <w:br/>
        <w:t>Leaders, organizers, instigators, accessories and accomplices participating in the formulation or execution of any such common plan or conspiracy will be held responsible for all acts performed by any person in execution of that plan or conspiracy.</w:t>
      </w:r>
      <w:r>
        <w:rPr>
          <w:rFonts w:ascii="Times New Roman" w:eastAsia="Times New Roman" w:hAnsi="Times New Roman" w:cs="Times New Roman"/>
          <w:noProof/>
          <w:sz w:val="24"/>
          <w:szCs w:val="24"/>
        </w:rPr>
        <w:drawing>
          <wp:inline distT="0" distB="0" distL="0" distR="0">
            <wp:extent cx="151130" cy="142875"/>
            <wp:effectExtent l="19050" t="0" r="1270" b="0"/>
            <wp:docPr id="181" name="Imagen 1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US Military Commissions Act (2009) amends Chapter 47A of Title 10 of the United States Code as follows: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950q. Principals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“Any person punishable under this chapter who—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commits an offense punishable by this chapter, or aids, abets, counsels, commands, or procures its commission;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causes an act to be done which if directly performed by him would be punishable by this chapter;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is a superior commander who, with regard to acts punishable by this chapter, knew, had reason to know, or should have known, that a subordinate was about to commit such acts or had done so and who failed to take the necessary and reasonable measures to prevent such acts or to punish the perpetrators thereof, is a principal.</w:t>
      </w:r>
      <w:r>
        <w:rPr>
          <w:rFonts w:ascii="Times New Roman" w:eastAsia="Times New Roman" w:hAnsi="Times New Roman" w:cs="Times New Roman"/>
          <w:noProof/>
          <w:sz w:val="24"/>
          <w:szCs w:val="24"/>
        </w:rPr>
        <w:drawing>
          <wp:inline distT="0" distB="0" distL="0" distR="0">
            <wp:extent cx="151130" cy="142875"/>
            <wp:effectExtent l="19050" t="0" r="1270" b="0"/>
            <wp:docPr id="182" name="Imagen 1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Uruguay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Uruguay’s Law on Cooperation with the ICC (2006) states: </w:t>
      </w:r>
      <w:r w:rsidRPr="006155D3">
        <w:rPr>
          <w:rFonts w:ascii="Times New Roman" w:eastAsia="Times New Roman" w:hAnsi="Times New Roman" w:cs="Times New Roman"/>
          <w:sz w:val="24"/>
          <w:szCs w:val="24"/>
          <w:lang w:val="en-US"/>
        </w:rPr>
        <w:br/>
        <w:t>The hierarchical superior, who may be a civilian or military official, irrespective of his or her official tasks or government, is criminally responsible for the crimes set out in Titles I to III of Part II of the present law [i.e. genocide, crimes against humanity and war crimes] committed by persons under his or her authority if for reasons of his or her position, task or function, he or she knew that they were participating in some form in the commission of the aforementioned crime or offences and if he or she, despite being able to do so, has not adopted all reasonable and necessary measures within his or her reach to impede, denounce or repress the commission of such crimes and offences.</w:t>
      </w:r>
      <w:r>
        <w:rPr>
          <w:rFonts w:ascii="Times New Roman" w:eastAsia="Times New Roman" w:hAnsi="Times New Roman" w:cs="Times New Roman"/>
          <w:noProof/>
          <w:sz w:val="24"/>
          <w:szCs w:val="24"/>
        </w:rPr>
        <w:drawing>
          <wp:inline distT="0" distB="0" distL="0" distR="0">
            <wp:extent cx="151130" cy="142875"/>
            <wp:effectExtent l="19050" t="0" r="1270" b="0"/>
            <wp:docPr id="183" name="Imagen 1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Yemen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Yemen’s Military Criminal Code (1998) states:</w:t>
      </w:r>
      <w:r w:rsidRPr="006155D3">
        <w:rPr>
          <w:rFonts w:ascii="Times New Roman" w:eastAsia="Times New Roman" w:hAnsi="Times New Roman" w:cs="Times New Roman"/>
          <w:sz w:val="24"/>
          <w:szCs w:val="24"/>
          <w:lang w:val="en-US"/>
        </w:rPr>
        <w:br/>
        <w:t>In the case of the commission of any of the crimes set out under this chapter [i.e. war crimes], the commander … will be held responsible for the crime and will not be released from the punishment provided for, except if the acts have been committed against [his] choice, or without [his] knowledge, or if [he] did not have the possibility to prevent them.</w:t>
      </w:r>
      <w:r>
        <w:rPr>
          <w:rFonts w:ascii="Times New Roman" w:eastAsia="Times New Roman" w:hAnsi="Times New Roman" w:cs="Times New Roman"/>
          <w:noProof/>
          <w:sz w:val="24"/>
          <w:szCs w:val="24"/>
        </w:rPr>
        <w:drawing>
          <wp:inline distT="0" distB="0" distL="0" distR="0">
            <wp:extent cx="151130" cy="142875"/>
            <wp:effectExtent l="19050" t="0" r="1270" b="0"/>
            <wp:docPr id="184" name="Imagen 1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2" w:name="_VNaCa"/>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"javascript:openUrlLight('src_VNaCa')"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V. National Case-law</w:t>
      </w:r>
      <w:r w:rsidRPr="006155D3">
        <w:rPr>
          <w:rFonts w:ascii="Times New Roman" w:eastAsia="Times New Roman" w:hAnsi="Times New Roman" w:cs="Times New Roman"/>
          <w:sz w:val="24"/>
          <w:szCs w:val="24"/>
        </w:rPr>
        <w:fldChar w:fldCharType="end"/>
      </w:r>
      <w:bookmarkEnd w:id="72"/>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Argentina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Military Junta case</w:t>
      </w:r>
      <w:r w:rsidRPr="006155D3">
        <w:rPr>
          <w:rFonts w:ascii="Times New Roman" w:eastAsia="Times New Roman" w:hAnsi="Times New Roman" w:cs="Times New Roman"/>
          <w:sz w:val="24"/>
          <w:szCs w:val="24"/>
          <w:lang w:val="en-US"/>
        </w:rPr>
        <w:t xml:space="preserve"> in 1985, Argentina’s Court of Appeal drew attention to the lack of investigations into and punishment of numerous proven acts, even though such acts had been the object of claims. Referring to the 1949 Geneva Conventions, the Court further pointed out that it was the responsibility of the commanders-in-chief of each party to ensure observance of the Conventions.</w:t>
      </w:r>
      <w:r>
        <w:rPr>
          <w:rFonts w:ascii="Times New Roman" w:eastAsia="Times New Roman" w:hAnsi="Times New Roman" w:cs="Times New Roman"/>
          <w:noProof/>
          <w:sz w:val="24"/>
          <w:szCs w:val="24"/>
        </w:rPr>
        <w:drawing>
          <wp:inline distT="0" distB="0" distL="0" distR="0">
            <wp:extent cx="151130" cy="142875"/>
            <wp:effectExtent l="19050" t="0" r="1270" b="0"/>
            <wp:docPr id="185" name="Imagen 1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2009, in the </w:t>
      </w:r>
      <w:r w:rsidRPr="006155D3">
        <w:rPr>
          <w:rFonts w:ascii="Times New Roman" w:eastAsia="Times New Roman" w:hAnsi="Times New Roman" w:cs="Times New Roman"/>
          <w:i/>
          <w:iCs/>
          <w:sz w:val="24"/>
          <w:szCs w:val="24"/>
          <w:lang w:val="en-US"/>
        </w:rPr>
        <w:t>Snedden case</w:t>
      </w:r>
      <w:r w:rsidRPr="006155D3">
        <w:rPr>
          <w:rFonts w:ascii="Times New Roman" w:eastAsia="Times New Roman" w:hAnsi="Times New Roman" w:cs="Times New Roman"/>
          <w:sz w:val="24"/>
          <w:szCs w:val="24"/>
          <w:lang w:val="en-US"/>
        </w:rPr>
        <w:t xml:space="preserve"> – an action for defamation related to an article in a national newspaper alleging that the plaintiff had committed or condoned atrocities in Bosnia-Herzegovina in 1991 – Australia’s New South Wales Supreme Court held:</w:t>
      </w:r>
      <w:r w:rsidRPr="006155D3">
        <w:rPr>
          <w:rFonts w:ascii="Times New Roman" w:eastAsia="Times New Roman" w:hAnsi="Times New Roman" w:cs="Times New Roman"/>
          <w:sz w:val="24"/>
          <w:szCs w:val="24"/>
          <w:lang w:val="en-US"/>
        </w:rPr>
        <w:br/>
        <w:t>124 … [T]here is overwhelming evidence of the commission of torture and the war crime of torture by members of the Serbian paramilitary units under the plaintiff’s command. Much of this evidence was not seriously challenged. As I have already noted, the real challenge was directed to the evidence of the plaintiff’s presence during these events and the extent to which the plaintiff can be held accountable for the actions of his men. Once the witness’ evidence of the plaintiff’s presence during the various assaults is accepted, it follows that the plaintiff condoned the commission of torture by failing to act to prevent it.</w:t>
      </w:r>
      <w:r w:rsidRPr="006155D3">
        <w:rPr>
          <w:rFonts w:ascii="Times New Roman" w:eastAsia="Times New Roman" w:hAnsi="Times New Roman" w:cs="Times New Roman"/>
          <w:sz w:val="24"/>
          <w:szCs w:val="24"/>
          <w:lang w:val="en-US"/>
        </w:rPr>
        <w:br/>
        <w:t>125 Given the tenor of the plaintiff’s evidence, it is also beyond doubt that he must be held accountable for the assaults perpetrated by his men. According to that evidence, he was in command at the Knin fortress and enjoyed a legendary status among his men. He exercised absolute authority and was kept very well informed, to the extent that “nothing could have happened there without me knowing it”. The plaintiff went so far as to say that it would be “impossible … absolutely” for anyone to have been beaten at the fortress without the plaintiff knowing. If beatings occurred then: “definitely if it happened, yes I would know of it.” In so far as the assaults committed at the hospital prison are concerned, there is no reason to doubt that the plaintiff’s authority over the guards, who wore the same uniform and the same insignia as the plaintiff, was any less than the authority he exercised at the fortress. One of the most striking features of the plaintiff’s evidence was the obvious pride he took in recounting the complete respect and adulation he enjoyed from his men and from Serbs generally.</w:t>
      </w:r>
      <w:r>
        <w:rPr>
          <w:rFonts w:ascii="Times New Roman" w:eastAsia="Times New Roman" w:hAnsi="Times New Roman" w:cs="Times New Roman"/>
          <w:noProof/>
          <w:sz w:val="24"/>
          <w:szCs w:val="24"/>
        </w:rPr>
        <w:drawing>
          <wp:inline distT="0" distB="0" distL="0" distR="0">
            <wp:extent cx="151130" cy="142875"/>
            <wp:effectExtent l="19050" t="0" r="1270" b="0"/>
            <wp:docPr id="186" name="Imagen 1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Boland case</w:t>
      </w:r>
      <w:r w:rsidRPr="006155D3">
        <w:rPr>
          <w:rFonts w:ascii="Times New Roman" w:eastAsia="Times New Roman" w:hAnsi="Times New Roman" w:cs="Times New Roman"/>
          <w:sz w:val="24"/>
          <w:szCs w:val="24"/>
          <w:lang w:val="en-US"/>
        </w:rPr>
        <w:t xml:space="preserve"> in 1995 involving the beating and killing of a Somali detainee by two Canadian soldiers, a Canadian Court Martial Appeal Court, increasing the sentence upon the accused who had been the superior of the soldiers who directly committed the acts, stated:</w:t>
      </w:r>
      <w:r w:rsidRPr="006155D3">
        <w:rPr>
          <w:rFonts w:ascii="Times New Roman" w:eastAsia="Times New Roman" w:hAnsi="Times New Roman" w:cs="Times New Roman"/>
          <w:sz w:val="24"/>
          <w:szCs w:val="24"/>
          <w:lang w:val="en-US"/>
        </w:rPr>
        <w:br/>
        <w:t xml:space="preserve">In his own examination-in-chief [the accused] confirmed on several occasions that he had been negligent. The sad but unalterable fact is that negligence led to the death of a prisoner. Even taking the view of the evidence most favorable to the respondent, the panel was bound to conclude that [the accused] had strong reason to be concerned about the conduct of [his subordinates] in respect of a helpless prisoner. Even if the panel </w:t>
      </w:r>
      <w:r w:rsidRPr="006155D3">
        <w:rPr>
          <w:rFonts w:ascii="Times New Roman" w:eastAsia="Times New Roman" w:hAnsi="Times New Roman" w:cs="Times New Roman"/>
          <w:sz w:val="24"/>
          <w:szCs w:val="24"/>
          <w:lang w:val="en-US"/>
        </w:rPr>
        <w:lastRenderedPageBreak/>
        <w:t>believed he did not see [one of the subordinates] strike the prisoner on the first occasion and even if it concluded that [the accused] disbelieved [the] statement [of one of the subordinates] that [the other subordinate] had struck the prisoner after he, [the accused], had left, [the accused] had admitted that he considered [one of the subordinates] to be a “weak” soldier who could surely not be counted on to resist the initiatives [of the other subordinate]. He admitted having seen [one of the subordinates] do life-threatening acts to the prisoner by covering his nose and pouring water on him. He had subsequently heard [one of the subordinates] speak of intending to burn the prisoners with cigarettes. He thus had good grounds for apprehension as to [the] conduct [of one of the subordinates]. There was also evidence from even some defence witnesses that [the] reputation [of one of the subordinates] was well known. Yet, it was clear that [the accused] had said at least once and probably twice in the presence of [one of the subordinates]: “I don’t care what you do, just don’t kill the guy”. He gave no proper order to [one of the subordinates] as to safeguarding the prisoner and left him unsupervised. Nor was it in dispute that it was [the accused’s] responsibility to take all reasonable steps to see that the prisoner was held in a proper manner. [The accused] failed in the duty, with grave consequences.</w:t>
      </w:r>
      <w:r w:rsidRPr="006155D3">
        <w:rPr>
          <w:rFonts w:ascii="Times New Roman" w:eastAsia="Times New Roman" w:hAnsi="Times New Roman" w:cs="Times New Roman"/>
          <w:sz w:val="24"/>
          <w:szCs w:val="24"/>
          <w:lang w:val="en-US"/>
        </w:rPr>
        <w:br/>
        <w:t>I see nothing in the instructions of the Judge Advocate, nor in the sentence, to indicate the General Court Martial had a proper regard to the fundamental public policy which underlies the duty of a senior non-commissioned officer to safeguard the person or life of a civilian who is a prisoner of Canadian Forces, particularly from apprehended brutality or torture at the hands of our own troops. That is this case … No one can dispute the difficult and sometimes hazardous circumstances under which Canadian Forces were operating in Somalia in general, nor the physical problems which [the accused] himself was experiencing at this time. Nevertheless these circumstances call for the exercise of greater rather than less discipline particularly on the part of those in command of others.</w:t>
      </w:r>
      <w:r>
        <w:rPr>
          <w:rFonts w:ascii="Times New Roman" w:eastAsia="Times New Roman" w:hAnsi="Times New Roman" w:cs="Times New Roman"/>
          <w:noProof/>
          <w:sz w:val="24"/>
          <w:szCs w:val="24"/>
        </w:rPr>
        <w:drawing>
          <wp:inline distT="0" distB="0" distL="0" distR="0">
            <wp:extent cx="151130" cy="142875"/>
            <wp:effectExtent l="19050" t="0" r="1270" b="0"/>
            <wp:docPr id="187" name="Imagen 1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Brocklebank case</w:t>
      </w:r>
      <w:r w:rsidRPr="006155D3">
        <w:rPr>
          <w:rFonts w:ascii="Times New Roman" w:eastAsia="Times New Roman" w:hAnsi="Times New Roman" w:cs="Times New Roman"/>
          <w:sz w:val="24"/>
          <w:szCs w:val="24"/>
          <w:lang w:val="en-US"/>
        </w:rPr>
        <w:t xml:space="preserve"> before the Canadian Court Martial Appeal Court in 1996, involving the question of the criminal responsibility of a Canadian soldier serving on a peacekeeping mission in Somalia for having negligently performed a military duty, the majority of the Court of Appeal stated:</w:t>
      </w:r>
      <w:r w:rsidRPr="006155D3">
        <w:rPr>
          <w:rFonts w:ascii="Times New Roman" w:eastAsia="Times New Roman" w:hAnsi="Times New Roman" w:cs="Times New Roman"/>
          <w:sz w:val="24"/>
          <w:szCs w:val="24"/>
          <w:lang w:val="en-US"/>
        </w:rPr>
        <w:br/>
        <w:t>The standard of care applicable to the charge of negligent performance of a military duty is that of the conduct expected of the reasonable person of the rank and in all the circumstances of the accused at the time and place the alleged offence occurred. In the context of a military operation, the standard of care will vary considerably in relation to the degree of responsibility exerci sed by the accused, the nature and purpose of the operation, and the exigencies of a particular situation. An emergency, or the heightened state of apprehension or urgency caused by the threats to the security of Canadian Armed Forces personnel or their material might mandate a more flexible standard than that expected in relatively non-threatening scenarios. Furthermore, in the military context, where discipline is the linchpin of the hierarchical command structure and insubordination attracts the harshest censure, a soldier cannot be held to the same exacting standard of care as a senior officer when faced with a situation where the discharge of his duty might bring him into direct conflict with the authority of a senior officer.</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xml:space="preserve">I agree with the prosecution … that Canadian soldiers should conduct themselves when engaged in operations abroad in an accountable manner consistent with Canada’s international obligations, the rule of law and simply humanity. There was evidence in this case to suggest that the respondent could readily have reported the misdeeds of his </w:t>
      </w:r>
      <w:r w:rsidRPr="006155D3">
        <w:rPr>
          <w:rFonts w:ascii="Times New Roman" w:eastAsia="Times New Roman" w:hAnsi="Times New Roman" w:cs="Times New Roman"/>
          <w:sz w:val="24"/>
          <w:szCs w:val="24"/>
          <w:lang w:val="en-US"/>
        </w:rPr>
        <w:lastRenderedPageBreak/>
        <w:t>comrades. However, absent specific wording in the relevant international conventions and more specifically, the [</w:t>
      </w:r>
      <w:r w:rsidRPr="006155D3">
        <w:rPr>
          <w:rFonts w:ascii="Times New Roman" w:eastAsia="Times New Roman" w:hAnsi="Times New Roman" w:cs="Times New Roman"/>
          <w:i/>
          <w:iCs/>
          <w:sz w:val="24"/>
          <w:szCs w:val="24"/>
          <w:lang w:val="en-US"/>
        </w:rPr>
        <w:t>Unit Guide (1990)</w:t>
      </w:r>
      <w:r w:rsidRPr="006155D3">
        <w:rPr>
          <w:rFonts w:ascii="Times New Roman" w:eastAsia="Times New Roman" w:hAnsi="Times New Roman" w:cs="Times New Roman"/>
          <w:sz w:val="24"/>
          <w:szCs w:val="24"/>
          <w:lang w:val="en-US"/>
        </w:rPr>
        <w:t>], I simply cannot conclude that a member of the Canadian Forces has a penally enforceable obligation to intervene whenever he witnesses mistreatment of a prisoner who is not in his custody.</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In closing, I would remark that … it remains open to the chief of defence staff to define in more explicit terms the standards of conduct expected of soldiers in respect of prisoners who are in Canadian Forces custody. It is open to the chief of defence staff to … impose a military duty on Canadian Forces members either to report or take reasonable steps to prevent or arrest the abuse of prisoners not in their charge … This might prove a useful undertaking.</w:t>
      </w:r>
      <w:r>
        <w:rPr>
          <w:rFonts w:ascii="Times New Roman" w:eastAsia="Times New Roman" w:hAnsi="Times New Roman" w:cs="Times New Roman"/>
          <w:noProof/>
          <w:sz w:val="24"/>
          <w:szCs w:val="24"/>
        </w:rPr>
        <w:drawing>
          <wp:inline distT="0" distB="0" distL="0" distR="0">
            <wp:extent cx="151130" cy="142875"/>
            <wp:effectExtent l="19050" t="0" r="1270" b="0"/>
            <wp:docPr id="188" name="Imagen 1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Chile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its judgment in the </w:t>
      </w:r>
      <w:r w:rsidRPr="006155D3">
        <w:rPr>
          <w:rFonts w:ascii="Times New Roman" w:eastAsia="Times New Roman" w:hAnsi="Times New Roman" w:cs="Times New Roman"/>
          <w:i/>
          <w:iCs/>
          <w:sz w:val="24"/>
          <w:szCs w:val="24"/>
          <w:lang w:val="en-US"/>
        </w:rPr>
        <w:t>Episode of San Javier case</w:t>
      </w:r>
      <w:r w:rsidRPr="006155D3">
        <w:rPr>
          <w:rFonts w:ascii="Times New Roman" w:eastAsia="Times New Roman" w:hAnsi="Times New Roman" w:cs="Times New Roman"/>
          <w:sz w:val="24"/>
          <w:szCs w:val="24"/>
          <w:lang w:val="en-US"/>
        </w:rPr>
        <w:t xml:space="preserve"> in 2006, Chile’s Court of Appeals of Santiago stated: </w:t>
      </w:r>
      <w:r w:rsidRPr="006155D3">
        <w:rPr>
          <w:rFonts w:ascii="Times New Roman" w:eastAsia="Times New Roman" w:hAnsi="Times New Roman" w:cs="Times New Roman"/>
          <w:sz w:val="24"/>
          <w:szCs w:val="24"/>
          <w:lang w:val="en-US"/>
        </w:rPr>
        <w:br/>
        <w:t>According to Article 456 of the Criminal Procedure Code, nobody may be found guilty of a crime or simple delict unless the tribunal which is hearing the case is convinced, based on lawful evidence, not only that a punishable act has in fact been committed, but also that the accused has participated in this act in a way that gives rise to criminal responsibility and that is punished by the law.</w:t>
      </w:r>
      <w:r>
        <w:rPr>
          <w:rFonts w:ascii="Times New Roman" w:eastAsia="Times New Roman" w:hAnsi="Times New Roman" w:cs="Times New Roman"/>
          <w:noProof/>
          <w:sz w:val="24"/>
          <w:szCs w:val="24"/>
        </w:rPr>
        <w:drawing>
          <wp:inline distT="0" distB="0" distL="0" distR="0">
            <wp:extent cx="151130" cy="142875"/>
            <wp:effectExtent l="19050" t="0" r="1270" b="0"/>
            <wp:docPr id="189" name="Imagen 1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The State Attorney submits that the appealed Judgment suffers from general contradiction which, in his view, is reflected in that the first-instance court retained blanket norms from Articles 86 and 87 of the [1977] Additional Protocol I to the Geneva Conventions in the factual description of the offense, whereby it accepted the concept of responsibility based on the principles of command responsibility, which, apart from suppressive and repressive components, includes an extremely important preventive component of command responsibility requiring commanders to prevent potential crimes by their subordinates, which was the Prosecution’s intention. However, in the practical application of this modality to the established state of facts and in the Reasoning of its Judgment, the first-instance court acted, in the Prosecution’s view, inconsistently because it considered the acts of the Accused as those of mere omission equating them with commission, and thereby treating them as a form of “incomplete command responsibility” that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does not include an extremely important, from the Prosecution’s point of view, preventive component of command responsibility. The Prosecution submits that by the virtue of their retention in the factual description of the offense, provisions of Articles 86 and 87 of the Additional Protocol I have become an integral part of the legal norm contained in Article 120(1) as read with Article 28 of the BCCRC [Basic Criminal Code of the Republic of Croatia], which is why all criminal conduct by the field units subordinated to the accused should have been subsumed under this norm as a consequence of the failure of the accused, or their omission, to act preventively, suppressively or repressively in relation to their subordinates, which the court of the first instance failed to do. This, in the State Attorney’s view, resulted in the contradiction between the Enacting Clause of the appealed Judgment and its Reasoning. The Prosecution further submits that the first-instance court failed to give valid reasons as to why it favored “incomplete command responsibility”, upon which it relied in the Reasoning of its Judgment, over a comprehensive command responsibility with all its preventive, suppressive and repressive elements.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Democratic Republic of the Congo</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August 2006, in the </w:t>
      </w:r>
      <w:r w:rsidRPr="006155D3">
        <w:rPr>
          <w:rFonts w:ascii="Times New Roman" w:eastAsia="Times New Roman" w:hAnsi="Times New Roman" w:cs="Times New Roman"/>
          <w:i/>
          <w:iCs/>
          <w:sz w:val="24"/>
          <w:szCs w:val="24"/>
          <w:lang w:val="en-US"/>
        </w:rPr>
        <w:t>Kahwa Panga Mandro case</w:t>
      </w:r>
      <w:r w:rsidRPr="006155D3">
        <w:rPr>
          <w:rFonts w:ascii="Times New Roman" w:eastAsia="Times New Roman" w:hAnsi="Times New Roman" w:cs="Times New Roman"/>
          <w:sz w:val="24"/>
          <w:szCs w:val="24"/>
          <w:lang w:val="en-US"/>
        </w:rPr>
        <w:t>, the Military Garrison Court of Ituri at Bunia held: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c.) On the war crime by attack against protected objects according to Articles 8.2)b)ix) </w:t>
      </w:r>
      <w:r w:rsidRPr="006155D3">
        <w:rPr>
          <w:rFonts w:ascii="Times New Roman" w:eastAsia="Times New Roman" w:hAnsi="Times New Roman" w:cs="Times New Roman"/>
          <w:i/>
          <w:iCs/>
          <w:sz w:val="24"/>
          <w:szCs w:val="24"/>
          <w:lang w:val="en-US"/>
        </w:rPr>
        <w:lastRenderedPageBreak/>
        <w:t>and 77 of the Rome Statute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Whereas for its realization, that charge requires the following elements: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That the perpetrator directed an attack;</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Whereas in the present case it has been proven through the testimony of the victims that the troops of the chief Kahwa attacked Zumbe on his order, while he was the chief of the Hema militia called “Chui mobil force” …;</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2) That the object of the attack was one or more buildings dedicated to religion, education, art, science or charitable purposes, historic monuments, hospitals or places where the sick and wounded are collected, which were not military objectives.</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3) That the perpetrator intended such buildings dedicated to religion, education, art, science or charitable purposes, historic monuments, hospitals or places where the sick and wounded are collected, which were not military objectives, to be the object of the attack;</w:t>
      </w:r>
      <w:r w:rsidRPr="006155D3">
        <w:rPr>
          <w:rFonts w:ascii="Times New Roman" w:eastAsia="Times New Roman" w:hAnsi="Times New Roman" w:cs="Times New Roman"/>
          <w:sz w:val="24"/>
          <w:szCs w:val="24"/>
          <w:lang w:val="en-US"/>
        </w:rPr>
        <w:br/>
        <w:t>Whereas in the present case, when attacking all these objects, Kahwa’s men knew that these objects were not military objects; whereas from this follows the mental element; whereas, in fact, there was no military target for pretending that they attacked that building because it was occupied by armed men;</w:t>
      </w:r>
      <w:r w:rsidRPr="006155D3">
        <w:rPr>
          <w:rFonts w:ascii="Times New Roman" w:eastAsia="Times New Roman" w:hAnsi="Times New Roman" w:cs="Times New Roman"/>
          <w:sz w:val="24"/>
          <w:szCs w:val="24"/>
          <w:lang w:val="en-US"/>
        </w:rPr>
        <w:br/>
        <w:t>4) The conduct took place in the context of and was associated with an armed conflict not of an international character [compare ICC Elements of Crimes, Article 8(2)(e)(iv) ICC Statute],</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5) That the perpetrator was aware of factual circumstances that established the existence of an armed conflict.</w:t>
      </w:r>
      <w:r w:rsidRPr="006155D3">
        <w:rPr>
          <w:rFonts w:ascii="Times New Roman" w:eastAsia="Times New Roman" w:hAnsi="Times New Roman" w:cs="Times New Roman"/>
          <w:sz w:val="24"/>
          <w:szCs w:val="24"/>
          <w:lang w:val="en-US"/>
        </w:rPr>
        <w:br/>
        <w:t>Whereas, in fact, the defendant Kahwa was aware of the existence of these conflicts …</w:t>
      </w:r>
      <w:r w:rsidRPr="006155D3">
        <w:rPr>
          <w:rFonts w:ascii="Times New Roman" w:eastAsia="Times New Roman" w:hAnsi="Times New Roman" w:cs="Times New Roman"/>
          <w:sz w:val="24"/>
          <w:szCs w:val="24"/>
          <w:lang w:val="en-US"/>
        </w:rPr>
        <w:br/>
        <w:t>Whereas it has been proven that Kahwa in his [passive] attitude had to tolerate the violations committed by his men during the attack of 15 to 16 October 2002; whereas his troops, in fact, operated in the territory controlled by him in his capacity as chief of the community, acts he cannot pretend not having been aware of;</w:t>
      </w:r>
      <w:r w:rsidRPr="006155D3">
        <w:rPr>
          <w:rFonts w:ascii="Times New Roman" w:eastAsia="Times New Roman" w:hAnsi="Times New Roman" w:cs="Times New Roman"/>
          <w:sz w:val="24"/>
          <w:szCs w:val="24"/>
          <w:lang w:val="en-US"/>
        </w:rPr>
        <w:br/>
        <w:t>Whereas, in consequence, his responsibility on the basis of Articles 85 to 87 of the Geneva Additional Protocol and Article 28 of the Rome Statute on the responsibility of superiors, which provides as follows, [is established]: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“Their (command) responsibility is only engaged if they failed to take all necessary and reasonable measures within their power to prevent or repress their commission or to submit the matter to the competent authorities for investigation and prosecution.”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Whereas Articles 85–87 of Additional Protocol I provide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“any commander who is aware that subordinates are going to commit or have committed a violation must: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Whereas, in fact, the commander shares the responsibility with the perpetrator of the act;</w:t>
      </w:r>
      <w:r w:rsidRPr="006155D3">
        <w:rPr>
          <w:rFonts w:ascii="Times New Roman" w:eastAsia="Times New Roman" w:hAnsi="Times New Roman" w:cs="Times New Roman"/>
          <w:sz w:val="24"/>
          <w:szCs w:val="24"/>
          <w:lang w:val="en-US"/>
        </w:rPr>
        <w:br/>
        <w:t>Whereas Article 29 of the [1998 Statute of the] International Criminal Court speaks of the responsibility of the superior (military commander or civilian superior) in the following cases: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“the military commander either knew or, owing to the circumstances at the time, should have known that the forces were committing or about to commit such crimes”;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“the superior either knew, or consciously disregarded information which clearly indicated, that the subordinates were committing or about to commit such crimes and these crimes concerned activities that were within the effective responsibility and control of the superior”;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Whereas, in the present case, Kahwa, in his capacity as chief of the Hema militia and leader of the Bahema Banyuagi community, while attacking the Lendu did nothing to hinder these dramas; whereas his silence thus constitutes approval or a tacit order.</w:t>
      </w:r>
      <w:r>
        <w:rPr>
          <w:rFonts w:ascii="Times New Roman" w:eastAsia="Times New Roman" w:hAnsi="Times New Roman" w:cs="Times New Roman"/>
          <w:noProof/>
          <w:sz w:val="24"/>
          <w:szCs w:val="24"/>
        </w:rPr>
        <w:drawing>
          <wp:inline distT="0" distB="0" distL="0" distR="0">
            <wp:extent cx="151130" cy="142875"/>
            <wp:effectExtent l="19050" t="0" r="1270" b="0"/>
            <wp:docPr id="190" name="Imagen 1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November 2006, in the </w:t>
      </w:r>
      <w:r w:rsidRPr="006155D3">
        <w:rPr>
          <w:rFonts w:ascii="Times New Roman" w:eastAsia="Times New Roman" w:hAnsi="Times New Roman" w:cs="Times New Roman"/>
          <w:i/>
          <w:iCs/>
          <w:sz w:val="24"/>
          <w:szCs w:val="24"/>
          <w:lang w:val="en-US"/>
        </w:rPr>
        <w:t>Bongi Massaba case</w:t>
      </w:r>
      <w:r w:rsidRPr="006155D3">
        <w:rPr>
          <w:rFonts w:ascii="Times New Roman" w:eastAsia="Times New Roman" w:hAnsi="Times New Roman" w:cs="Times New Roman"/>
          <w:sz w:val="24"/>
          <w:szCs w:val="24"/>
          <w:lang w:val="en-US"/>
        </w:rPr>
        <w:t>, a case against a captain of the armed forces of the Democratic Republic of the Congo, the Military Court of the Eastern Province held: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Criminal responsibility of military commanders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Whereas, independent of the hypothesis of criminal participation, in the area of criminal repression the responsibility of the perpetrator of a punishable act remains, in principle, individual;</w:t>
      </w:r>
      <w:r w:rsidRPr="006155D3">
        <w:rPr>
          <w:rFonts w:ascii="Times New Roman" w:eastAsia="Times New Roman" w:hAnsi="Times New Roman" w:cs="Times New Roman"/>
          <w:sz w:val="24"/>
          <w:szCs w:val="24"/>
          <w:lang w:val="en-US"/>
        </w:rPr>
        <w:br/>
        <w:t>Whereas, however, this principle is under attack in international criminal law, where the guilt of a superior in the hierarchy for reprehensible acts of their subordinates can be upheld;</w:t>
      </w:r>
      <w:r w:rsidRPr="006155D3">
        <w:rPr>
          <w:rFonts w:ascii="Times New Roman" w:eastAsia="Times New Roman" w:hAnsi="Times New Roman" w:cs="Times New Roman"/>
          <w:sz w:val="24"/>
          <w:szCs w:val="24"/>
          <w:lang w:val="en-US"/>
        </w:rPr>
        <w:br/>
        <w:t>Whereas jurisprudence has set out three conditions which establish that borrowed criminal responsibility (</w:t>
      </w:r>
      <w:r w:rsidRPr="006155D3">
        <w:rPr>
          <w:rFonts w:ascii="Times New Roman" w:eastAsia="Times New Roman" w:hAnsi="Times New Roman" w:cs="Times New Roman"/>
          <w:i/>
          <w:iCs/>
          <w:sz w:val="24"/>
          <w:szCs w:val="24"/>
          <w:lang w:val="en-US"/>
        </w:rPr>
        <w:t>Bagalishema case</w:t>
      </w:r>
      <w:r w:rsidRPr="006155D3">
        <w:rPr>
          <w:rFonts w:ascii="Times New Roman" w:eastAsia="Times New Roman" w:hAnsi="Times New Roman" w:cs="Times New Roman"/>
          <w:sz w:val="24"/>
          <w:szCs w:val="24"/>
          <w:lang w:val="en-US"/>
        </w:rPr>
        <w:t>, ICTR, Trial Chamber, 7 June 2001);</w:t>
      </w:r>
      <w:r w:rsidRPr="006155D3">
        <w:rPr>
          <w:rFonts w:ascii="Times New Roman" w:eastAsia="Times New Roman" w:hAnsi="Times New Roman" w:cs="Times New Roman"/>
          <w:sz w:val="24"/>
          <w:szCs w:val="24"/>
          <w:lang w:val="en-US"/>
        </w:rPr>
        <w:br/>
        <w:t>… A link of subordination placing the perpetrator of the crime under the effective control of the accused;</w:t>
      </w:r>
      <w:r w:rsidRPr="006155D3">
        <w:rPr>
          <w:rFonts w:ascii="Times New Roman" w:eastAsia="Times New Roman" w:hAnsi="Times New Roman" w:cs="Times New Roman"/>
          <w:sz w:val="24"/>
          <w:szCs w:val="24"/>
          <w:lang w:val="en-US"/>
        </w:rPr>
        <w:br/>
        <w:t>It follows from the examination of the case that the fact that the defendant Blaise Bongi Massaba included his own bodyguard in the patrol platoon led by second lieutenant Kabesa and guided by his informers in the village of Tchekele sufficiently establishes the subordination required for establishing the violation;</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Whereas the defendant Blaise Bongi Massaba has a functional pre-eminence, i.e. the material capacity to prevent and punish violations of humanitarian law; (in this sense, ICTY</w:t>
      </w:r>
      <w:r w:rsidRPr="006155D3">
        <w:rPr>
          <w:rFonts w:ascii="Times New Roman" w:eastAsia="Times New Roman" w:hAnsi="Times New Roman" w:cs="Times New Roman"/>
          <w:i/>
          <w:iCs/>
          <w:sz w:val="24"/>
          <w:szCs w:val="24"/>
          <w:lang w:val="en-US"/>
        </w:rPr>
        <w:t>, Mucić et al. case</w:t>
      </w:r>
      <w:r w:rsidRPr="006155D3">
        <w:rPr>
          <w:rFonts w:ascii="Times New Roman" w:eastAsia="Times New Roman" w:hAnsi="Times New Roman" w:cs="Times New Roman"/>
          <w:sz w:val="24"/>
          <w:szCs w:val="24"/>
          <w:lang w:val="en-US"/>
        </w:rPr>
        <w:t xml:space="preserve">, cited by the ICTR in the </w:t>
      </w:r>
      <w:r w:rsidRPr="006155D3">
        <w:rPr>
          <w:rFonts w:ascii="Times New Roman" w:eastAsia="Times New Roman" w:hAnsi="Times New Roman" w:cs="Times New Roman"/>
          <w:i/>
          <w:iCs/>
          <w:sz w:val="24"/>
          <w:szCs w:val="24"/>
          <w:lang w:val="en-US"/>
        </w:rPr>
        <w:t>Kayishema and Ruzindana case</w:t>
      </w:r>
      <w:r w:rsidRPr="006155D3">
        <w:rPr>
          <w:rFonts w:ascii="Times New Roman" w:eastAsia="Times New Roman" w:hAnsi="Times New Roman" w:cs="Times New Roman"/>
          <w:sz w:val="24"/>
          <w:szCs w:val="24"/>
          <w:lang w:val="en-US"/>
        </w:rPr>
        <w:t>, Trial Chamber, 15 May 2003);</w:t>
      </w:r>
      <w:r w:rsidRPr="006155D3">
        <w:rPr>
          <w:rFonts w:ascii="Times New Roman" w:eastAsia="Times New Roman" w:hAnsi="Times New Roman" w:cs="Times New Roman"/>
          <w:sz w:val="24"/>
          <w:szCs w:val="24"/>
          <w:lang w:val="en-US"/>
        </w:rPr>
        <w:br/>
        <w:t>Whereas the defendant Blaise Bongo Massaba, when the pillaged objects where brought in, instead of punishing the pillagers, on the contrary appropriated the objects by declaring to his wife and even in his complaint that they were war booty;</w:t>
      </w:r>
      <w:r w:rsidRPr="006155D3">
        <w:rPr>
          <w:rFonts w:ascii="Times New Roman" w:eastAsia="Times New Roman" w:hAnsi="Times New Roman" w:cs="Times New Roman"/>
          <w:sz w:val="24"/>
          <w:szCs w:val="24"/>
          <w:lang w:val="en-US"/>
        </w:rPr>
        <w:br/>
        <w:t>Whereas the defendant Blaise Bongi Massaba had reason not only to know but, above all, to make sure, that his soldiers went and, then, pillaged the locality of Tchekele;</w:t>
      </w:r>
      <w:r w:rsidRPr="006155D3">
        <w:rPr>
          <w:rFonts w:ascii="Times New Roman" w:eastAsia="Times New Roman" w:hAnsi="Times New Roman" w:cs="Times New Roman"/>
          <w:sz w:val="24"/>
          <w:szCs w:val="24"/>
          <w:lang w:val="en-US"/>
        </w:rPr>
        <w:br/>
        <w:t>Whereas the defendant Blaise Bongi Massaba failed to take all necessary or reasonable measures to prevent the said act from being committed;</w:t>
      </w:r>
      <w:r w:rsidRPr="006155D3">
        <w:rPr>
          <w:rFonts w:ascii="Times New Roman" w:eastAsia="Times New Roman" w:hAnsi="Times New Roman" w:cs="Times New Roman"/>
          <w:sz w:val="24"/>
          <w:szCs w:val="24"/>
          <w:lang w:val="en-US"/>
        </w:rPr>
        <w:br/>
        <w:t>Whereas the defendant Blaise Bongi Massaba failed to punish the original perpetrators;</w:t>
      </w:r>
      <w:r w:rsidRPr="006155D3">
        <w:rPr>
          <w:rFonts w:ascii="Times New Roman" w:eastAsia="Times New Roman" w:hAnsi="Times New Roman" w:cs="Times New Roman"/>
          <w:sz w:val="24"/>
          <w:szCs w:val="24"/>
          <w:lang w:val="en-US"/>
        </w:rPr>
        <w:br/>
        <w:t>Whereas, therefore, the defendant Blaise Bongi Massa must share the responsibility with his soldiers, perpetrators of these pillages;</w:t>
      </w:r>
      <w:r w:rsidRPr="006155D3">
        <w:rPr>
          <w:rFonts w:ascii="Times New Roman" w:eastAsia="Times New Roman" w:hAnsi="Times New Roman" w:cs="Times New Roman"/>
          <w:sz w:val="24"/>
          <w:szCs w:val="24"/>
          <w:lang w:val="en-US"/>
        </w:rPr>
        <w:br/>
        <w:t>Whereas article 28 of the Rome Treaty confirms that principle of co-responsibility in the following hypotheses: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defendant Blaise Bongo Massaba knew well that his troops would commit pillage, which is why his bodyguard Valaka and his informant had to be part of that patrol to make sure that the pillaged objects were brought;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Whereas, furthermore, he himself organized that pillage by taking into account information received from the [informant] from Tchekele, who had to take the members of the patrol to addresses already identified;</w:t>
      </w:r>
      <w:r w:rsidRPr="006155D3">
        <w:rPr>
          <w:rFonts w:ascii="Times New Roman" w:eastAsia="Times New Roman" w:hAnsi="Times New Roman" w:cs="Times New Roman"/>
          <w:sz w:val="24"/>
          <w:szCs w:val="24"/>
          <w:lang w:val="en-US"/>
        </w:rPr>
        <w:br/>
        <w:t>Whereas his co-responsibility, i.e. as co-perpetrator of the pillage in Tchekele, is therefore established.</w:t>
      </w:r>
      <w:r>
        <w:rPr>
          <w:rFonts w:ascii="Times New Roman" w:eastAsia="Times New Roman" w:hAnsi="Times New Roman" w:cs="Times New Roman"/>
          <w:noProof/>
          <w:sz w:val="24"/>
          <w:szCs w:val="24"/>
        </w:rPr>
        <w:drawing>
          <wp:inline distT="0" distB="0" distL="0" distR="0">
            <wp:extent cx="151130" cy="142875"/>
            <wp:effectExtent l="19050" t="0" r="1270" b="0"/>
            <wp:docPr id="191" name="Imagen 1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Ethiopia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Mengistu and Others case</w:t>
      </w:r>
      <w:r w:rsidRPr="006155D3">
        <w:rPr>
          <w:rFonts w:ascii="Times New Roman" w:eastAsia="Times New Roman" w:hAnsi="Times New Roman" w:cs="Times New Roman"/>
          <w:sz w:val="24"/>
          <w:szCs w:val="24"/>
          <w:lang w:val="en-US"/>
        </w:rPr>
        <w:t xml:space="preserve"> in 1995 concerning the prosecution and trial of Colonel Mengistu Haile Mariam and former members of the Derg for allegedly committing crimes against humanity and war crimes during the former regime between </w:t>
      </w:r>
      <w:r w:rsidRPr="006155D3">
        <w:rPr>
          <w:rFonts w:ascii="Times New Roman" w:eastAsia="Times New Roman" w:hAnsi="Times New Roman" w:cs="Times New Roman"/>
          <w:sz w:val="24"/>
          <w:szCs w:val="24"/>
          <w:lang w:val="en-US"/>
        </w:rPr>
        <w:lastRenderedPageBreak/>
        <w:t>1974 and 1991, the Special Prosecutor of Ethiopia, in a reply to the objection filed by counsels for the defendants, referred,</w:t>
      </w:r>
      <w:r w:rsidRPr="006155D3">
        <w:rPr>
          <w:rFonts w:ascii="Times New Roman" w:eastAsia="Times New Roman" w:hAnsi="Times New Roman" w:cs="Times New Roman"/>
          <w:i/>
          <w:iCs/>
          <w:sz w:val="24"/>
          <w:szCs w:val="24"/>
          <w:lang w:val="en-US"/>
        </w:rPr>
        <w:t xml:space="preserve"> inter alia</w:t>
      </w:r>
      <w:r w:rsidRPr="006155D3">
        <w:rPr>
          <w:rFonts w:ascii="Times New Roman" w:eastAsia="Times New Roman" w:hAnsi="Times New Roman" w:cs="Times New Roman"/>
          <w:sz w:val="24"/>
          <w:szCs w:val="24"/>
          <w:lang w:val="en-US"/>
        </w:rPr>
        <w:t>, to the 1919 Treaty of Versailles, to the 1945 IMT Charter (Nuremberg) and Nuremberg trials and to the 1993 ICTY Statute. He stated:</w:t>
      </w:r>
      <w:r w:rsidRPr="006155D3">
        <w:rPr>
          <w:rFonts w:ascii="Times New Roman" w:eastAsia="Times New Roman" w:hAnsi="Times New Roman" w:cs="Times New Roman"/>
          <w:sz w:val="24"/>
          <w:szCs w:val="24"/>
          <w:lang w:val="en-US"/>
        </w:rPr>
        <w:br/>
        <w:t>Heads of State and other higher responsible government officials in any form of government are all required and obliged to know international crimes thereunder. They are also obliged to prevent the commission of these acts [i.e. of international crimes] and to ensure the observance of the international norms.</w:t>
      </w:r>
      <w:r>
        <w:rPr>
          <w:rFonts w:ascii="Times New Roman" w:eastAsia="Times New Roman" w:hAnsi="Times New Roman" w:cs="Times New Roman"/>
          <w:noProof/>
          <w:sz w:val="24"/>
          <w:szCs w:val="24"/>
        </w:rPr>
        <w:drawing>
          <wp:inline distT="0" distB="0" distL="0" distR="0">
            <wp:extent cx="151130" cy="142875"/>
            <wp:effectExtent l="19050" t="0" r="1270" b="0"/>
            <wp:docPr id="192" name="Imagen 1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Germany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its judgment in the </w:t>
      </w:r>
      <w:r w:rsidRPr="006155D3">
        <w:rPr>
          <w:rFonts w:ascii="Times New Roman" w:eastAsia="Times New Roman" w:hAnsi="Times New Roman" w:cs="Times New Roman"/>
          <w:i/>
          <w:iCs/>
          <w:sz w:val="24"/>
          <w:szCs w:val="24"/>
          <w:lang w:val="en-US"/>
        </w:rPr>
        <w:t>Superior Orders case</w:t>
      </w:r>
      <w:r w:rsidRPr="006155D3">
        <w:rPr>
          <w:rFonts w:ascii="Times New Roman" w:eastAsia="Times New Roman" w:hAnsi="Times New Roman" w:cs="Times New Roman"/>
          <w:sz w:val="24"/>
          <w:szCs w:val="24"/>
          <w:lang w:val="en-US"/>
        </w:rPr>
        <w:t xml:space="preserve"> in 1953, Germany’s Federal Court of Justice held that the superior giving an illegal order would be primarily responsible for it.</w:t>
      </w:r>
      <w:r>
        <w:rPr>
          <w:rFonts w:ascii="Times New Roman" w:eastAsia="Times New Roman" w:hAnsi="Times New Roman" w:cs="Times New Roman"/>
          <w:noProof/>
          <w:sz w:val="24"/>
          <w:szCs w:val="24"/>
        </w:rPr>
        <w:drawing>
          <wp:inline distT="0" distB="0" distL="0" distR="0">
            <wp:extent cx="151130" cy="142875"/>
            <wp:effectExtent l="19050" t="0" r="1270" b="0"/>
            <wp:docPr id="193" name="Imagen 1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2010, in the </w:t>
      </w:r>
      <w:r w:rsidRPr="006155D3">
        <w:rPr>
          <w:rFonts w:ascii="Times New Roman" w:eastAsia="Times New Roman" w:hAnsi="Times New Roman" w:cs="Times New Roman"/>
          <w:i/>
          <w:iCs/>
          <w:sz w:val="24"/>
          <w:szCs w:val="24"/>
          <w:lang w:val="en-US"/>
        </w:rPr>
        <w:t>DRC case</w:t>
      </w:r>
      <w:r w:rsidRPr="006155D3">
        <w:rPr>
          <w:rFonts w:ascii="Times New Roman" w:eastAsia="Times New Roman" w:hAnsi="Times New Roman" w:cs="Times New Roman"/>
          <w:sz w:val="24"/>
          <w:szCs w:val="24"/>
          <w:lang w:val="en-US"/>
        </w:rPr>
        <w:t xml:space="preserve">, Germany’s Federal Court of Justice decided to remand in pre-trial custody a national of the Democratic Republic of the Congo (DRC) who had been living in Germany. The court summarized the facts of the case as follows: </w:t>
      </w:r>
      <w:r w:rsidRPr="006155D3">
        <w:rPr>
          <w:rFonts w:ascii="Times New Roman" w:eastAsia="Times New Roman" w:hAnsi="Times New Roman" w:cs="Times New Roman"/>
          <w:sz w:val="24"/>
          <w:szCs w:val="24"/>
          <w:lang w:val="en-US"/>
        </w:rPr>
        <w:br/>
        <w:t>The subject of the arrest warrant is the allegation that as the president of the paramilitary militia organisation “Forces Démocratiques de Libération du Rwanda” [Democratic Forces for the Liberation of Rwanda] (hereafter FDLR), which is operating in the provinces North Kivu and South Kivu of the Democratic Republic of [the] Congo … , the accused is criminally liable because he is responsible as superior for crimes against humanity and war crimes and as the ringleader of a terrorist group abroad.</w:t>
      </w:r>
      <w:r>
        <w:rPr>
          <w:rFonts w:ascii="Times New Roman" w:eastAsia="Times New Roman" w:hAnsi="Times New Roman" w:cs="Times New Roman"/>
          <w:noProof/>
          <w:sz w:val="24"/>
          <w:szCs w:val="24"/>
        </w:rPr>
        <w:drawing>
          <wp:inline distT="0" distB="0" distL="0" distR="0">
            <wp:extent cx="151130" cy="142875"/>
            <wp:effectExtent l="19050" t="0" r="1270" b="0"/>
            <wp:docPr id="194" name="Imagen 1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There is the strong suspicion that the members of the FDLR operating in the DRC have committed crimes against humanity under § 7 para. 1 numbers 1 and 6 VStGB [Germany’s International Crimes Code], war crimes against persons under § 8 para. 1 numbers 1, 3, 4 and 5 VStGB and war crimes against property and other rights under § 9 para. 1 VStGB, for which the accused is criminally liable as superior under § 4 VStGB.</w:t>
      </w:r>
      <w:r>
        <w:rPr>
          <w:rFonts w:ascii="Times New Roman" w:eastAsia="Times New Roman" w:hAnsi="Times New Roman" w:cs="Times New Roman"/>
          <w:noProof/>
          <w:sz w:val="24"/>
          <w:szCs w:val="24"/>
        </w:rPr>
        <w:drawing>
          <wp:inline distT="0" distB="0" distL="0" distR="0">
            <wp:extent cx="151130" cy="142875"/>
            <wp:effectExtent l="19050" t="0" r="1270" b="0"/>
            <wp:docPr id="195" name="Imagen 1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35</w:t>
      </w:r>
      <w:r w:rsidRPr="006155D3">
        <w:rPr>
          <w:rFonts w:ascii="Times New Roman" w:eastAsia="Times New Roman" w:hAnsi="Times New Roman" w:cs="Times New Roman"/>
          <w:sz w:val="24"/>
          <w:szCs w:val="24"/>
          <w:lang w:val="en-US"/>
        </w:rPr>
        <w:br/>
        <w:t>dd) It is highly likely that the accused is criminally liable as a superior for the crimes committed by members of the FDLR under § 4 VStGB [Germany’s International Crimes Code]. Pursuant to this provision, military and civilian superiors are punished as perpetrators for crimes under the International Crimes Code committed by their subordinates if they consciously allowed these crimes to happen. In contrast to the general rules of German criminal law, [the International Crimes Codes provides that] if a superior supports the commission of a crime by a subordinate merely by refraining from taking any action, the superior is considered a perpetrator of the crime without it being necessary to distinguish between the commission of and participation in the crime in individual cases. Moreover, because of his particular responsibility, a superior who refrained from taking any action cannot rely on mitigating circumstances under § 13 Abs. 2 StGB [Germany’s Penal Code] …</w:t>
      </w:r>
      <w:r w:rsidRPr="006155D3">
        <w:rPr>
          <w:rFonts w:ascii="Times New Roman" w:eastAsia="Times New Roman" w:hAnsi="Times New Roman" w:cs="Times New Roman"/>
          <w:sz w:val="24"/>
          <w:szCs w:val="24"/>
          <w:lang w:val="en-US"/>
        </w:rPr>
        <w:br/>
        <w:t>36</w:t>
      </w:r>
      <w:r w:rsidRPr="006155D3">
        <w:rPr>
          <w:rFonts w:ascii="Times New Roman" w:eastAsia="Times New Roman" w:hAnsi="Times New Roman" w:cs="Times New Roman"/>
          <w:sz w:val="24"/>
          <w:szCs w:val="24"/>
          <w:lang w:val="en-US"/>
        </w:rPr>
        <w:br/>
        <w:t xml:space="preserve">(1) A military commander is understood as an individual who has the possibility of giving binding orders to subordinates, a possibility which must be practically exercisable and may be founded in law. If these conditions are fulfilled, every link of the chain of command within military hierarchy is to be considered a commander. Consequently, several superiors at different levels can all be equally responsible for the same crime committed by a subordinate pursuant to § 4 VStGB. Criminal responsibility under § 4 VStGB cannot be based solely on a superior’s title or formal legal position. In addition, it is always necessary that the superior has the possibility to in fact determine the conduct of his subordinates, in particular to effectively suppress the commission of </w:t>
      </w:r>
      <w:r w:rsidRPr="006155D3">
        <w:rPr>
          <w:rFonts w:ascii="Times New Roman" w:eastAsia="Times New Roman" w:hAnsi="Times New Roman" w:cs="Times New Roman"/>
          <w:sz w:val="24"/>
          <w:szCs w:val="24"/>
          <w:lang w:val="en-US"/>
        </w:rPr>
        <w:lastRenderedPageBreak/>
        <w:t>crimes … Not all members of decision making bodies are necessarily superiors in the sense of § 4 VStGB. Also in this respect it is decisive whether an individual has the power to order subordinates to carry out the jointly taken decisions. … Persons such as field officers or military advisors who have actual influence on the decision-making process but no direct authority to issue orders do not fall within the scope of application of superior responsibility …</w:t>
      </w:r>
      <w:r w:rsidRPr="006155D3">
        <w:rPr>
          <w:rFonts w:ascii="Times New Roman" w:eastAsia="Times New Roman" w:hAnsi="Times New Roman" w:cs="Times New Roman"/>
          <w:sz w:val="24"/>
          <w:szCs w:val="24"/>
          <w:lang w:val="en-US"/>
        </w:rPr>
        <w:br/>
        <w:t>37</w:t>
      </w:r>
      <w:r w:rsidRPr="006155D3">
        <w:rPr>
          <w:rFonts w:ascii="Times New Roman" w:eastAsia="Times New Roman" w:hAnsi="Times New Roman" w:cs="Times New Roman"/>
          <w:sz w:val="24"/>
          <w:szCs w:val="24"/>
          <w:lang w:val="en-US"/>
        </w:rPr>
        <w:br/>
        <w:t>According to the aforementioned provisions, it is highly likely that the accused is to be considered a superior in the sense of § 4 VStGB. He was not only nominally the president of the FDLR, but also fulfilled the function of commander-in-chief as a matter of fact. According to the current state of the investigations it must be considered that he was in permanent contact with decision-makers on the ground and was, pursuant to the chain of command within the FDLR, in fact in a position to give orders concerning both strategic matters and regarding concrete means and methods of warfare.</w:t>
      </w:r>
      <w:r w:rsidRPr="006155D3">
        <w:rPr>
          <w:rFonts w:ascii="Times New Roman" w:eastAsia="Times New Roman" w:hAnsi="Times New Roman" w:cs="Times New Roman"/>
          <w:sz w:val="24"/>
          <w:szCs w:val="24"/>
          <w:lang w:val="en-US"/>
        </w:rPr>
        <w:br/>
        <w:t>38</w:t>
      </w:r>
      <w:r w:rsidRPr="006155D3">
        <w:rPr>
          <w:rFonts w:ascii="Times New Roman" w:eastAsia="Times New Roman" w:hAnsi="Times New Roman" w:cs="Times New Roman"/>
          <w:sz w:val="24"/>
          <w:szCs w:val="24"/>
          <w:lang w:val="en-US"/>
        </w:rPr>
        <w:br/>
        <w:t>(2) For an individual to incur criminal responsibility as a superior under § 4 VStGB, it is necessary for him to refrain from preventing the commission of a crime by a subordinate. These conditions are fulfilled here. It need not be decided whether the wording of § 4 VStGB means that a superior can only avoid incurring criminal liability for the acts of subordinates if he successfully takes action to the effect that the crime is not committed because of his intervention, or whether it suffices that the superior takes all appropriate and necessary measures within his power to dissuade the subordinate from committing the crime … According to the current state of the examinations, the accused did not take any serious or sustainable measures to prevent the violent assaults against the Congolese civilian population; he was aware of these assaults. To the contrary, these measures were part and parcel of the FDLR’s political strategy with which it intended to achieve its goals; the accused had a significant impact on the formulation of this strategy.</w:t>
      </w:r>
      <w:r w:rsidRPr="006155D3">
        <w:rPr>
          <w:rFonts w:ascii="Times New Roman" w:eastAsia="Times New Roman" w:hAnsi="Times New Roman" w:cs="Times New Roman"/>
          <w:sz w:val="24"/>
          <w:szCs w:val="24"/>
          <w:lang w:val="en-US"/>
        </w:rPr>
        <w:br/>
        <w:t>39</w:t>
      </w:r>
      <w:r w:rsidRPr="006155D3">
        <w:rPr>
          <w:rFonts w:ascii="Times New Roman" w:eastAsia="Times New Roman" w:hAnsi="Times New Roman" w:cs="Times New Roman"/>
          <w:sz w:val="24"/>
          <w:szCs w:val="24"/>
          <w:lang w:val="en-US"/>
        </w:rPr>
        <w:br/>
        <w:t>(3) As regards the subjective element of the crime, § 2 VStGB in conjunction with § 15 StGB requires at least conditional intent concerning the objective elements of the crime …</w:t>
      </w:r>
      <w:r w:rsidRPr="006155D3">
        <w:rPr>
          <w:rFonts w:ascii="Times New Roman" w:eastAsia="Times New Roman" w:hAnsi="Times New Roman" w:cs="Times New Roman"/>
          <w:sz w:val="24"/>
          <w:szCs w:val="24"/>
          <w:lang w:val="en-US"/>
        </w:rPr>
        <w:br/>
        <w:t>40</w:t>
      </w:r>
      <w:r w:rsidRPr="006155D3">
        <w:rPr>
          <w:rFonts w:ascii="Times New Roman" w:eastAsia="Times New Roman" w:hAnsi="Times New Roman" w:cs="Times New Roman"/>
          <w:sz w:val="24"/>
          <w:szCs w:val="24"/>
          <w:lang w:val="en-US"/>
        </w:rPr>
        <w:br/>
        <w:t>(a) In contrast to the responsibility of a superior under international criminal law, negligence does not suffice under § 4 VStGB, not even for military superiors. This provision of the International Crimes Code thus goes less far than Article 28 of the [1998] ICC Statute. The intent must concern the perpetrator’s status as superior and the knowledge that the person carrying out a concrete action is his subordinate; the superior also must know or consider it concretely possible that he can prevent the commission of the crime by the subordinate based on his authority to issue orders or directives.</w:t>
      </w:r>
      <w:r w:rsidRPr="006155D3">
        <w:rPr>
          <w:rFonts w:ascii="Times New Roman" w:eastAsia="Times New Roman" w:hAnsi="Times New Roman" w:cs="Times New Roman"/>
          <w:sz w:val="24"/>
          <w:szCs w:val="24"/>
          <w:lang w:val="en-US"/>
        </w:rPr>
        <w:br/>
        <w:t>41</w:t>
      </w:r>
      <w:r w:rsidRPr="006155D3">
        <w:rPr>
          <w:rFonts w:ascii="Times New Roman" w:eastAsia="Times New Roman" w:hAnsi="Times New Roman" w:cs="Times New Roman"/>
          <w:sz w:val="24"/>
          <w:szCs w:val="24"/>
          <w:lang w:val="en-US"/>
        </w:rPr>
        <w:br/>
        <w:t>Further, the superior must recognize or be aware of the real possibility that the subordinate plans to commit a crime under the VStGB. It suffices in any case if his conditional intent comprises the type of crime to be committed, for example killings under § 7 para. 1 no. 1 or § 8 para. 1 no. 1 VStGB, and also extends to such crimes being committed by troops under his command in areas where fighting is taking place. Additional detailed knowledge is not required. In light of the current state of the investigations, it is not necessary to examine whether the mere knowledge of an abstract possibility that a subordinate is committing crimes against humanity or war crimes are sufficient to substantiate the necessary intent of the superior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sz w:val="24"/>
          <w:szCs w:val="24"/>
          <w:lang w:val="en-US"/>
        </w:rPr>
        <w:lastRenderedPageBreak/>
        <w:t>42</w:t>
      </w:r>
      <w:r w:rsidRPr="006155D3">
        <w:rPr>
          <w:rFonts w:ascii="Times New Roman" w:eastAsia="Times New Roman" w:hAnsi="Times New Roman" w:cs="Times New Roman"/>
          <w:sz w:val="24"/>
          <w:szCs w:val="24"/>
          <w:lang w:val="en-US"/>
        </w:rPr>
        <w:br/>
        <w:t xml:space="preserve">If the aforementioned conditions are fulfilled, divergences regarding the way the crime is carried out or regarding the severity of the crime committed by the subordinate do not negate the responsibility of the superior. However, there is no responsibility of the superior under § 4 VStGB if the subordinate commits a crime which pursuant to the International Crimes Code is qualitatively different than his superior expected and than his superior was prepared to let happen (for example rape under § 8 para. 1 no. 4 VStGB instead of pillage under § 9 para. 1 VStGB which had been expected by the superior, or </w:t>
      </w:r>
      <w:r w:rsidRPr="006155D3">
        <w:rPr>
          <w:rFonts w:ascii="Times New Roman" w:eastAsia="Times New Roman" w:hAnsi="Times New Roman" w:cs="Times New Roman"/>
          <w:i/>
          <w:iCs/>
          <w:sz w:val="24"/>
          <w:szCs w:val="24"/>
          <w:lang w:val="en-US"/>
        </w:rPr>
        <w:t>vice versa</w:t>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43</w:t>
      </w:r>
      <w:r w:rsidRPr="006155D3">
        <w:rPr>
          <w:rFonts w:ascii="Times New Roman" w:eastAsia="Times New Roman" w:hAnsi="Times New Roman" w:cs="Times New Roman"/>
          <w:sz w:val="24"/>
          <w:szCs w:val="24"/>
          <w:lang w:val="en-US"/>
        </w:rPr>
        <w:br/>
        <w:t xml:space="preserve">Moreover, it is not necessary that the superior … have on his mind the main crime which, though not developed in all its details, is concretely developed in its main essential characteristics and basic features. Such a restrictive interpretation is not required by the wording of the rule. This undifferentiated transposal of the principles developed for the participation in crimes under the provisions of the General Part of the German Penal Code goes against the object and purpose of § 4 VStGB; it does not do justice to the specific particularities of attributing violations of the International Crimes Code in various respects. The International Crimes Code differs from the general Penal Code in particular by emphasizing the regularly collective character of the crimes covered. The central aspect of this criminal concept is specifically the participation of a number of individuals at different hierarchical levels in the commission of the crime. In view of the influence of international criminal law on this piece of legislation, it is indispensable to consider these particularities in its interpretation … It follows: </w:t>
      </w:r>
      <w:r w:rsidRPr="006155D3">
        <w:rPr>
          <w:rFonts w:ascii="Times New Roman" w:eastAsia="Times New Roman" w:hAnsi="Times New Roman" w:cs="Times New Roman"/>
          <w:sz w:val="24"/>
          <w:szCs w:val="24"/>
          <w:lang w:val="en-US"/>
        </w:rPr>
        <w:br/>
        <w:t>44</w:t>
      </w:r>
      <w:r w:rsidRPr="006155D3">
        <w:rPr>
          <w:rFonts w:ascii="Times New Roman" w:eastAsia="Times New Roman" w:hAnsi="Times New Roman" w:cs="Times New Roman"/>
          <w:sz w:val="24"/>
          <w:szCs w:val="24"/>
          <w:lang w:val="en-US"/>
        </w:rPr>
        <w:br/>
        <w:t>On the one hand, the obligation to prevent a subordinate’s crimes under the International Crimes Code is not only engaged if he is aware of the essential characteristics of the crime about to be committed. The reason for this is that the subordinate personnel regularly poses a great risk, particularly for the potential victims’ highly valued legal goods including physical integrity and life … This potential hazard justifies a particular responsibility of the superior … and makes it especially necessary that he ensures that his subordinates conduct their mission in accordance with the law. Therefore, the public must be able to rely on the commander controlling the dangers inherent in armed units in a timely way rather than waiting until he learns of concrete crimes having been committed.</w:t>
      </w:r>
      <w:r w:rsidRPr="006155D3">
        <w:rPr>
          <w:rFonts w:ascii="Times New Roman" w:eastAsia="Times New Roman" w:hAnsi="Times New Roman" w:cs="Times New Roman"/>
          <w:sz w:val="24"/>
          <w:szCs w:val="24"/>
          <w:lang w:val="en-US"/>
        </w:rPr>
        <w:br/>
        <w:t>45</w:t>
      </w:r>
      <w:r w:rsidRPr="006155D3">
        <w:rPr>
          <w:rFonts w:ascii="Times New Roman" w:eastAsia="Times New Roman" w:hAnsi="Times New Roman" w:cs="Times New Roman"/>
          <w:sz w:val="24"/>
          <w:szCs w:val="24"/>
          <w:lang w:val="en-US"/>
        </w:rPr>
        <w:br/>
        <w:t>On the other hand, the purpose of § 4 VStGB is not only to attribute the crimes of subordinates to those superiors who are responsible for the concrete acts on the ground to such an intensive degree that their conditional intent even encompasses the details of the potential violations of the International Crimes Code. Rather, it is intended that also those superiors who are at the top of the chain of command and are thus usually so far away from the actual events on the ground that they do not have detailed knowledge of the precise location, time and the concrete victims be held to account. The provision would mostly be void of any meaning and would only be able to fulfil the intended function in a very restricted way if the requirements for the intent of the superior regarding the crimes to be committed by the subordinate were set too high. Cases like the present one, whose characteristic is that the violations of the International Crimes Code are part of the organisation’s general strategy, make this particularly clear. These general directives are regularly issued by the leaders of the organisation, who would be exempt from criminal liability under § 4 VStGB if the requirements concerning the knowledge element of intent were set too high.</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sz w:val="24"/>
          <w:szCs w:val="24"/>
          <w:lang w:val="en-US"/>
        </w:rPr>
        <w:lastRenderedPageBreak/>
        <w:t>46</w:t>
      </w:r>
      <w:r w:rsidRPr="006155D3">
        <w:rPr>
          <w:rFonts w:ascii="Times New Roman" w:eastAsia="Times New Roman" w:hAnsi="Times New Roman" w:cs="Times New Roman"/>
          <w:sz w:val="24"/>
          <w:szCs w:val="24"/>
          <w:lang w:val="en-US"/>
        </w:rPr>
        <w:br/>
        <w:t>Finally and additionally, in the context of armed confrontation it typically only becomes clear at short notice precisely which crimes are to be committed. An attribution of the crimes under § 4 VStGB would only be possible in very limited situations if one were to require that the superior had detailed knowledge.</w:t>
      </w:r>
      <w:r>
        <w:rPr>
          <w:rFonts w:ascii="Times New Roman" w:eastAsia="Times New Roman" w:hAnsi="Times New Roman" w:cs="Times New Roman"/>
          <w:noProof/>
          <w:sz w:val="24"/>
          <w:szCs w:val="24"/>
        </w:rPr>
        <w:drawing>
          <wp:inline distT="0" distB="0" distL="0" distR="0">
            <wp:extent cx="151130" cy="142875"/>
            <wp:effectExtent l="19050" t="0" r="1270" b="0"/>
            <wp:docPr id="196" name="Imagen 1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2010, in the </w:t>
      </w:r>
      <w:r w:rsidRPr="006155D3">
        <w:rPr>
          <w:rFonts w:ascii="Times New Roman" w:eastAsia="Times New Roman" w:hAnsi="Times New Roman" w:cs="Times New Roman"/>
          <w:i/>
          <w:iCs/>
          <w:sz w:val="24"/>
          <w:szCs w:val="24"/>
          <w:lang w:val="en-US"/>
        </w:rPr>
        <w:t xml:space="preserve">Democratic Forces for the Liberation of Rwanda case, </w:t>
      </w:r>
      <w:r w:rsidRPr="006155D3">
        <w:rPr>
          <w:rFonts w:ascii="Times New Roman" w:eastAsia="Times New Roman" w:hAnsi="Times New Roman" w:cs="Times New Roman"/>
          <w:sz w:val="24"/>
          <w:szCs w:val="24"/>
          <w:lang w:val="en-US"/>
        </w:rPr>
        <w:t>the Federal Prosecutor General at Germany’s Federal Court of Justice issued a press release, which stated:</w:t>
      </w:r>
      <w:r w:rsidRPr="006155D3">
        <w:rPr>
          <w:rFonts w:ascii="Times New Roman" w:eastAsia="Times New Roman" w:hAnsi="Times New Roman" w:cs="Times New Roman"/>
          <w:sz w:val="24"/>
          <w:szCs w:val="24"/>
          <w:lang w:val="en-US"/>
        </w:rPr>
        <w:br/>
        <w:t xml:space="preserve">On 8 December 2010, the Federal Prosecutor General brought charges before the Senate on State Protection of the Higher Regional Court Stuttgart against: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47-year-old Rwandese national Dr. Ignace M.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49-year-old Rwandese national Straton 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for crimes against humanity and war crimes as well as membership in a foreign terrorist association “Forces Démocratiques de Libération du Rwanda” [Democratic Forces for the Liberation of Rwanda] (FDLR); in addition, there is sufficient suspicion that the accused Dr. Ignace M. was gang leader of the FDLR (§ 4, § 7 para. </w:t>
      </w:r>
      <w:r w:rsidRPr="006155D3">
        <w:rPr>
          <w:rFonts w:ascii="Times New Roman" w:eastAsia="Times New Roman" w:hAnsi="Times New Roman" w:cs="Times New Roman"/>
          <w:sz w:val="24"/>
          <w:szCs w:val="24"/>
        </w:rPr>
        <w:t xml:space="preserve">1 nos. 1, 3, 6, 8 and 9, para. 3, § 8 para. 1 nos. 1 to 5, para. 4 sentence 1, § 9 para. 1 and § 11 para. </w:t>
      </w:r>
      <w:r w:rsidRPr="006155D3">
        <w:rPr>
          <w:rFonts w:ascii="Times New Roman" w:eastAsia="Times New Roman" w:hAnsi="Times New Roman" w:cs="Times New Roman"/>
          <w:sz w:val="24"/>
          <w:szCs w:val="24"/>
          <w:lang w:val="en-US"/>
        </w:rPr>
        <w:t>1 no. 4 VStGB [International Crimes Code], § 129b para. 1 in connection with § 129a paras. 1 and 4 StGB [Penal Code]).</w:t>
      </w:r>
      <w:r w:rsidRPr="006155D3">
        <w:rPr>
          <w:rFonts w:ascii="Times New Roman" w:eastAsia="Times New Roman" w:hAnsi="Times New Roman" w:cs="Times New Roman"/>
          <w:sz w:val="24"/>
          <w:szCs w:val="24"/>
          <w:lang w:val="en-US"/>
        </w:rPr>
        <w:br/>
        <w:t>In the charges, which have now been delivered and which are the first ones brought under the International Crimes Code, essentially the following facts are set out: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 [FDLR] … is a rebel group mainly comprised of members of the ethnic Hutu group and was originally founded by individuals responsible for the genocide of the Tutsi who had fled from Rwanda in 1994. Its operational base is in the Eastern Democratic Republic of [the] Congo [DRC].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The accused Dr. Ignace M. has been president of the FDLR since December 2001. The accused Straton M. has been its first vice president since June 2004. Until their arrest in Germany on 17 November 2009, both accused steered the FDLR’s conduct, strategies and tactics from Germany together with Calixte M., who is residing in France and who has since been detained by the International Criminal Court in The Hague. Thus, they could have prevented the systematic commission of violent acts against the civilian population by the FDLR’s militiamen, which were part of the organisation’s strategy. Specifically, the accused are responsible for 26 crimes against humanity and 39 war crimes, which the militiamen under their control committed in the Democratic Republic of [the] Congo between January 2009 and 17 November 2009. These crimes </w:t>
      </w:r>
      <w:r w:rsidRPr="006155D3">
        <w:rPr>
          <w:rFonts w:ascii="Times New Roman" w:eastAsia="Times New Roman" w:hAnsi="Times New Roman" w:cs="Times New Roman"/>
          <w:i/>
          <w:iCs/>
          <w:sz w:val="24"/>
          <w:szCs w:val="24"/>
          <w:lang w:val="en-US"/>
        </w:rPr>
        <w:t xml:space="preserve">inter alia </w:t>
      </w:r>
      <w:r w:rsidRPr="006155D3">
        <w:rPr>
          <w:rFonts w:ascii="Times New Roman" w:eastAsia="Times New Roman" w:hAnsi="Times New Roman" w:cs="Times New Roman"/>
          <w:sz w:val="24"/>
          <w:szCs w:val="24"/>
          <w:lang w:val="en-US"/>
        </w:rPr>
        <w:t>include the killing of more than 200 people, rape of numerous women, using civilians as human shields against attacks by military opponents and incorporating children into the FDLR militia.</w:t>
      </w:r>
      <w:r>
        <w:rPr>
          <w:rFonts w:ascii="Times New Roman" w:eastAsia="Times New Roman" w:hAnsi="Times New Roman" w:cs="Times New Roman"/>
          <w:noProof/>
          <w:sz w:val="24"/>
          <w:szCs w:val="24"/>
        </w:rPr>
        <w:drawing>
          <wp:inline distT="0" distB="0" distL="0" distR="0">
            <wp:extent cx="151130" cy="142875"/>
            <wp:effectExtent l="19050" t="0" r="1270" b="0"/>
            <wp:docPr id="197" name="Imagen 1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Indonesia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 xml:space="preserve">Abilio Soares case </w:t>
      </w:r>
      <w:r w:rsidRPr="006155D3">
        <w:rPr>
          <w:rFonts w:ascii="Times New Roman" w:eastAsia="Times New Roman" w:hAnsi="Times New Roman" w:cs="Times New Roman"/>
          <w:sz w:val="24"/>
          <w:szCs w:val="24"/>
          <w:lang w:val="en-US"/>
        </w:rPr>
        <w:t>in 2002, the Ad Hoc Human Rights Tribunal for East Timor stated:</w:t>
      </w:r>
      <w:r w:rsidRPr="006155D3">
        <w:rPr>
          <w:rFonts w:ascii="Times New Roman" w:eastAsia="Times New Roman" w:hAnsi="Times New Roman" w:cs="Times New Roman"/>
          <w:sz w:val="24"/>
          <w:szCs w:val="24"/>
          <w:lang w:val="en-US"/>
        </w:rPr>
        <w:br/>
        <w:t>In considering, that ad hoc international criminal tribunal practices (ICTY and ICTR) and various international instruments have developed the above principles, through the description of individual responsibility parameters as follows: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 a crime against humanity perpetrated by a subordinate will not exonerate the leader or superior from criminal responsibility, if he was aware, or by the reasonable use of his faculties was aware, that the subordinate was about to perpetrate a crime and the leader </w:t>
      </w:r>
      <w:r w:rsidRPr="006155D3">
        <w:rPr>
          <w:rFonts w:ascii="Times New Roman" w:eastAsia="Times New Roman" w:hAnsi="Times New Roman" w:cs="Times New Roman"/>
          <w:sz w:val="24"/>
          <w:szCs w:val="24"/>
          <w:lang w:val="en-US"/>
        </w:rPr>
        <w:lastRenderedPageBreak/>
        <w:t>or superior failed to take appropriate and reasonable measures to prevent him or failed to punish the perpetrator;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considering, that the doctrine of a superior’s responsibility that was later inserted in Article 42 verse (2) [of Law No. 26 of 2000 Concerning Human Rights Court] as a part of individual criminal responsibility according to international law, was developed by the international community in trying war criminals and crimes against humanity after World War II, that was eventually crystallized in the Rome Statute. This was intended as a means to demand accountability from military and non-military superiors, for crimes perpetrated by their subordinates or men because they failed to prevent or control their subordinates;</w:t>
      </w:r>
      <w:r w:rsidRPr="006155D3">
        <w:rPr>
          <w:rFonts w:ascii="Times New Roman" w:eastAsia="Times New Roman" w:hAnsi="Times New Roman" w:cs="Times New Roman"/>
          <w:sz w:val="24"/>
          <w:szCs w:val="24"/>
          <w:lang w:val="en-US"/>
        </w:rPr>
        <w:br/>
        <w:t>In considering, that the limits set forth by Hugo Grotius concerning a superior’s responsibility should meet three conditions as follows: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the person had the authority to control the actions of his subordinates, a simple example being: the attention of a father to his children, or of an employer to his employees;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there was knowledge, in which the person knows of the crime perpetrated by his subordinate, but he does not prevent the act;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there was ability to prevent a crime. This means that if a person is proved unable to take preventive measures, he is not liable for superior’s responsibility.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considering, that the limits of the superior’s responsibility mentioned above underlie provisions for the superior’s responsibility in the Statute of International Criminal Tribunal for Former Yugoslavia (ICTY Statute), the Statute of International Criminal Tribunal for Rwanda (ICTR Statute) and the Rome Statute, that were later adopted in Law No. 26 Year 2000 concerning Human Rights Tribunal (Article 42 verse 2 (a) and (b)).</w:t>
      </w:r>
      <w:r w:rsidRPr="006155D3">
        <w:rPr>
          <w:rFonts w:ascii="Times New Roman" w:eastAsia="Times New Roman" w:hAnsi="Times New Roman" w:cs="Times New Roman"/>
          <w:sz w:val="24"/>
          <w:szCs w:val="24"/>
          <w:lang w:val="en-US"/>
        </w:rPr>
        <w:br/>
        <w:t xml:space="preserve">In considering, that application of the doctrine, in addition to being used in demanding accountability from a military superior for failure to act, as in the cases of Yamashita, High Command, Hostages and Meyer, in further developments in the Tokyo Tribunal it was later agreed that the responsibility of a superior could also include non-military superiors. This indicates that in certain cases analogies may be made between the responsibility of a military command and the responsibility of a non military superior or a civilian official. As additional legal basis, Article 86 Additional Protocol I to the 1949 Geneva Convention in 1977, stipulates that in certain cases all superiors shall be responsible for failure to act. Then Article 7 paragraph 3 of the ICTY Statute also points not only to military superiors but also includes non-military superiors. This provision was applied in the </w:t>
      </w:r>
      <w:r w:rsidRPr="006155D3">
        <w:rPr>
          <w:rFonts w:ascii="Times New Roman" w:eastAsia="Times New Roman" w:hAnsi="Times New Roman" w:cs="Times New Roman"/>
          <w:i/>
          <w:iCs/>
          <w:sz w:val="24"/>
          <w:szCs w:val="24"/>
          <w:lang w:val="en-US"/>
        </w:rPr>
        <w:t>Celebici case</w:t>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Ad. 2 Concerning the Element of Having Subordinates, Having Authority To Exert Effective Control, Did Not Exert Appropriate And Proper Control Over His Subordinates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In considering, concerning the second element, namely the superior subordinate relationship, had the authority to exert effective control but did not exert appropriate and proper control over subordinates, the Panel will deliberate the following;</w:t>
      </w:r>
      <w:r w:rsidRPr="006155D3">
        <w:rPr>
          <w:rFonts w:ascii="Times New Roman" w:eastAsia="Times New Roman" w:hAnsi="Times New Roman" w:cs="Times New Roman"/>
          <w:sz w:val="24"/>
          <w:szCs w:val="24"/>
          <w:lang w:val="en-US"/>
        </w:rPr>
        <w:br/>
        <w:t xml:space="preserve">In considering, that essentially a superior subordinate relationship is a superior having the authority to exert proper control over his subordinates, by </w:t>
      </w:r>
      <w:r w:rsidRPr="006155D3">
        <w:rPr>
          <w:rFonts w:ascii="Times New Roman" w:eastAsia="Times New Roman" w:hAnsi="Times New Roman" w:cs="Times New Roman"/>
          <w:i/>
          <w:iCs/>
          <w:sz w:val="24"/>
          <w:szCs w:val="24"/>
          <w:lang w:val="en-US"/>
        </w:rPr>
        <w:t>de jure</w:t>
      </w:r>
      <w:r w:rsidRPr="006155D3">
        <w:rPr>
          <w:rFonts w:ascii="Times New Roman" w:eastAsia="Times New Roman" w:hAnsi="Times New Roman" w:cs="Times New Roman"/>
          <w:sz w:val="24"/>
          <w:szCs w:val="24"/>
          <w:lang w:val="en-US"/>
        </w:rPr>
        <w:t xml:space="preserve"> or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The superior must have the authority to control his subordinates and be able to command or direct his subordinates.</w:t>
      </w:r>
      <w:r w:rsidRPr="006155D3">
        <w:rPr>
          <w:rFonts w:ascii="Times New Roman" w:eastAsia="Times New Roman" w:hAnsi="Times New Roman" w:cs="Times New Roman"/>
          <w:sz w:val="24"/>
          <w:szCs w:val="24"/>
          <w:lang w:val="en-US"/>
        </w:rPr>
        <w:br/>
        <w:t>In considering, that the category of superior may include political leader, company leader, and senior civilian official (</w:t>
      </w:r>
      <w:r w:rsidRPr="006155D3">
        <w:rPr>
          <w:rFonts w:ascii="Times New Roman" w:eastAsia="Times New Roman" w:hAnsi="Times New Roman" w:cs="Times New Roman"/>
          <w:i/>
          <w:iCs/>
          <w:sz w:val="24"/>
          <w:szCs w:val="24"/>
          <w:lang w:val="en-US"/>
        </w:rPr>
        <w:t>Celebici case</w:t>
      </w:r>
      <w:r w:rsidRPr="006155D3">
        <w:rPr>
          <w:rFonts w:ascii="Times New Roman" w:eastAsia="Times New Roman" w:hAnsi="Times New Roman" w:cs="Times New Roman"/>
          <w:sz w:val="24"/>
          <w:szCs w:val="24"/>
          <w:lang w:val="en-US"/>
        </w:rPr>
        <w:t xml:space="preserve">). As in military organizations, </w:t>
      </w:r>
      <w:r w:rsidRPr="006155D3">
        <w:rPr>
          <w:rFonts w:ascii="Times New Roman" w:eastAsia="Times New Roman" w:hAnsi="Times New Roman" w:cs="Times New Roman"/>
          <w:sz w:val="24"/>
          <w:szCs w:val="24"/>
          <w:lang w:val="en-US"/>
        </w:rPr>
        <w:lastRenderedPageBreak/>
        <w:t xml:space="preserve">superiors have a chain of responsibility from one superior to a lower superior. In the Rwanda case, for instance, </w:t>
      </w:r>
      <w:r w:rsidRPr="006155D3">
        <w:rPr>
          <w:rFonts w:ascii="Times New Roman" w:eastAsia="Times New Roman" w:hAnsi="Times New Roman" w:cs="Times New Roman"/>
          <w:i/>
          <w:iCs/>
          <w:sz w:val="24"/>
          <w:szCs w:val="24"/>
          <w:lang w:val="en-US"/>
        </w:rPr>
        <w:t>Akayesu</w:t>
      </w:r>
      <w:r w:rsidRPr="006155D3">
        <w:rPr>
          <w:rFonts w:ascii="Times New Roman" w:eastAsia="Times New Roman" w:hAnsi="Times New Roman" w:cs="Times New Roman"/>
          <w:sz w:val="24"/>
          <w:szCs w:val="24"/>
          <w:lang w:val="en-US"/>
        </w:rPr>
        <w:t xml:space="preserve">, a mayor (bourgmestre) who carried out executive functions and conducted public administration among the people, including wielding power over politicians, was found criminally responsible for the acts of his subordinates; although he was not a member of the military with the responsibility of a commander, he held legal mandate and was considered an official, agent or person with public authority, or by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represented Government in endorsing the violence perpetrated by the Hutu over the Tutsi. This was accompanied by the condition that he had proper knowledge that his subordinates were carrying out such acts, or were about to carry out such acts whereas the superior failed to act in a significant and reasonable manner to prevent these acts;</w:t>
      </w:r>
      <w:r w:rsidRPr="006155D3">
        <w:rPr>
          <w:rFonts w:ascii="Times New Roman" w:eastAsia="Times New Roman" w:hAnsi="Times New Roman" w:cs="Times New Roman"/>
          <w:sz w:val="24"/>
          <w:szCs w:val="24"/>
          <w:lang w:val="en-US"/>
        </w:rPr>
        <w:br/>
        <w:t>In considering, that the perception of a subordinate is each person with a direct superior who directs his actions or related activities. In a large organization a person may hold a position both as superior as well as subordinate.</w:t>
      </w:r>
      <w:r w:rsidRPr="006155D3">
        <w:rPr>
          <w:rFonts w:ascii="Times New Roman" w:eastAsia="Times New Roman" w:hAnsi="Times New Roman" w:cs="Times New Roman"/>
          <w:sz w:val="24"/>
          <w:szCs w:val="24"/>
          <w:lang w:val="en-US"/>
        </w:rPr>
        <w:br/>
        <w:t xml:space="preserve">In considering, that the denotation of effective authority and control is when a superior by </w:t>
      </w:r>
      <w:r w:rsidRPr="006155D3">
        <w:rPr>
          <w:rFonts w:ascii="Times New Roman" w:eastAsia="Times New Roman" w:hAnsi="Times New Roman" w:cs="Times New Roman"/>
          <w:i/>
          <w:iCs/>
          <w:sz w:val="24"/>
          <w:szCs w:val="24"/>
          <w:lang w:val="en-US"/>
        </w:rPr>
        <w:t>de jure</w:t>
      </w:r>
      <w:r w:rsidRPr="006155D3">
        <w:rPr>
          <w:rFonts w:ascii="Times New Roman" w:eastAsia="Times New Roman" w:hAnsi="Times New Roman" w:cs="Times New Roman"/>
          <w:sz w:val="24"/>
          <w:szCs w:val="24"/>
          <w:lang w:val="en-US"/>
        </w:rPr>
        <w:t xml:space="preserve"> or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wields the power to issue directives to his subordinates to execute a certain task or a related activity.</w:t>
      </w:r>
      <w:r w:rsidRPr="006155D3">
        <w:rPr>
          <w:rFonts w:ascii="Times New Roman" w:eastAsia="Times New Roman" w:hAnsi="Times New Roman" w:cs="Times New Roman"/>
          <w:sz w:val="24"/>
          <w:szCs w:val="24"/>
          <w:lang w:val="en-US"/>
        </w:rPr>
        <w:br/>
        <w:t>In considering, that as contained in Article 86 Ist Additional Protocol of the Convention of 1977, that states that a superior shall create an effective reporting system to ensure that in executing his duties a subordinate complies with humanitarian laws, and if he should be aware of a potential violation or an actual violation then he should take measures to prevent or handle the violation. Therefore, a superior shall be responsible for serious human rights violations carried out by his subordinate, if: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if the superior knew that a subordinate had or was about to perpetrate a serious human rights violation;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superior had received information enabling him to conclude that his subordinate had or was about to perpetrate a serious human rights violation;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superior did not take measures within the scope of his authority to prevent the serious human rights violation.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Ad. 3 The Element of Knowing or Consciously Disregarding Information</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In considering, that the third element, namely knowing or consciously disregarding information, will be deliberated as follows:</w:t>
      </w:r>
      <w:r w:rsidRPr="006155D3">
        <w:rPr>
          <w:rFonts w:ascii="Times New Roman" w:eastAsia="Times New Roman" w:hAnsi="Times New Roman" w:cs="Times New Roman"/>
          <w:sz w:val="24"/>
          <w:szCs w:val="24"/>
          <w:lang w:val="en-US"/>
        </w:rPr>
        <w:br/>
        <w:t>In considering, that the denotation of “knowing” or “consciously disregarding information”, contains the elements: that there was actual knowledge to be found from direct evidence or should have been known because of the situation. Standards on “need to know” differ between military superiors and non-military superiors. For non-military (civilian) superiors, it must be proved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information clearly indicated significant risk that his subordinates were committing or were about to commit serious human rights violations, in the active and passive senses;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information was indeed available to the superior;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the superior knew the information existed, but failed to determine the category of the information.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Ad. 4 The element concerning not taking appropriate and necessary measures within the scope of his authority to prevent, halt acts, surrender to the relevant authorities for examination, investigation and prosecution</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In considering, that with regard to this fourth element, namely not taking appropriate and necessary measures within the scope of his authority to prevent, halt acts, surrender </w:t>
      </w:r>
      <w:r w:rsidRPr="006155D3">
        <w:rPr>
          <w:rFonts w:ascii="Times New Roman" w:eastAsia="Times New Roman" w:hAnsi="Times New Roman" w:cs="Times New Roman"/>
          <w:sz w:val="24"/>
          <w:szCs w:val="24"/>
          <w:lang w:val="en-US"/>
        </w:rPr>
        <w:lastRenderedPageBreak/>
        <w:t>to the relevant authorities for examination, investigation and prosecution, the Panel deliberated as follows:</w:t>
      </w:r>
      <w:r w:rsidRPr="006155D3">
        <w:rPr>
          <w:rFonts w:ascii="Times New Roman" w:eastAsia="Times New Roman" w:hAnsi="Times New Roman" w:cs="Times New Roman"/>
          <w:sz w:val="24"/>
          <w:szCs w:val="24"/>
          <w:lang w:val="en-US"/>
        </w:rPr>
        <w:br/>
        <w:t>In considering, that all superiors are obliged to take practical measures to ensure that their subordinates comply with rules in executing their duties.</w:t>
      </w:r>
      <w:r>
        <w:rPr>
          <w:rFonts w:ascii="Times New Roman" w:eastAsia="Times New Roman" w:hAnsi="Times New Roman" w:cs="Times New Roman"/>
          <w:noProof/>
          <w:sz w:val="24"/>
          <w:szCs w:val="24"/>
        </w:rPr>
        <w:drawing>
          <wp:inline distT="0" distB="0" distL="0" distR="0">
            <wp:extent cx="151130" cy="142875"/>
            <wp:effectExtent l="19050" t="0" r="1270" b="0"/>
            <wp:docPr id="198" name="Imagen 1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Iraq</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its judgment in the </w:t>
      </w:r>
      <w:r w:rsidRPr="006155D3">
        <w:rPr>
          <w:rFonts w:ascii="Times New Roman" w:eastAsia="Times New Roman" w:hAnsi="Times New Roman" w:cs="Times New Roman"/>
          <w:i/>
          <w:iCs/>
          <w:sz w:val="24"/>
          <w:szCs w:val="24"/>
          <w:lang w:val="en-US"/>
        </w:rPr>
        <w:t xml:space="preserve">Al-Dujail case </w:t>
      </w:r>
      <w:r w:rsidRPr="006155D3">
        <w:rPr>
          <w:rFonts w:ascii="Times New Roman" w:eastAsia="Times New Roman" w:hAnsi="Times New Roman" w:cs="Times New Roman"/>
          <w:sz w:val="24"/>
          <w:szCs w:val="24"/>
          <w:lang w:val="en-US"/>
        </w:rPr>
        <w:t>in 2006, the Iraqi High Tribunal stated:</w:t>
      </w:r>
      <w:r w:rsidRPr="006155D3">
        <w:rPr>
          <w:rFonts w:ascii="Times New Roman" w:eastAsia="Times New Roman" w:hAnsi="Times New Roman" w:cs="Times New Roman"/>
          <w:sz w:val="24"/>
          <w:szCs w:val="24"/>
          <w:lang w:val="en-US"/>
        </w:rPr>
        <w:br/>
        <w:t>The highest president is not exempt from criminal responsibility for the crimes committed by people who work under his command, in case the president knew or had reason to know that his subordinates committed these acts or were on the verge of committing them, and if the president did not take the necessary and appropriate acts to prevent these actions from happening or to raise the matter with the appropriate authorities for the purpose of conducting an investigation and prosecution.</w:t>
      </w:r>
      <w:r>
        <w:rPr>
          <w:rFonts w:ascii="Times New Roman" w:eastAsia="Times New Roman" w:hAnsi="Times New Roman" w:cs="Times New Roman"/>
          <w:noProof/>
          <w:sz w:val="24"/>
          <w:szCs w:val="24"/>
        </w:rPr>
        <w:drawing>
          <wp:inline distT="0" distB="0" distL="0" distR="0">
            <wp:extent cx="151130" cy="142875"/>
            <wp:effectExtent l="19050" t="0" r="1270" b="0"/>
            <wp:docPr id="199" name="Imagen 1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For this type of accountability to be established, three conditions must be available … prior to considering the supreme leader as criminally liable for the criminal acts that were carried out by his followers. These conditions are: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The existence of a leader-subordinate relation between the top official and his followers.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The top official had knowledge, or reason to know, that his subordinates were about to commit criminal acts, or they have [committed the criminal acts], but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The supreme leader, or the top official did not take the necessary and reasonable measures to prevent those acts, or to punish those who committed [these acts] during his time [of rule].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regards to the first condition about the leader-subordinate relation, there must be an existence of a professional hierarchy relation between the leader and the subordinate. As the International Criminal Tribunal for the former Yugoslavia [ruled] in the case of Milorad Kornylak, it is not a prerequisite for the official character to override such a relation as well as it is unnecessary for it to be specified in only an official category. For instance, a hierarchal relation for the top official post might be available on the basis of the rule of power, not the rule of law. What must be proven is that the leader has an influential authority on the people who committed the alleged crimes. An influential authority means the practical ability to prevent crimes, or to punish the [criminals], if the crimes were committed. When the leader has an influential authority and he fails to employ it, he will be held accountable for the crimes that his subordinates commit. A leader, or two [leaders], might be held accountable for the same crime that was committed by one person if it has been proven that the original perpetrator has been under the authority of the two leaders during the event [of the crime].</w:t>
      </w:r>
      <w:r w:rsidRPr="006155D3">
        <w:rPr>
          <w:rFonts w:ascii="Times New Roman" w:eastAsia="Times New Roman" w:hAnsi="Times New Roman" w:cs="Times New Roman"/>
          <w:sz w:val="24"/>
          <w:szCs w:val="24"/>
          <w:lang w:val="en-US"/>
        </w:rPr>
        <w:br/>
        <w:t>The court does not see it necessary for a relation between the leader and subordinate to be direct, meaning that this relation is present even if it was indirect. For instance, this relation might be present between the supreme leader and the subordinate’s subordinate, [which means that] it is unnecessary for the subordinate to be the one who personally commits the crime, but it might be committed by [a person under him].</w:t>
      </w:r>
      <w:r w:rsidRPr="006155D3">
        <w:rPr>
          <w:rFonts w:ascii="Times New Roman" w:eastAsia="Times New Roman" w:hAnsi="Times New Roman" w:cs="Times New Roman"/>
          <w:sz w:val="24"/>
          <w:szCs w:val="24"/>
          <w:lang w:val="en-US"/>
        </w:rPr>
        <w:br/>
        <w:t xml:space="preserve">Article 15/4 [explains clearly] the accountability of the leader regarding acts committed by individuals who operate under his command. Normally, in a descending [order], the [secondary] subordinates are at the command of the [immediate] subordinate who has a direct relation with the supreme leader. Therefore, they and their [immediate] subordinates are at the command of the supreme leader. This is one of the conditions of establishing this accountability, which has become available to challenge Saddam Hussein since he is the supreme leader, not only to the defendants Barzan Ibrahim, Taha Yasin Ramadhan, and ‘Awwad Al-Bandar, but also a [supreme] leader to those who operate at the command of those [defendants] as well, which means that if the supreme </w:t>
      </w:r>
      <w:r w:rsidRPr="006155D3">
        <w:rPr>
          <w:rFonts w:ascii="Times New Roman" w:eastAsia="Times New Roman" w:hAnsi="Times New Roman" w:cs="Times New Roman"/>
          <w:sz w:val="24"/>
          <w:szCs w:val="24"/>
          <w:lang w:val="en-US"/>
        </w:rPr>
        <w:lastRenderedPageBreak/>
        <w:t>leader was able to command his immediate subordinates, then he [primarily] can command the [secondary] subordinates of the [immediate] subordinates.</w:t>
      </w:r>
      <w:r>
        <w:rPr>
          <w:rFonts w:ascii="Times New Roman" w:eastAsia="Times New Roman" w:hAnsi="Times New Roman" w:cs="Times New Roman"/>
          <w:noProof/>
          <w:sz w:val="24"/>
          <w:szCs w:val="24"/>
        </w:rPr>
        <w:drawing>
          <wp:inline distT="0" distB="0" distL="0" distR="0">
            <wp:extent cx="151130" cy="142875"/>
            <wp:effectExtent l="19050" t="0" r="1270" b="0"/>
            <wp:docPr id="200" name="Imagen 2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its judgment in the </w:t>
      </w:r>
      <w:r w:rsidRPr="006155D3">
        <w:rPr>
          <w:rFonts w:ascii="Times New Roman" w:eastAsia="Times New Roman" w:hAnsi="Times New Roman" w:cs="Times New Roman"/>
          <w:i/>
          <w:iCs/>
          <w:sz w:val="24"/>
          <w:szCs w:val="24"/>
          <w:lang w:val="en-US"/>
        </w:rPr>
        <w:t xml:space="preserve">Al-Dujail appeal case </w:t>
      </w:r>
      <w:r w:rsidRPr="006155D3">
        <w:rPr>
          <w:rFonts w:ascii="Times New Roman" w:eastAsia="Times New Roman" w:hAnsi="Times New Roman" w:cs="Times New Roman"/>
          <w:sz w:val="24"/>
          <w:szCs w:val="24"/>
          <w:lang w:val="en-US"/>
        </w:rPr>
        <w:t>in 2006, the Appeals Chamber of the Iraqi High Tribunal stated:</w:t>
      </w:r>
      <w:r w:rsidRPr="006155D3">
        <w:rPr>
          <w:rFonts w:ascii="Times New Roman" w:eastAsia="Times New Roman" w:hAnsi="Times New Roman" w:cs="Times New Roman"/>
          <w:sz w:val="24"/>
          <w:szCs w:val="24"/>
          <w:lang w:val="en-US"/>
        </w:rPr>
        <w:br/>
        <w:t>The responsibility of leaders and presidents for crimes committed by those who are under their command or authority is a responsibility for acts executed by forces under their command and authority, provided that the leader knows that his forces committed or were about to commit one of these crimes. Where the fact that the accused holds a high-ranking position in the government is by itself a serious situation, for it is assumed that he is aware of what goes on, and for exploiting his position in committing the crimes. Add to that that his failure to take necessary and reasonable measures within his power to prevent these crimes subjects him to legal accountability. Furthermore, condoning them is considered a signal to his subordinates to continue committing the crimes without fear of punishment. The premise is that the leader is committed to preventing his subordinates from committing international crimes.</w:t>
      </w:r>
      <w:r w:rsidRPr="006155D3">
        <w:rPr>
          <w:rFonts w:ascii="Times New Roman" w:eastAsia="Times New Roman" w:hAnsi="Times New Roman" w:cs="Times New Roman"/>
          <w:sz w:val="24"/>
          <w:szCs w:val="24"/>
          <w:lang w:val="en-US"/>
        </w:rPr>
        <w:br/>
        <w:t>The leader bears responsibility if he fails intentionally or due to negligence to prevent his subordinates from committing crimes without the need for proven intent of sanctioning such crimes.</w:t>
      </w:r>
      <w:r>
        <w:rPr>
          <w:rFonts w:ascii="Times New Roman" w:eastAsia="Times New Roman" w:hAnsi="Times New Roman" w:cs="Times New Roman"/>
          <w:noProof/>
          <w:sz w:val="24"/>
          <w:szCs w:val="24"/>
        </w:rPr>
        <w:drawing>
          <wp:inline distT="0" distB="0" distL="0" distR="0">
            <wp:extent cx="151130" cy="142875"/>
            <wp:effectExtent l="19050" t="0" r="1270" b="0"/>
            <wp:docPr id="201" name="Imagen 2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Italy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its judgment in the </w:t>
      </w:r>
      <w:r w:rsidRPr="006155D3">
        <w:rPr>
          <w:rFonts w:ascii="Times New Roman" w:eastAsia="Times New Roman" w:hAnsi="Times New Roman" w:cs="Times New Roman"/>
          <w:i/>
          <w:iCs/>
          <w:sz w:val="24"/>
          <w:szCs w:val="24"/>
          <w:lang w:val="en-US"/>
        </w:rPr>
        <w:t>Schintlholzer case</w:t>
      </w:r>
      <w:r w:rsidRPr="006155D3">
        <w:rPr>
          <w:rFonts w:ascii="Times New Roman" w:eastAsia="Times New Roman" w:hAnsi="Times New Roman" w:cs="Times New Roman"/>
          <w:sz w:val="24"/>
          <w:szCs w:val="24"/>
          <w:lang w:val="en-US"/>
        </w:rPr>
        <w:t xml:space="preserve"> in 1988, Italy’s Military Tribunal at Verona, with regard to the accused’s responsibility for the acts committed by soldiers under his command, stated that these acts were in conformity with</w:t>
      </w:r>
      <w:r w:rsidRPr="006155D3">
        <w:rPr>
          <w:rFonts w:ascii="Times New Roman" w:eastAsia="Times New Roman" w:hAnsi="Times New Roman" w:cs="Times New Roman"/>
          <w:sz w:val="24"/>
          <w:szCs w:val="24"/>
          <w:lang w:val="en-US"/>
        </w:rPr>
        <w:br/>
        <w:t>systematic activity which cannot as such be explained as the unusual and unforeseeable outcome of spontaneous actions by the combatants, but only as the expression of acts which specifically comply with (and put into effect) orders issued by the Commander [the accused] of the combat unit.</w:t>
      </w:r>
      <w:r w:rsidRPr="006155D3">
        <w:rPr>
          <w:rFonts w:ascii="Times New Roman" w:eastAsia="Times New Roman" w:hAnsi="Times New Roman" w:cs="Times New Roman"/>
          <w:sz w:val="24"/>
          <w:szCs w:val="24"/>
          <w:lang w:val="en-US"/>
        </w:rPr>
        <w:br/>
        <w:t>It should therefore be considered that in this case the person of the Commander who has operational and not hierarchical responsibility is a necessary point of reference and reflects the ad hoc organizational structure of composite combat units which, like the “Schintlholzer” combat unit, appear to be formed, used and intended solely for the purpose of a single military operation. This is perfectly consistent with the conviction that evidence of the effective causal contribution which can be attributed to Schintlholzer, at least on the conceptual level, has been obtained, as regards the undoubted contribution of the accused to the decision as to how the distressing facts to which the case relates should be put into effect …</w:t>
      </w:r>
      <w:r w:rsidRPr="006155D3">
        <w:rPr>
          <w:rFonts w:ascii="Times New Roman" w:eastAsia="Times New Roman" w:hAnsi="Times New Roman" w:cs="Times New Roman"/>
          <w:sz w:val="24"/>
          <w:szCs w:val="24"/>
          <w:lang w:val="en-US"/>
        </w:rPr>
        <w:br/>
        <w:t>It is … hardly necessary to point out even in this connection that if it was ever possible to establish any collateral responsibility by known or unknown SS officials at an operating level, this would not in any way raise any questions about the responsibility of Schintlholzer, which has been proven at this level and in the context which has to be assessed here and now. Thus, as far as criminal intent is concerned, evidence of awareness of the unlawful nature of the conduct involved in the barbaric images described in the preliminary reconstruction of the facts would appear to have been acquired.</w:t>
      </w:r>
      <w:r>
        <w:rPr>
          <w:rFonts w:ascii="Times New Roman" w:eastAsia="Times New Roman" w:hAnsi="Times New Roman" w:cs="Times New Roman"/>
          <w:noProof/>
          <w:sz w:val="24"/>
          <w:szCs w:val="24"/>
        </w:rPr>
        <w:drawing>
          <wp:inline distT="0" distB="0" distL="0" distR="0">
            <wp:extent cx="151130" cy="142875"/>
            <wp:effectExtent l="19050" t="0" r="1270" b="0"/>
            <wp:docPr id="202" name="Imagen 2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Rwanda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September 1997, in the </w:t>
      </w:r>
      <w:r w:rsidRPr="006155D3">
        <w:rPr>
          <w:rFonts w:ascii="Times New Roman" w:eastAsia="Times New Roman" w:hAnsi="Times New Roman" w:cs="Times New Roman"/>
          <w:i/>
          <w:iCs/>
          <w:sz w:val="24"/>
          <w:szCs w:val="24"/>
          <w:lang w:val="en-US"/>
        </w:rPr>
        <w:t>Rwigamba case</w:t>
      </w:r>
      <w:r w:rsidRPr="006155D3">
        <w:rPr>
          <w:rFonts w:ascii="Times New Roman" w:eastAsia="Times New Roman" w:hAnsi="Times New Roman" w:cs="Times New Roman"/>
          <w:sz w:val="24"/>
          <w:szCs w:val="24"/>
          <w:lang w:val="en-US"/>
        </w:rPr>
        <w:t>, Rwanda’s Military High Court stated:</w:t>
      </w:r>
      <w:r w:rsidRPr="006155D3">
        <w:rPr>
          <w:rFonts w:ascii="Times New Roman" w:eastAsia="Times New Roman" w:hAnsi="Times New Roman" w:cs="Times New Roman"/>
          <w:sz w:val="24"/>
          <w:szCs w:val="24"/>
          <w:lang w:val="en-US"/>
        </w:rPr>
        <w:br/>
        <w:t xml:space="preserve">- The Court finds that in the evening of 11/09/1995 at around 7h00 pm, in Kanama Commune, Kayove Sector, on the winding Nyakiriba road, enemies set up an ambush against a military Toyota Hilux pickup with Second Lieutenant RURAZA Claude on board, who was coming from Bigogwe military camp and heading to Gisenyi where he was transferred to, and shot at the car, causing the death of Second Lieutenant </w:t>
      </w:r>
      <w:r w:rsidRPr="006155D3">
        <w:rPr>
          <w:rFonts w:ascii="Times New Roman" w:eastAsia="Times New Roman" w:hAnsi="Times New Roman" w:cs="Times New Roman"/>
          <w:sz w:val="24"/>
          <w:szCs w:val="24"/>
          <w:lang w:val="en-US"/>
        </w:rPr>
        <w:lastRenderedPageBreak/>
        <w:t>RURAZA.</w:t>
      </w:r>
      <w:r w:rsidRPr="006155D3">
        <w:rPr>
          <w:rFonts w:ascii="Times New Roman" w:eastAsia="Times New Roman" w:hAnsi="Times New Roman" w:cs="Times New Roman"/>
          <w:sz w:val="24"/>
          <w:szCs w:val="24"/>
          <w:lang w:val="en-US"/>
        </w:rPr>
        <w:br/>
        <w:t>- The Court finds that Lieutenant Maitre RUTINYWA arrived at the place of the incident right after the shooting at the car, and took the body of Second Lieutenant RURAZA Claude and guns that were in the car to the Bigogwe military camp, and informed its Commander Major RWIGAMBA of the incident.</w:t>
      </w:r>
      <w:r w:rsidRPr="006155D3">
        <w:rPr>
          <w:rFonts w:ascii="Times New Roman" w:eastAsia="Times New Roman" w:hAnsi="Times New Roman" w:cs="Times New Roman"/>
          <w:sz w:val="24"/>
          <w:szCs w:val="24"/>
          <w:lang w:val="en-US"/>
        </w:rPr>
        <w:br/>
        <w:t>- The Court finds that Major RWIGAMBA, who was the Commander of the 5th Battalion, before leaving the Bigogwe camp for where the incident had taken place, sent a message to the Commander of Gisenyi and Ruhengeri Zone, (Brigade CO) Colonel BAGIRE, informing him that Second Lieutenant RURAZA Claude had been shot dead by enemies in an ambush, and informing him that he was about to go to the place of the incident and would keep informing him on developments;</w:t>
      </w:r>
      <w:r w:rsidRPr="006155D3">
        <w:rPr>
          <w:rFonts w:ascii="Times New Roman" w:eastAsia="Times New Roman" w:hAnsi="Times New Roman" w:cs="Times New Roman"/>
          <w:sz w:val="24"/>
          <w:szCs w:val="24"/>
          <w:lang w:val="en-US"/>
        </w:rPr>
        <w:br/>
        <w:t>- The Court finds that in the report Colonel BAGIRE proved that he did not receive the message in that night due to a communication problem, that he got the message in the morning and immediately left for Kanama, where the incident had taken place.</w:t>
      </w:r>
      <w:r w:rsidRPr="006155D3">
        <w:rPr>
          <w:rFonts w:ascii="Times New Roman" w:eastAsia="Times New Roman" w:hAnsi="Times New Roman" w:cs="Times New Roman"/>
          <w:sz w:val="24"/>
          <w:szCs w:val="24"/>
          <w:lang w:val="en-US"/>
        </w:rPr>
        <w:br/>
        <w:t>- The Court finds that Major RWIGAMBA, Commander of the 5th Battalion, just after learning about the death of Second Lieutenant RURAZA Claude in an ambush, immediately prepared a military operation within his Battalion in order to search for those enemies, using the technique of surrounding the sectors of Kayove and Bisizi in Kanama Commune in the area where Second Lieutenant RURAZA Claude had been shot dead.</w:t>
      </w:r>
      <w:r w:rsidRPr="006155D3">
        <w:rPr>
          <w:rFonts w:ascii="Times New Roman" w:eastAsia="Times New Roman" w:hAnsi="Times New Roman" w:cs="Times New Roman"/>
          <w:sz w:val="24"/>
          <w:szCs w:val="24"/>
          <w:lang w:val="en-US"/>
        </w:rPr>
        <w:br/>
        <w:t>- The Court finds that Major RWIGAMBA used, in that Battalion military operation, two platoons under the command of Second Lieutenant Emmanuel RUTAYISIRE who moved into the Kayove sector together with Major Goodman BAGURETE RUZIBIZA (OPTO of the 5th Battalion), and another platoon under the command of Second Lieutenant SANO moved into the Bisizi sector close to the place where Major RWIGAMBA was staying because the platoon had no message radio.</w:t>
      </w:r>
      <w:r w:rsidRPr="006155D3">
        <w:rPr>
          <w:rFonts w:ascii="Times New Roman" w:eastAsia="Times New Roman" w:hAnsi="Times New Roman" w:cs="Times New Roman"/>
          <w:sz w:val="24"/>
          <w:szCs w:val="24"/>
          <w:lang w:val="en-US"/>
        </w:rPr>
        <w:br/>
        <w:t>- The Court finds that Major RWIGAMBA gave orders to start surrounding the area in the night and to seek the enemy in the morning.</w:t>
      </w:r>
      <w:r w:rsidRPr="006155D3">
        <w:rPr>
          <w:rFonts w:ascii="Times New Roman" w:eastAsia="Times New Roman" w:hAnsi="Times New Roman" w:cs="Times New Roman"/>
          <w:sz w:val="24"/>
          <w:szCs w:val="24"/>
          <w:lang w:val="en-US"/>
        </w:rPr>
        <w:br/>
        <w:t>- The Court finds that the conclusions issued by the National Commission set up by the Vice President and Minister of Defence to investigate the incident are relevant, especially Article 2 where it states that: “there has been a military operation led by soldiers in that area with the aim of finding and capturing the enemy”, and therefore shows that there was no malicious intention to kill civilians.[]</w:t>
      </w:r>
      <w:r w:rsidRPr="006155D3">
        <w:rPr>
          <w:rFonts w:ascii="Times New Roman" w:eastAsia="Times New Roman" w:hAnsi="Times New Roman" w:cs="Times New Roman"/>
          <w:sz w:val="24"/>
          <w:szCs w:val="24"/>
          <w:lang w:val="en-US"/>
        </w:rPr>
        <w:br/>
        <w:t>- The Court finds that the military operation to surround the area in the night and to track the enemy in the morning was not respected, because at around 2h00am the enemy shot at the soldiers and then fighting started, and because at around 4h00am Major RWIGAMBA gave orders to Major RUZIBIZA, Second Lieutenant RUTAYISIRE and Second Lieutenant SANO to tell people to go attend a meeting in Bisizi Sector, the meeting aiming at comforting them and informing them not to give support to the enemy.</w:t>
      </w:r>
      <w:r w:rsidRPr="006155D3">
        <w:rPr>
          <w:rFonts w:ascii="Times New Roman" w:eastAsia="Times New Roman" w:hAnsi="Times New Roman" w:cs="Times New Roman"/>
          <w:sz w:val="24"/>
          <w:szCs w:val="24"/>
          <w:lang w:val="en-US"/>
        </w:rPr>
        <w:br/>
        <w:t>- The Court finds that the conclusions of the report of the National Commission to investigate incidents that occurred in Kanama Commune are relevant, especially Article 5 whereby it stipulates that: “there was excess use of force […] in that military operation”, this means that some civilian people were killed during that fighting;</w:t>
      </w:r>
      <w:r w:rsidRPr="006155D3">
        <w:rPr>
          <w:rFonts w:ascii="Times New Roman" w:eastAsia="Times New Roman" w:hAnsi="Times New Roman" w:cs="Times New Roman"/>
          <w:sz w:val="24"/>
          <w:szCs w:val="24"/>
          <w:lang w:val="en-US"/>
        </w:rPr>
        <w:br/>
        <w:t>- The Court finds that when soldiers were calling people to attend the meeting, some soldiers, who could not be recognized, killed some of the civilian people;</w:t>
      </w:r>
      <w:r w:rsidRPr="006155D3">
        <w:rPr>
          <w:rFonts w:ascii="Times New Roman" w:eastAsia="Times New Roman" w:hAnsi="Times New Roman" w:cs="Times New Roman"/>
          <w:sz w:val="24"/>
          <w:szCs w:val="24"/>
          <w:lang w:val="en-US"/>
        </w:rPr>
        <w:br/>
        <w:t xml:space="preserve">- The Court finds that the conclusions of the report of the National Commission to investigate incidents that occurred in Kanama Commune [are relevant], especially in Article 5 whereby it stipulates that: “there was a lack of commanding authority over the soldiers during that military operation”, which led to the killing of a number of civilian </w:t>
      </w:r>
      <w:r w:rsidRPr="006155D3">
        <w:rPr>
          <w:rFonts w:ascii="Times New Roman" w:eastAsia="Times New Roman" w:hAnsi="Times New Roman" w:cs="Times New Roman"/>
          <w:sz w:val="24"/>
          <w:szCs w:val="24"/>
          <w:lang w:val="en-US"/>
        </w:rPr>
        <w:lastRenderedPageBreak/>
        <w:t>persons by some soldiers;</w:t>
      </w:r>
      <w:r w:rsidRPr="006155D3">
        <w:rPr>
          <w:rFonts w:ascii="Times New Roman" w:eastAsia="Times New Roman" w:hAnsi="Times New Roman" w:cs="Times New Roman"/>
          <w:sz w:val="24"/>
          <w:szCs w:val="24"/>
          <w:lang w:val="en-US"/>
        </w:rPr>
        <w:br/>
        <w:t>- The Court finds that between 86 and 110 civilian people were killed, as set out by the National Commission to investigate incidents that occurred in Kanama Commune in its report, especially under Article 4;</w:t>
      </w:r>
      <w:r w:rsidRPr="006155D3">
        <w:rPr>
          <w:rFonts w:ascii="Times New Roman" w:eastAsia="Times New Roman" w:hAnsi="Times New Roman" w:cs="Times New Roman"/>
          <w:sz w:val="24"/>
          <w:szCs w:val="24"/>
          <w:lang w:val="en-US"/>
        </w:rPr>
        <w:br/>
        <w:t>- The Court finds that the crime of murder provided for and punished by Article 311 of the Rwandan Penal Code, with which Major RUZIBIZA, Second Lieutenant RUTAYISIRE and Second Lieutenant SANO are charged by the Military Prosecution, has not been committed, because there is no evidence proving beyond any reasonable doubt that they killed any civilians themselves or gave any order to kill civilians; therefore, the killings that happened were committed by some soldiers who were under their command but on their own behalf, and were done in secret;</w:t>
      </w:r>
      <w:r w:rsidRPr="006155D3">
        <w:rPr>
          <w:rFonts w:ascii="Times New Roman" w:eastAsia="Times New Roman" w:hAnsi="Times New Roman" w:cs="Times New Roman"/>
          <w:sz w:val="24"/>
          <w:szCs w:val="24"/>
          <w:lang w:val="en-US"/>
        </w:rPr>
        <w:br/>
        <w:t>- The Court finds that the crime of complicity for murder with which the Military Prosecution is charging Major RWIGAMBA, has not been committed, because there is no evidence beyond any reasonable doubt proving that he gave instructions to kill civilians to Major RUZIBIZA, Second Lieutenant RUTAYISIRE and Second Lieutenant SANO and that killings were committed by some soldiers who were under the command of Major RUZIBIZA, Second Lieutenant RUTAYISIRE and Second Lieutenant SANO on their own behalf and done in a secret way;</w:t>
      </w:r>
      <w:r w:rsidRPr="006155D3">
        <w:rPr>
          <w:rFonts w:ascii="Times New Roman" w:eastAsia="Times New Roman" w:hAnsi="Times New Roman" w:cs="Times New Roman"/>
          <w:sz w:val="24"/>
          <w:szCs w:val="24"/>
          <w:lang w:val="en-US"/>
        </w:rPr>
        <w:br/>
        <w:t>- The Court finds that Major RWIGAMBA, Major RUZIBIZA, Second Lieutenant RUTAYISIRE and Second Lieutenant SANO were negligent during that military operation in supervising soldiers who were under their command, [to prevent] them from killing civilians, in particular for the reason that there was no risk for them to do it because they have that authority; for that reason they have committed the crime of not providing assistance to a person in danger, provided for and punished by Article 256 paragraph one of the Rwandan Penal Code.</w:t>
      </w:r>
      <w:r w:rsidRPr="006155D3">
        <w:rPr>
          <w:rFonts w:ascii="Times New Roman" w:eastAsia="Times New Roman" w:hAnsi="Times New Roman" w:cs="Times New Roman"/>
          <w:sz w:val="24"/>
          <w:szCs w:val="24"/>
          <w:lang w:val="en-US"/>
        </w:rPr>
        <w:br/>
        <w:t>- The Court finds that the conclusion of the National Commission to investigate incidents that occurred in Kanama Commune is relevant, especially Article 5 whereby it stipulates that: “The Commission is of the view that the military commanders who carried out the military operation in Kanama Commune did not use sufficient diligence, they lacked supervision over soldiers in the operation”, so Major RUZIBIZA, Second Lieutenant RUTAYISIRE and Second Lieutenant SANO are convicted of the crime mentioned under the preceding paragraph.</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FOR ALL THE ABOVE REASONS, IN THE PRESENCE OF ALL PARTIES: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Pursuant to the Rwandan Penal Code, especially in Article 256 paragraph one;</w:t>
      </w:r>
      <w:r w:rsidRPr="006155D3">
        <w:rPr>
          <w:rFonts w:ascii="Times New Roman" w:eastAsia="Times New Roman" w:hAnsi="Times New Roman" w:cs="Times New Roman"/>
          <w:sz w:val="24"/>
          <w:szCs w:val="24"/>
          <w:lang w:val="en-US"/>
        </w:rPr>
        <w:br/>
        <w:t>Decides that Major RUZIBIZA is not guilty of the crime of murder provided for and punished by Article 311 of the Rwandan Penal Code, with which the Office of the Military Prosecutor General is charging him;</w:t>
      </w:r>
      <w:r w:rsidRPr="006155D3">
        <w:rPr>
          <w:rFonts w:ascii="Times New Roman" w:eastAsia="Times New Roman" w:hAnsi="Times New Roman" w:cs="Times New Roman"/>
          <w:sz w:val="24"/>
          <w:szCs w:val="24"/>
          <w:lang w:val="en-US"/>
        </w:rPr>
        <w:br/>
        <w:t>Finds Second Lieutenant RUTAYISIRE not guilty of the crime of murder provided for and punished by Article 311 of the Rwandan Penal Code, with which the Office of the Military Prosecutor General is charging him;</w:t>
      </w:r>
      <w:r w:rsidRPr="006155D3">
        <w:rPr>
          <w:rFonts w:ascii="Times New Roman" w:eastAsia="Times New Roman" w:hAnsi="Times New Roman" w:cs="Times New Roman"/>
          <w:sz w:val="24"/>
          <w:szCs w:val="24"/>
          <w:lang w:val="en-US"/>
        </w:rPr>
        <w:br/>
        <w:t>Finds Second Lieutenant SANO not guilty of the crime of murder provided for and punished by Article 311 of the Rwandan Penal Code, with which the Office of the Military Prosecutor General is charging him;</w:t>
      </w:r>
      <w:r w:rsidRPr="006155D3">
        <w:rPr>
          <w:rFonts w:ascii="Times New Roman" w:eastAsia="Times New Roman" w:hAnsi="Times New Roman" w:cs="Times New Roman"/>
          <w:sz w:val="24"/>
          <w:szCs w:val="24"/>
          <w:lang w:val="en-US"/>
        </w:rPr>
        <w:br/>
        <w:t>Finds Major RWIGAMBA not guilty of the crime of complicity for murder provided for and punished by Article 91 and 311 of the Rwandan Penal Code, with which the Office of the Military Prosecutor General is charging him;</w:t>
      </w:r>
      <w:r w:rsidRPr="006155D3">
        <w:rPr>
          <w:rFonts w:ascii="Times New Roman" w:eastAsia="Times New Roman" w:hAnsi="Times New Roman" w:cs="Times New Roman"/>
          <w:sz w:val="24"/>
          <w:szCs w:val="24"/>
          <w:lang w:val="en-US"/>
        </w:rPr>
        <w:br/>
        <w:t>Finds Major RWIGAMBA guilty of the crime of not providing assistance to a person in danger, as provided for and punished by Article 256 of the Rwandan Penal Code paragraph one, and shall therefore be punished;</w:t>
      </w:r>
      <w:r w:rsidRPr="006155D3">
        <w:rPr>
          <w:rFonts w:ascii="Times New Roman" w:eastAsia="Times New Roman" w:hAnsi="Times New Roman" w:cs="Times New Roman"/>
          <w:sz w:val="24"/>
          <w:szCs w:val="24"/>
          <w:lang w:val="en-US"/>
        </w:rPr>
        <w:br/>
        <w:t xml:space="preserve">Finds Major RUZIBIZA guilty of the crime of not providing assistance to a person in </w:t>
      </w:r>
      <w:r w:rsidRPr="006155D3">
        <w:rPr>
          <w:rFonts w:ascii="Times New Roman" w:eastAsia="Times New Roman" w:hAnsi="Times New Roman" w:cs="Times New Roman"/>
          <w:sz w:val="24"/>
          <w:szCs w:val="24"/>
          <w:lang w:val="en-US"/>
        </w:rPr>
        <w:lastRenderedPageBreak/>
        <w:t>danger, as provided for and punished by Article 256 of the Rwandan Penal Code paragraph one, and shall therefore be punished;</w:t>
      </w:r>
      <w:r w:rsidRPr="006155D3">
        <w:rPr>
          <w:rFonts w:ascii="Times New Roman" w:eastAsia="Times New Roman" w:hAnsi="Times New Roman" w:cs="Times New Roman"/>
          <w:sz w:val="24"/>
          <w:szCs w:val="24"/>
          <w:lang w:val="en-US"/>
        </w:rPr>
        <w:br/>
        <w:t>Finds Second Lieutenant RUTAYISIRE guilty of the crime of not providing assistance to a person in danger, as provided for and punished by Article 256 of the Rwandan Penal Code paragraph one, and shall therefore be punished;</w:t>
      </w:r>
      <w:r w:rsidRPr="006155D3">
        <w:rPr>
          <w:rFonts w:ascii="Times New Roman" w:eastAsia="Times New Roman" w:hAnsi="Times New Roman" w:cs="Times New Roman"/>
          <w:sz w:val="24"/>
          <w:szCs w:val="24"/>
          <w:lang w:val="en-US"/>
        </w:rPr>
        <w:br/>
        <w:t>Finds Second Lieutenant SANO guilty of the crime of not providing assistance to a person in danger, as provided for and punished by Article 256 of the Rwandan Penal Code paragraph one, and shall therefore be punished;</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Major RWIGAMBA is sentenced to twenty-eight (28) months of imprisonment.</w:t>
      </w:r>
      <w:r w:rsidRPr="006155D3">
        <w:rPr>
          <w:rFonts w:ascii="Times New Roman" w:eastAsia="Times New Roman" w:hAnsi="Times New Roman" w:cs="Times New Roman"/>
          <w:sz w:val="24"/>
          <w:szCs w:val="24"/>
          <w:lang w:val="en-US"/>
        </w:rPr>
        <w:br/>
        <w:t>- Major RUZIBIZA is sentenced to twenty-eight (28) months of imprisonment;</w:t>
      </w:r>
      <w:r w:rsidRPr="006155D3">
        <w:rPr>
          <w:rFonts w:ascii="Times New Roman" w:eastAsia="Times New Roman" w:hAnsi="Times New Roman" w:cs="Times New Roman"/>
          <w:sz w:val="24"/>
          <w:szCs w:val="24"/>
          <w:lang w:val="en-US"/>
        </w:rPr>
        <w:br/>
        <w:t>- Second Lieutenant RUTAYISIRE is sentenced to twenty-eight (28) months of imprisonment;</w:t>
      </w:r>
      <w:r w:rsidRPr="006155D3">
        <w:rPr>
          <w:rFonts w:ascii="Times New Roman" w:eastAsia="Times New Roman" w:hAnsi="Times New Roman" w:cs="Times New Roman"/>
          <w:sz w:val="24"/>
          <w:szCs w:val="24"/>
          <w:lang w:val="en-US"/>
        </w:rPr>
        <w:br/>
        <w:t>- Second Lieutenant SANO is sentenced to twenty-eight (28) months of imprisonment;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The Court reminds all parties that appeal must be made within thirty (30) days from the date of the public pronouncement of the judgement.</w:t>
      </w:r>
      <w:r>
        <w:rPr>
          <w:rFonts w:ascii="Times New Roman" w:eastAsia="Times New Roman" w:hAnsi="Times New Roman" w:cs="Times New Roman"/>
          <w:noProof/>
          <w:sz w:val="24"/>
          <w:szCs w:val="24"/>
        </w:rPr>
        <w:drawing>
          <wp:inline distT="0" distB="0" distL="0" distR="0">
            <wp:extent cx="151130" cy="142875"/>
            <wp:effectExtent l="19050" t="0" r="1270" b="0"/>
            <wp:docPr id="203" name="Imagen 2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December 1997, in the </w:t>
      </w:r>
      <w:r w:rsidRPr="006155D3">
        <w:rPr>
          <w:rFonts w:ascii="Times New Roman" w:eastAsia="Times New Roman" w:hAnsi="Times New Roman" w:cs="Times New Roman"/>
          <w:i/>
          <w:iCs/>
          <w:sz w:val="24"/>
          <w:szCs w:val="24"/>
          <w:lang w:val="en-US"/>
        </w:rPr>
        <w:t>Rugambwa case</w:t>
      </w:r>
      <w:r w:rsidRPr="006155D3">
        <w:rPr>
          <w:rFonts w:ascii="Times New Roman" w:eastAsia="Times New Roman" w:hAnsi="Times New Roman" w:cs="Times New Roman"/>
          <w:sz w:val="24"/>
          <w:szCs w:val="24"/>
          <w:lang w:val="en-US"/>
        </w:rPr>
        <w:t>, Rwanda’s Military High Court stated:</w:t>
      </w:r>
      <w:r w:rsidRPr="006155D3">
        <w:rPr>
          <w:rFonts w:ascii="Times New Roman" w:eastAsia="Times New Roman" w:hAnsi="Times New Roman" w:cs="Times New Roman"/>
          <w:sz w:val="24"/>
          <w:szCs w:val="24"/>
          <w:lang w:val="en-US"/>
        </w:rPr>
        <w:br/>
        <w:t>- The Court finds that in the evening of 02/03/1997 at around 06h30 p.m., near the Musanze school premises in Kigombe Commune, Ruhengeri Prefecture, the enemy set an ambush and shot at four vehicles, killed four people, injured seven others, attacked even the Musanze school, but failed as he was thwarted by the army.</w:t>
      </w:r>
      <w:r w:rsidRPr="006155D3">
        <w:rPr>
          <w:rFonts w:ascii="Times New Roman" w:eastAsia="Times New Roman" w:hAnsi="Times New Roman" w:cs="Times New Roman"/>
          <w:sz w:val="24"/>
          <w:szCs w:val="24"/>
          <w:lang w:val="en-US"/>
        </w:rPr>
        <w:br/>
        <w:t>- The Court finds that Major RUGAMBWA, who was the commander of the 5th Battalion that was in charge of Ruhengeri town and its surrounding areas, looked for means to carry out a military operation on the next morning in order to search for the enemy militiamen who had caused the incident the preceding day because they were still likely in that area.</w:t>
      </w:r>
      <w:r w:rsidRPr="006155D3">
        <w:rPr>
          <w:rFonts w:ascii="Times New Roman" w:eastAsia="Times New Roman" w:hAnsi="Times New Roman" w:cs="Times New Roman"/>
          <w:sz w:val="24"/>
          <w:szCs w:val="24"/>
          <w:lang w:val="en-US"/>
        </w:rPr>
        <w:br/>
        <w:t>- The Court finds that on 02/03/1997 Major RUGAMBWA, by walkie-talkie communication, called Lieutenant Colonel Laurent Munyakazi, Deputy Commander of the 211th Brigade, to tell him about the ambush; the latter immediately called Lieutenant Colonel Martin Nzaramba, Commander of the 211th Brigade, who ordered him to tell Major RUGAMBWA to give the Brigade Commander more details about that incident.</w:t>
      </w:r>
      <w:r w:rsidRPr="006155D3">
        <w:rPr>
          <w:rFonts w:ascii="Times New Roman" w:eastAsia="Times New Roman" w:hAnsi="Times New Roman" w:cs="Times New Roman"/>
          <w:sz w:val="24"/>
          <w:szCs w:val="24"/>
          <w:lang w:val="en-US"/>
        </w:rPr>
        <w:br/>
        <w:t>- The Court finds that Major RUGAMBWA did not observe that order and did not call Lieutenant Colonel Martin Nzaramba and that his allegations of not having been able to reach him are baseless because he had a variety of means of communication he could use, either telephone, walkie-talkie or radio, but that he did not use any of them;</w:t>
      </w:r>
      <w:r w:rsidRPr="006155D3">
        <w:rPr>
          <w:rFonts w:ascii="Times New Roman" w:eastAsia="Times New Roman" w:hAnsi="Times New Roman" w:cs="Times New Roman"/>
          <w:sz w:val="24"/>
          <w:szCs w:val="24"/>
          <w:lang w:val="en-US"/>
        </w:rPr>
        <w:br/>
        <w:t>- The Court finds that Major RUGAMBWA prepared the military operation without informing the 211th Brigade Commander who was the only person to authorize it, as Major RUGAMBWA had received clear instructions about it;</w:t>
      </w:r>
      <w:r w:rsidRPr="006155D3">
        <w:rPr>
          <w:rFonts w:ascii="Times New Roman" w:eastAsia="Times New Roman" w:hAnsi="Times New Roman" w:cs="Times New Roman"/>
          <w:sz w:val="24"/>
          <w:szCs w:val="24"/>
          <w:lang w:val="en-US"/>
        </w:rPr>
        <w:br/>
        <w:t>- The Court finds that Major RUGAMBWA, while preparing the military operation, got human support from EGENA [Ecole de la Gendarmerie Nationale – National Police School] school gendarmes and others from the Ruhengeri camp, in order to support his troops who were of a limited number because of their prior deployment to other places.</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The Court finds that soldiers from the 5th Battalion were deployed to Gashangiro, Gahondogo and Musanze sectors of Kigombe Commune, while gendarmes from EGENA and Ruhengeri camp were deployed to Kabaya sector of Kigombe commune and Kimonyi sector of Mukingo commune.</w:t>
      </w:r>
      <w:r w:rsidRPr="006155D3">
        <w:rPr>
          <w:rFonts w:ascii="Times New Roman" w:eastAsia="Times New Roman" w:hAnsi="Times New Roman" w:cs="Times New Roman"/>
          <w:sz w:val="24"/>
          <w:szCs w:val="24"/>
          <w:lang w:val="en-US"/>
        </w:rPr>
        <w:br/>
        <w:t xml:space="preserve">- The Court finds that instructions given to those soldiers were to move throughout </w:t>
      </w:r>
      <w:r w:rsidRPr="006155D3">
        <w:rPr>
          <w:rFonts w:ascii="Times New Roman" w:eastAsia="Times New Roman" w:hAnsi="Times New Roman" w:cs="Times New Roman"/>
          <w:sz w:val="24"/>
          <w:szCs w:val="24"/>
          <w:lang w:val="en-US"/>
        </w:rPr>
        <w:lastRenderedPageBreak/>
        <w:t>these sectors, search in houses, and after that to take the population, mainly men, to the playing field of Musanze secondary school where a meeting was to be held chaired by Major RUGAMBWA.</w:t>
      </w:r>
      <w:r w:rsidRPr="006155D3">
        <w:rPr>
          <w:rFonts w:ascii="Times New Roman" w:eastAsia="Times New Roman" w:hAnsi="Times New Roman" w:cs="Times New Roman"/>
          <w:sz w:val="24"/>
          <w:szCs w:val="24"/>
          <w:lang w:val="en-US"/>
        </w:rPr>
        <w:br/>
        <w:t>- The Court finds that the soldiers and gendarmes received no instructions to kill civilians.</w:t>
      </w:r>
      <w:r w:rsidRPr="006155D3">
        <w:rPr>
          <w:rFonts w:ascii="Times New Roman" w:eastAsia="Times New Roman" w:hAnsi="Times New Roman" w:cs="Times New Roman"/>
          <w:sz w:val="24"/>
          <w:szCs w:val="24"/>
          <w:lang w:val="en-US"/>
        </w:rPr>
        <w:br/>
        <w:t>- The Court finds that the military operation started at the same time in the sectors mentioned above between 6h00 and 8h00 until 14h00.</w:t>
      </w:r>
      <w:r w:rsidRPr="006155D3">
        <w:rPr>
          <w:rFonts w:ascii="Times New Roman" w:eastAsia="Times New Roman" w:hAnsi="Times New Roman" w:cs="Times New Roman"/>
          <w:sz w:val="24"/>
          <w:szCs w:val="24"/>
          <w:lang w:val="en-US"/>
        </w:rPr>
        <w:br/>
        <w:t>- The Court finds that the national army fought the enemy in the operation and fought to the extent that even one soldier of the Ruhengeri camp called Pte Simon Muhirwa was shot in the Kabaya sector at around 12h00.</w:t>
      </w:r>
      <w:r w:rsidRPr="006155D3">
        <w:rPr>
          <w:rFonts w:ascii="Times New Roman" w:eastAsia="Times New Roman" w:hAnsi="Times New Roman" w:cs="Times New Roman"/>
          <w:sz w:val="24"/>
          <w:szCs w:val="24"/>
          <w:lang w:val="en-US"/>
        </w:rPr>
        <w:br/>
        <w:t>- The Court finds that in the above sectors where the operation was carried out 151 members of the civilian population were killed as follows: in Kabaya Sector 104 civilians lost their lives, 14 in Kimonyi Sector, 25 in Gahondogo sector, 4 in Gashangiro Sector and 4 in Musanze Sector.</w:t>
      </w:r>
      <w:r w:rsidRPr="006155D3">
        <w:rPr>
          <w:rFonts w:ascii="Times New Roman" w:eastAsia="Times New Roman" w:hAnsi="Times New Roman" w:cs="Times New Roman"/>
          <w:sz w:val="24"/>
          <w:szCs w:val="24"/>
          <w:lang w:val="en-US"/>
        </w:rPr>
        <w:br/>
        <w:t>- The Court finds that among the people who were killed were children, women and the elderly and some of the soldiers, as confirmed by some of the local population questioned who explained how their relatives and their neighbours were abusively killed by some soldiers who were unidentified, using bullets and traditional weapons.</w:t>
      </w:r>
      <w:r w:rsidRPr="006155D3">
        <w:rPr>
          <w:rFonts w:ascii="Times New Roman" w:eastAsia="Times New Roman" w:hAnsi="Times New Roman" w:cs="Times New Roman"/>
          <w:sz w:val="24"/>
          <w:szCs w:val="24"/>
          <w:lang w:val="en-US"/>
        </w:rPr>
        <w:br/>
        <w:t>- The Court finds that some of the soldiers who were in the operation have [been] questioned and affirmed that they have confirmed that their superiors did not closely supervise the operation and hence members of the civilian population were killed.</w:t>
      </w:r>
      <w:r w:rsidRPr="006155D3">
        <w:rPr>
          <w:rFonts w:ascii="Times New Roman" w:eastAsia="Times New Roman" w:hAnsi="Times New Roman" w:cs="Times New Roman"/>
          <w:sz w:val="24"/>
          <w:szCs w:val="24"/>
          <w:lang w:val="en-US"/>
        </w:rPr>
        <w:br/>
        <w:t>- The Court finds that Major RUGAMBWA, instead of following up the military operation, was moving around hearing gunshots;</w:t>
      </w:r>
      <w:r w:rsidRPr="006155D3">
        <w:rPr>
          <w:rFonts w:ascii="Times New Roman" w:eastAsia="Times New Roman" w:hAnsi="Times New Roman" w:cs="Times New Roman"/>
          <w:sz w:val="24"/>
          <w:szCs w:val="24"/>
          <w:lang w:val="en-US"/>
        </w:rPr>
        <w:br/>
        <w:t>- The Court finds that Major RUGAMBWA was informed by Lieutenant Kagarura that he had seen a big number of civilians killed but he did not do anything, he rather went on driving around.</w:t>
      </w:r>
      <w:r w:rsidRPr="006155D3">
        <w:rPr>
          <w:rFonts w:ascii="Times New Roman" w:eastAsia="Times New Roman" w:hAnsi="Times New Roman" w:cs="Times New Roman"/>
          <w:sz w:val="24"/>
          <w:szCs w:val="24"/>
          <w:lang w:val="en-US"/>
        </w:rPr>
        <w:br/>
        <w:t>- The Court finds that Major RUGAMBWA prepared the operation brutally and did not inform any of his superiors and did not even supervise his soldiers during the operation, but rather preferred to move around while he could hear gunshots everywhere. That negligence, gross recklessness and lack of diligence caused the death of many civilian people, that crime is provided for and punished by Articles 343 and 344 of the Rwandan penal code.</w:t>
      </w:r>
      <w:r w:rsidRPr="006155D3">
        <w:rPr>
          <w:rFonts w:ascii="Times New Roman" w:eastAsia="Times New Roman" w:hAnsi="Times New Roman" w:cs="Times New Roman"/>
          <w:sz w:val="24"/>
          <w:szCs w:val="24"/>
          <w:lang w:val="en-US"/>
        </w:rPr>
        <w:br/>
        <w:t>- The Court finds that Major RUGAMBWA in the course of the operation was told by Lieutenant Kagarura that there were some people killed by soldiers, but he ignored it and did not even take his soldiers before justice; that would be considered mitigating circumstances to the crime of murder and complicity for murder as provided for by Article 258 of the Rwandan Penal Code.</w:t>
      </w:r>
      <w:r w:rsidRPr="006155D3">
        <w:rPr>
          <w:rFonts w:ascii="Times New Roman" w:eastAsia="Times New Roman" w:hAnsi="Times New Roman" w:cs="Times New Roman"/>
          <w:sz w:val="24"/>
          <w:szCs w:val="24"/>
          <w:lang w:val="en-US"/>
        </w:rPr>
        <w:br/>
        <w:t>- The Court finds that there was a joint criminal enterprise as provided for by Article 94 paragraph 1 of the Rwandan Penal Code;</w:t>
      </w:r>
      <w:r w:rsidRPr="006155D3">
        <w:rPr>
          <w:rFonts w:ascii="Times New Roman" w:eastAsia="Times New Roman" w:hAnsi="Times New Roman" w:cs="Times New Roman"/>
          <w:sz w:val="24"/>
          <w:szCs w:val="24"/>
          <w:lang w:val="en-US"/>
        </w:rPr>
        <w:br/>
        <w:t>- The Court finds that on charges of which Major RUGAMBWA Claver was a good performing soldier, the fact that it was the first time he has committed such faults would serve as mitigating circumstances;</w:t>
      </w:r>
      <w:r w:rsidRPr="006155D3">
        <w:rPr>
          <w:rFonts w:ascii="Times New Roman" w:eastAsia="Times New Roman" w:hAnsi="Times New Roman" w:cs="Times New Roman"/>
          <w:sz w:val="24"/>
          <w:szCs w:val="24"/>
          <w:lang w:val="en-US"/>
        </w:rPr>
        <w:br/>
        <w:t>- The Court finds that some of the soldiers that were under the command of Lieutenant Jean Bosco RUTIKANGA, Second Lieutenant Deus KARAKASI, Second Lieutenant Sylvestre KABANGO, Second Lieutenant Evariste NSABIMANA, S/Sgt TUYISENGE Amiel killed some civilian people with the assistance of their commanders because they were watching what was happening and did nothing to stop the killing, they rather acted as blessing them, this facilitated the commission of that crime which is provided for and punished by Articles 89, 91 paragraph 3 and 311 of the Rwandan Penal Code.</w:t>
      </w:r>
      <w:r w:rsidRPr="006155D3">
        <w:rPr>
          <w:rFonts w:ascii="Times New Roman" w:eastAsia="Times New Roman" w:hAnsi="Times New Roman" w:cs="Times New Roman"/>
          <w:sz w:val="24"/>
          <w:szCs w:val="24"/>
          <w:lang w:val="en-US"/>
        </w:rPr>
        <w:br/>
        <w:t xml:space="preserve">- The Court finds that the fact that soldiers who killed civilian persons were not </w:t>
      </w:r>
      <w:r w:rsidRPr="006155D3">
        <w:rPr>
          <w:rFonts w:ascii="Times New Roman" w:eastAsia="Times New Roman" w:hAnsi="Times New Roman" w:cs="Times New Roman"/>
          <w:sz w:val="24"/>
          <w:szCs w:val="24"/>
          <w:lang w:val="en-US"/>
        </w:rPr>
        <w:lastRenderedPageBreak/>
        <w:t>identified could not render Lieutenant Jean Bosco RUTIKANGA, Second Lieutenant Deus KARAKASI, Second Lieutenant Sylvestre KABANGO, Second Lieutenant Evariste NSABIMANA, S/Sgt TUYISENGE Amiel innocent of the crime of complicity for genocide.</w:t>
      </w:r>
      <w:r w:rsidRPr="006155D3">
        <w:rPr>
          <w:rFonts w:ascii="Times New Roman" w:eastAsia="Times New Roman" w:hAnsi="Times New Roman" w:cs="Times New Roman"/>
          <w:sz w:val="24"/>
          <w:szCs w:val="24"/>
          <w:lang w:val="en-US"/>
        </w:rPr>
        <w:br/>
        <w:t>- The Court finds that Lieutenant Jean Bosco RUTIKANGA, Second Lieutenant Deus KARAKASI, Second Lieutenant Sylvestre KABANGO, Second Lieutenant Evariste NSABIMANA, S/Sgt TUYISENGE Amiel knew that the soldiers under their command were killing civilian people and it was in their power to prevent or limit the consequences but they did not inform any judicial or administrative authorities in order to have those soldiers punished; the crime is provided for and punished by Article 258 of the Rwandan Penal Code.</w:t>
      </w:r>
      <w:r w:rsidRPr="006155D3">
        <w:rPr>
          <w:rFonts w:ascii="Times New Roman" w:eastAsia="Times New Roman" w:hAnsi="Times New Roman" w:cs="Times New Roman"/>
          <w:sz w:val="24"/>
          <w:szCs w:val="24"/>
          <w:lang w:val="en-US"/>
        </w:rPr>
        <w:br/>
        <w:t>- The Court finds that with regard to crimes committed by Lieutenant RUTIKANGA John Bosco, Second Lieutenant Deus KARAKASI, Second Lieutenant Sylvestre KABANGO, Second Lieutenant Evariste NSABIMANA, S/Sgt TUYISENGE Amiel, there is a joint criminal enterprise, that is provided for by Article 93 Book 1 of the Rwandan Penal Code.</w:t>
      </w:r>
      <w:r w:rsidRPr="006155D3">
        <w:rPr>
          <w:rFonts w:ascii="Times New Roman" w:eastAsia="Times New Roman" w:hAnsi="Times New Roman" w:cs="Times New Roman"/>
          <w:sz w:val="24"/>
          <w:szCs w:val="24"/>
          <w:lang w:val="en-US"/>
        </w:rPr>
        <w:br/>
        <w:t>- The Court considers that the fact that Lieutenant RUTIKANGA John Bosco, Second Lieutenant Deus KARAKASI, Second Lieutenant Sylvestre KABANGO, Second Lieutenant Evariste NSABIMANA, S/Sgt TUYISENGE Amiel were deployed in a region where they often had to fight against the enemy, had to stay under the trauma of fighting at anytime, which may even cause them lack of good control of soldiers under their command, shall be mitigating circumstances.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FOR ALL THE ABOVE REASONS, THE MILITARY HIGH COURT</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 Pursuant to the Rwandan Penal Code, especially Articles 89, 91 paragraph 3; 93; 94 paragraph one, 343 and 344;</w:t>
      </w:r>
      <w:r w:rsidRPr="006155D3">
        <w:rPr>
          <w:rFonts w:ascii="Times New Roman" w:eastAsia="Times New Roman" w:hAnsi="Times New Roman" w:cs="Times New Roman"/>
          <w:sz w:val="24"/>
          <w:szCs w:val="24"/>
          <w:lang w:val="en-US"/>
        </w:rPr>
        <w:br/>
        <w:t>- Finds Major RUGAMBWA Claver guilty and liable for the crime of murder due to negligence, recklessness, imprudence and insubordination without malicious intent, provided for and punished by Articles 343 and 344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Major RUGAMBWA Claver guilty and liable for the crime of having knowledge of an intention to commit a crime, and it was in his/her power to prevent or limit the consequences but he did not inform any judicial or administrative authorities, as provided for and punished by Article 258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Lieutenant Jean Bosco RUTIKANGA guilty and liable for the crime of complicity for murder as provided for and punished by Articles 89, 91 paragraph 3, and 311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Second Lieutenant Sylvestre KABANGO guilty and liable for the crime of complicity for murder as provided for and punished by Articles 89, 91 paragraph 3s and 311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Second Lieutenant Deus KARAKASI guilty and liable for the crime of complicity for murder as provided for and punished by Articles 89, 91 paragraph 3, and 311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xml:space="preserve">- Finds Second Lieutenant Evariste NSABIMANA guilty and liable for the crime of complicity for murder as provided for and punished by Articles 89, 91 paragraph 3, and 311 of the Rwandan Penal Code, a crime of which he was accused by the Office of the </w:t>
      </w:r>
      <w:r w:rsidRPr="006155D3">
        <w:rPr>
          <w:rFonts w:ascii="Times New Roman" w:eastAsia="Times New Roman" w:hAnsi="Times New Roman" w:cs="Times New Roman"/>
          <w:sz w:val="24"/>
          <w:szCs w:val="24"/>
          <w:lang w:val="en-US"/>
        </w:rPr>
        <w:lastRenderedPageBreak/>
        <w:t>Military Prosecutor General;</w:t>
      </w:r>
      <w:r w:rsidRPr="006155D3">
        <w:rPr>
          <w:rFonts w:ascii="Times New Roman" w:eastAsia="Times New Roman" w:hAnsi="Times New Roman" w:cs="Times New Roman"/>
          <w:sz w:val="24"/>
          <w:szCs w:val="24"/>
          <w:lang w:val="en-US"/>
        </w:rPr>
        <w:br/>
        <w:t>- Finds Second Sergeant TUYISENGE Amiel guilty and liable for the crime of complicity for murder as provided for and punished by Articles 89, 91 paragraph 3, and 311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Lieutenant Jean Bosco RUTIKANGA guilty and liable for the crime of having knowledge of the commission or the intention to commit a crime, and it was in his/her power to prevent or limit the consequences but he did not inform any judicial or administrative authorities, as provided for and punished by Article 258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Second Lieutenant Sylvestre KABANGO guilty and liable for the crime of having knowledge of the commission or the intention to commit a crime, and it was in his/her power to prevent or limit the consequences but he did not inform any judicial or administrative authorities, as provided for and punished by Article 258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Second Lieutenant Deus KARAKASI guilty and liable for the crime of having knowledge of the commission or the intention to commit a crime, and it was in his/her power to prevent or limit the consequences but he did not inform any judicial or administrative authorities, as provided for and punished by Article 258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Second Lieutenant Evariste NSABIMANA guilty and liable for the crime of having knowledge of the commission or the intention to commit a crime, and it was in his/her power to prevent or limit the consequences but he did not inform any judicial or administrative authorities, as provided for and punished by Article 258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 Finds Staff Sergeant TUYISENGE Amiel guilty and liable for the crime of having knowledge of the commission or the intention to commit a crime, and it was in his/her power to prevent or limit the consequences but he did not inform any judicial or administrative authorities, as provided for and punished by Article 258 of the Rwandan Penal Code, a crime of which he was accused by the Office of the Military Prosecutor General;</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 Sentences Major Claver RUGAMBWA to forty-four (44) months imprisonment;</w:t>
      </w:r>
      <w:r w:rsidRPr="006155D3">
        <w:rPr>
          <w:rFonts w:ascii="Times New Roman" w:eastAsia="Times New Roman" w:hAnsi="Times New Roman" w:cs="Times New Roman"/>
          <w:sz w:val="24"/>
          <w:szCs w:val="24"/>
          <w:lang w:val="en-US"/>
        </w:rPr>
        <w:br/>
        <w:t>- Sentences Lieutenant RUTIKANGA Jean Bosco to five (5) years’ imprisonment;</w:t>
      </w:r>
      <w:r w:rsidRPr="006155D3">
        <w:rPr>
          <w:rFonts w:ascii="Times New Roman" w:eastAsia="Times New Roman" w:hAnsi="Times New Roman" w:cs="Times New Roman"/>
          <w:sz w:val="24"/>
          <w:szCs w:val="24"/>
          <w:lang w:val="en-US"/>
        </w:rPr>
        <w:br/>
        <w:t>- Sentences Second Lieutenant Sylvestre KABANGO to five (5) years’ imprisonment;</w:t>
      </w:r>
      <w:r w:rsidRPr="006155D3">
        <w:rPr>
          <w:rFonts w:ascii="Times New Roman" w:eastAsia="Times New Roman" w:hAnsi="Times New Roman" w:cs="Times New Roman"/>
          <w:sz w:val="24"/>
          <w:szCs w:val="24"/>
          <w:lang w:val="en-US"/>
        </w:rPr>
        <w:br/>
        <w:t>- Sentences Second Lieutenant Deus KARAKASI to five (5) years’ imprisonment;</w:t>
      </w:r>
      <w:r w:rsidRPr="006155D3">
        <w:rPr>
          <w:rFonts w:ascii="Times New Roman" w:eastAsia="Times New Roman" w:hAnsi="Times New Roman" w:cs="Times New Roman"/>
          <w:sz w:val="24"/>
          <w:szCs w:val="24"/>
          <w:lang w:val="en-US"/>
        </w:rPr>
        <w:br/>
        <w:t>- Sentences Second Lieutenant Evariste NSABIMANA to five (5) years’ imprisonment;</w:t>
      </w:r>
      <w:r w:rsidRPr="006155D3">
        <w:rPr>
          <w:rFonts w:ascii="Times New Roman" w:eastAsia="Times New Roman" w:hAnsi="Times New Roman" w:cs="Times New Roman"/>
          <w:sz w:val="24"/>
          <w:szCs w:val="24"/>
          <w:lang w:val="en-US"/>
        </w:rPr>
        <w:br/>
        <w:t>- Sentences Staff Sergeant TUYISENGE Amiel to five (5) years’ imprisonment;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Reminds all the Parties that the period within which to appeal is thirty (30) days counting from the day of pronouncement of this judgement.</w:t>
      </w:r>
      <w:r>
        <w:rPr>
          <w:rFonts w:ascii="Times New Roman" w:eastAsia="Times New Roman" w:hAnsi="Times New Roman" w:cs="Times New Roman"/>
          <w:noProof/>
          <w:sz w:val="24"/>
          <w:szCs w:val="24"/>
        </w:rPr>
        <w:drawing>
          <wp:inline distT="0" distB="0" distL="0" distR="0">
            <wp:extent cx="151130" cy="142875"/>
            <wp:effectExtent l="19050" t="0" r="1270" b="0"/>
            <wp:docPr id="204" name="Imagen 2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Kingdom of Great Britain and Northern Ireland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Rauer case</w:t>
      </w:r>
      <w:r w:rsidRPr="006155D3">
        <w:rPr>
          <w:rFonts w:ascii="Times New Roman" w:eastAsia="Times New Roman" w:hAnsi="Times New Roman" w:cs="Times New Roman"/>
          <w:sz w:val="24"/>
          <w:szCs w:val="24"/>
          <w:lang w:val="en-US"/>
        </w:rPr>
        <w:t xml:space="preserve"> in 1946, the British Military Court at Wuppertal found that none of the accused, among which were Major Rauer and other commanding officers, could be tried for having given an order to kill POWs for lack of evidence. However, it tried the accused for being guilty of “being concerned in the killing of the prisoners”.</w:t>
      </w:r>
      <w:r>
        <w:rPr>
          <w:rFonts w:ascii="Times New Roman" w:eastAsia="Times New Roman" w:hAnsi="Times New Roman" w:cs="Times New Roman"/>
          <w:noProof/>
          <w:sz w:val="24"/>
          <w:szCs w:val="24"/>
        </w:rPr>
        <w:drawing>
          <wp:inline distT="0" distB="0" distL="0" distR="0">
            <wp:extent cx="151130" cy="142875"/>
            <wp:effectExtent l="19050" t="0" r="1270" b="0"/>
            <wp:docPr id="205" name="Imagen 2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United States of America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its judgment in the </w:t>
      </w:r>
      <w:r w:rsidRPr="006155D3">
        <w:rPr>
          <w:rFonts w:ascii="Times New Roman" w:eastAsia="Times New Roman" w:hAnsi="Times New Roman" w:cs="Times New Roman"/>
          <w:i/>
          <w:iCs/>
          <w:sz w:val="24"/>
          <w:szCs w:val="24"/>
          <w:lang w:val="en-US"/>
        </w:rPr>
        <w:t>Von Leeb case (The German High Command Trial)</w:t>
      </w:r>
      <w:r w:rsidRPr="006155D3">
        <w:rPr>
          <w:rFonts w:ascii="Times New Roman" w:eastAsia="Times New Roman" w:hAnsi="Times New Roman" w:cs="Times New Roman"/>
          <w:sz w:val="24"/>
          <w:szCs w:val="24"/>
          <w:lang w:val="en-US"/>
        </w:rPr>
        <w:t xml:space="preserve"> in 1947/48 relative to the duty of commanders in occupied territory, the US Military Tribunal at Nuremberg, under the heading “Responsibility of a Commanding Officer for Acts not Ordered by Him”, stated:</w:t>
      </w:r>
      <w:r w:rsidRPr="006155D3">
        <w:rPr>
          <w:rFonts w:ascii="Times New Roman" w:eastAsia="Times New Roman" w:hAnsi="Times New Roman" w:cs="Times New Roman"/>
          <w:sz w:val="24"/>
          <w:szCs w:val="24"/>
          <w:lang w:val="en-US"/>
        </w:rPr>
        <w:br/>
        <w:t>Criminality does not attach to every individual in [the] chain of command from that fact alone. There must be a personal dereliction. That can occur only where the act is directly traceable to [the commander] or where his failure to properly supervise his subordinates constitutes criminal negligence on his part. In the latter case, it must be a personal neglect amounting to a wanton, immoral disregard of the action of his subordinates amounting to acquiescence. Any other interpretation of International Law would go far beyond the basic principles of criminal law as known to civilized nations.</w:t>
      </w:r>
      <w:r>
        <w:rPr>
          <w:rFonts w:ascii="Times New Roman" w:eastAsia="Times New Roman" w:hAnsi="Times New Roman" w:cs="Times New Roman"/>
          <w:noProof/>
          <w:sz w:val="24"/>
          <w:szCs w:val="24"/>
        </w:rPr>
        <w:drawing>
          <wp:inline distT="0" distB="0" distL="0" distR="0">
            <wp:extent cx="151130" cy="142875"/>
            <wp:effectExtent l="19050" t="0" r="1270" b="0"/>
            <wp:docPr id="206" name="Imagen 2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It is the opinion of this Tribunal that a State can, as to certain matters, under International Law, limit the exercise of sovereign powers by a military commander in an occupied area, but we are also of the opinion that under International Law and accepted usages of civilized nations, that he has certain responsibilities which he cannot set aside or ignore by reason of activities of his own State within his area … The situation is somewhat analogous to the accepted principle of International Law that the army which captures the soldiers of its adversary has certain fixed responsibilities as to their care and treatment.</w:t>
      </w:r>
      <w:r>
        <w:rPr>
          <w:rFonts w:ascii="Times New Roman" w:eastAsia="Times New Roman" w:hAnsi="Times New Roman" w:cs="Times New Roman"/>
          <w:noProof/>
          <w:sz w:val="24"/>
          <w:szCs w:val="24"/>
        </w:rPr>
        <w:drawing>
          <wp:inline distT="0" distB="0" distL="0" distR="0">
            <wp:extent cx="151130" cy="142875"/>
            <wp:effectExtent l="19050" t="0" r="1270" b="0"/>
            <wp:docPr id="207" name="Imagen 2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its judgment in the </w:t>
      </w:r>
      <w:r w:rsidRPr="006155D3">
        <w:rPr>
          <w:rFonts w:ascii="Times New Roman" w:eastAsia="Times New Roman" w:hAnsi="Times New Roman" w:cs="Times New Roman"/>
          <w:i/>
          <w:iCs/>
          <w:sz w:val="24"/>
          <w:szCs w:val="24"/>
          <w:lang w:val="en-US"/>
        </w:rPr>
        <w:t>List case (The Hostages Trial)</w:t>
      </w:r>
      <w:r w:rsidRPr="006155D3">
        <w:rPr>
          <w:rFonts w:ascii="Times New Roman" w:eastAsia="Times New Roman" w:hAnsi="Times New Roman" w:cs="Times New Roman"/>
          <w:sz w:val="24"/>
          <w:szCs w:val="24"/>
          <w:lang w:val="en-US"/>
        </w:rPr>
        <w:t xml:space="preserve"> in 1947/48, the US Military Tribunal at Nuremberg stated:</w:t>
      </w:r>
      <w:r w:rsidRPr="006155D3">
        <w:rPr>
          <w:rFonts w:ascii="Times New Roman" w:eastAsia="Times New Roman" w:hAnsi="Times New Roman" w:cs="Times New Roman"/>
          <w:sz w:val="24"/>
          <w:szCs w:val="24"/>
          <w:lang w:val="en-US"/>
        </w:rPr>
        <w:br/>
        <w:t>We have herein before pointed out that it is the duty of the commanding general in occupied territory to maintain peace and order, punish crimes and protect lives and property. This duty extends not only to inhabitants of the occupied territory but to his own troops and auxiliaries as well … The duty and responsibility for maintaining peace and order, and the prevention of crime rests upon the commanding general. He cannot ignore obvious facts and plead ignorance as a defence … Those responsible for such crimes [i.e. violations of the 1907 Hague Regulations] by ordering or authorizing their commission, or by a failure to take effective steps to prevent their execution or recurrence, must be held to account if International Law is to be anything more than an ethical code, barren of any practical coercive deterrent.</w:t>
      </w:r>
      <w:r>
        <w:rPr>
          <w:rFonts w:ascii="Times New Roman" w:eastAsia="Times New Roman" w:hAnsi="Times New Roman" w:cs="Times New Roman"/>
          <w:noProof/>
          <w:sz w:val="24"/>
          <w:szCs w:val="24"/>
        </w:rPr>
        <w:drawing>
          <wp:inline distT="0" distB="0" distL="0" distR="0">
            <wp:extent cx="151130" cy="142875"/>
            <wp:effectExtent l="19050" t="0" r="1270" b="0"/>
            <wp:docPr id="208" name="Imagen 2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Not once did he condemn such acts as unlawful. Not once did he call to account those responsible for these inhumane and barbarous acts. His failure to terminate these unlawful killings and to take adequate steps to prevent their recurrence constitutes a serious breach of duty and imposes criminal responsibility … [A] commanding general of occupied territory cannot escape responsibility by a claim of a want of authority. The authority is inherent in his position as commanding general of occupied territory. The primary responsibility for the prevention and punishment of crime lies with the commanding general, a responsibility from which he cannot escape by denying his authority over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09" name="Imagen 2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Yamashita case</w:t>
      </w:r>
      <w:r w:rsidRPr="006155D3">
        <w:rPr>
          <w:rFonts w:ascii="Times New Roman" w:eastAsia="Times New Roman" w:hAnsi="Times New Roman" w:cs="Times New Roman"/>
          <w:sz w:val="24"/>
          <w:szCs w:val="24"/>
          <w:lang w:val="en-US"/>
        </w:rPr>
        <w:t xml:space="preserve"> in 1946 involving the trial of the military governor and commanding general of Japan in the Philippines between 9 October 1944 and 2 September 1945, the US Supreme Court was called upon to decide whether the accused could be held responsible for the violations of IHL committed by the troops under his command. The charge alleged that the accused, even though he did not commit or direct the commission of the acts,</w:t>
      </w:r>
      <w:r w:rsidRPr="006155D3">
        <w:rPr>
          <w:rFonts w:ascii="Times New Roman" w:eastAsia="Times New Roman" w:hAnsi="Times New Roman" w:cs="Times New Roman"/>
          <w:sz w:val="24"/>
          <w:szCs w:val="24"/>
          <w:lang w:val="en-US"/>
        </w:rPr>
        <w:br/>
        <w:t xml:space="preserve">while commander of armed forces of Japan at war with the United States of America and its allies, unlawfully disregarded and failed to discharge his duty as commander to </w:t>
      </w:r>
      <w:r w:rsidRPr="006155D3">
        <w:rPr>
          <w:rFonts w:ascii="Times New Roman" w:eastAsia="Times New Roman" w:hAnsi="Times New Roman" w:cs="Times New Roman"/>
          <w:sz w:val="24"/>
          <w:szCs w:val="24"/>
          <w:lang w:val="en-US"/>
        </w:rPr>
        <w:lastRenderedPageBreak/>
        <w:t>control the operations of the members of his command, permitting them to commit brutal atrocities and other high crimes against the people of the United States and of its allies and dependencies, particularly the Philippines; and he … thereby violated the laws of war.</w:t>
      </w:r>
      <w:r>
        <w:rPr>
          <w:rFonts w:ascii="Times New Roman" w:eastAsia="Times New Roman" w:hAnsi="Times New Roman" w:cs="Times New Roman"/>
          <w:noProof/>
          <w:sz w:val="24"/>
          <w:szCs w:val="24"/>
        </w:rPr>
        <w:drawing>
          <wp:inline distT="0" distB="0" distL="0" distR="0">
            <wp:extent cx="151130" cy="142875"/>
            <wp:effectExtent l="19050" t="0" r="1270" b="0"/>
            <wp:docPr id="210" name="Imagen 2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It is evident that the conduct of military operations by troops whose excesses are unrestrained by the orders or efforts of their commander would almost certainly result in violations which it is the purpose of the law of war to prevent. Its purpose to protect civilian populations and prisoners of war from brutality would largely be defeated if the commander of an invading army could with impunity neglect to take reasonable measures for their protection. Hence, the law of war presupposes that its violation is to be avoided through the control of the operations of war by commanders who are to some extent responsible for their subordinates.</w:t>
      </w:r>
      <w:r>
        <w:rPr>
          <w:rFonts w:ascii="Times New Roman" w:eastAsia="Times New Roman" w:hAnsi="Times New Roman" w:cs="Times New Roman"/>
          <w:noProof/>
          <w:sz w:val="24"/>
          <w:szCs w:val="24"/>
        </w:rPr>
        <w:drawing>
          <wp:inline distT="0" distB="0" distL="0" distR="0">
            <wp:extent cx="151130" cy="142875"/>
            <wp:effectExtent l="19050" t="0" r="1270" b="0"/>
            <wp:docPr id="211" name="Imagen 2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These provisions plainly imposed on petitioner, who at the time specified was military governor of the Philippines, as well as commander of the Japanese forces, an affirmative duty to take such measures as were within his power and appropriate in the circumstances to protect prisoners of war and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212" name="Imagen 2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There are numerous instances, especially with reference to the Philippines insurrection in 1900 and 1901, where commanding officers were found to have violated the laws of war by specifically ordering members of their command to commit atrocities and other war crimes … And in other cases officers have been held liable where they knew that a crime was to be committed, had the power to prevent it and failed to exercise that power … In no recorded instance, however, has the mere inability to control troops under fire or attack by superior forces been made the basis of a charge of violating the laws of war … No one denies that inaction or negligence may give rise to liability, civil or criminal. But it is quite another thing to say that the inability to control troops under highly competitive and disastrous battle conditions renders one guilty of a war crime in the absence of personal culpability. Had there been some element of knowledge or direct connection with the atrocities the problem would be entirely different … The only conclusion I can draw is that the charge made against the petitioner is clearly without precedent in international law or in the annals of recorded military history. This is not to say that enemy commanders may escape punishment for clear and unlawful failures to prevent atrocities. But that punishment should be based upon charges fairly drawn in light of established rules of international law and recognized concepts of justice.</w:t>
      </w:r>
      <w:r>
        <w:rPr>
          <w:rFonts w:ascii="Times New Roman" w:eastAsia="Times New Roman" w:hAnsi="Times New Roman" w:cs="Times New Roman"/>
          <w:noProof/>
          <w:sz w:val="24"/>
          <w:szCs w:val="24"/>
        </w:rPr>
        <w:drawing>
          <wp:inline distT="0" distB="0" distL="0" distR="0">
            <wp:extent cx="151130" cy="142875"/>
            <wp:effectExtent l="19050" t="0" r="1270" b="0"/>
            <wp:docPr id="213" name="Imagen 2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There is no suggestion in the findings that petitioner personally participated in, was present at the occurrence of, or ordered any of these incidents … Nor is there any express finding that he knew of any one of the incidents in particular or of all taken together. The only inferential findings that he had knowledge, or that the commission so found, are in the statement that “crimes alleged to have been permitted by the accused in violation of the laws of war may be grouped into three categories” set out below. In the further statement that “the prosecution presented evidence to show that the crimes were so extensive and widespread, both as to time and area, that they must either have been wilfully permitted by the accused, or secretly ordered by” him; and in the conclusions of guilt and the sentence. Indeed, the commission’s ultimate findings draw no express conclusion of knowledge, but state only two things: (1) the fact of widespread atrocities and crimes; (2) that petitioner “failed to provide effective control … as was required by the circumstances” … In the state of things petitioner has been convicted of a crime in which knowledge is an essential element.</w:t>
      </w:r>
      <w:r>
        <w:rPr>
          <w:rFonts w:ascii="Times New Roman" w:eastAsia="Times New Roman" w:hAnsi="Times New Roman" w:cs="Times New Roman"/>
          <w:noProof/>
          <w:sz w:val="24"/>
          <w:szCs w:val="24"/>
        </w:rPr>
        <w:drawing>
          <wp:inline distT="0" distB="0" distL="0" distR="0">
            <wp:extent cx="151130" cy="142875"/>
            <wp:effectExtent l="19050" t="0" r="1270" b="0"/>
            <wp:docPr id="214" name="Imagen 2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Toyoda</w:t>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i/>
          <w:iCs/>
          <w:sz w:val="24"/>
          <w:szCs w:val="24"/>
          <w:lang w:val="en-US"/>
        </w:rPr>
        <w:t>case</w:t>
      </w:r>
      <w:r w:rsidRPr="006155D3">
        <w:rPr>
          <w:rFonts w:ascii="Times New Roman" w:eastAsia="Times New Roman" w:hAnsi="Times New Roman" w:cs="Times New Roman"/>
          <w:sz w:val="24"/>
          <w:szCs w:val="24"/>
          <w:lang w:val="en-US"/>
        </w:rPr>
        <w:t xml:space="preserve"> in 1949, a US military tribunal at Tokyo considered the essential elements of command responsibility to be:</w:t>
      </w:r>
      <w:r w:rsidRPr="006155D3">
        <w:rPr>
          <w:rFonts w:ascii="Times New Roman" w:eastAsia="Times New Roman" w:hAnsi="Times New Roman" w:cs="Times New Roman"/>
          <w:sz w:val="24"/>
          <w:szCs w:val="24"/>
          <w:lang w:val="en-US"/>
        </w:rPr>
        <w:br/>
        <w:t xml:space="preserve">1. That offenses, commonly recognized as atrocities, were committed by troops of his </w:t>
      </w:r>
      <w:r w:rsidRPr="006155D3">
        <w:rPr>
          <w:rFonts w:ascii="Times New Roman" w:eastAsia="Times New Roman" w:hAnsi="Times New Roman" w:cs="Times New Roman"/>
          <w:sz w:val="24"/>
          <w:szCs w:val="24"/>
          <w:lang w:val="en-US"/>
        </w:rPr>
        <w:lastRenderedPageBreak/>
        <w:t>command;</w:t>
      </w:r>
      <w:r w:rsidRPr="006155D3">
        <w:rPr>
          <w:rFonts w:ascii="Times New Roman" w:eastAsia="Times New Roman" w:hAnsi="Times New Roman" w:cs="Times New Roman"/>
          <w:sz w:val="24"/>
          <w:szCs w:val="24"/>
          <w:lang w:val="en-US"/>
        </w:rPr>
        <w:br/>
        <w:t>2. The ordering of such atrocities.</w:t>
      </w:r>
      <w:r w:rsidRPr="006155D3">
        <w:rPr>
          <w:rFonts w:ascii="Times New Roman" w:eastAsia="Times New Roman" w:hAnsi="Times New Roman" w:cs="Times New Roman"/>
          <w:sz w:val="24"/>
          <w:szCs w:val="24"/>
          <w:lang w:val="en-US"/>
        </w:rPr>
        <w:br/>
        <w:t>In the absence of proof beyond reasonable doubt of the issuance of orders then the essential elements of command responsibility are:</w:t>
      </w:r>
      <w:r w:rsidRPr="006155D3">
        <w:rPr>
          <w:rFonts w:ascii="Times New Roman" w:eastAsia="Times New Roman" w:hAnsi="Times New Roman" w:cs="Times New Roman"/>
          <w:sz w:val="24"/>
          <w:szCs w:val="24"/>
          <w:lang w:val="en-US"/>
        </w:rPr>
        <w:br/>
        <w:t>1. As before, that atrocities were actually committed;</w:t>
      </w:r>
      <w:r w:rsidRPr="006155D3">
        <w:rPr>
          <w:rFonts w:ascii="Times New Roman" w:eastAsia="Times New Roman" w:hAnsi="Times New Roman" w:cs="Times New Roman"/>
          <w:sz w:val="24"/>
          <w:szCs w:val="24"/>
          <w:lang w:val="en-US"/>
        </w:rPr>
        <w:br/>
        <w:t>2. Notice of the commission thereof. This notice may be either: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Actual,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Constructive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Power of command. That is, the accused must be proved to have had actual authority over the offenders to issue orders to them not to commit illegal acts, and to punish offenders.</w:t>
      </w:r>
      <w:r w:rsidRPr="006155D3">
        <w:rPr>
          <w:rFonts w:ascii="Times New Roman" w:eastAsia="Times New Roman" w:hAnsi="Times New Roman" w:cs="Times New Roman"/>
          <w:sz w:val="24"/>
          <w:szCs w:val="24"/>
          <w:lang w:val="en-US"/>
        </w:rPr>
        <w:br/>
        <w:t>4. Failure to take such appropriate measures as are within his power to control the troops under his command and to prevent acts which are violations of the laws of war.</w:t>
      </w:r>
      <w:r w:rsidRPr="006155D3">
        <w:rPr>
          <w:rFonts w:ascii="Times New Roman" w:eastAsia="Times New Roman" w:hAnsi="Times New Roman" w:cs="Times New Roman"/>
          <w:sz w:val="24"/>
          <w:szCs w:val="24"/>
          <w:lang w:val="en-US"/>
        </w:rPr>
        <w:br/>
        <w:t>5. Failure to punish offenders.</w:t>
      </w:r>
      <w:r w:rsidRPr="006155D3">
        <w:rPr>
          <w:rFonts w:ascii="Times New Roman" w:eastAsia="Times New Roman" w:hAnsi="Times New Roman" w:cs="Times New Roman"/>
          <w:sz w:val="24"/>
          <w:szCs w:val="24"/>
          <w:lang w:val="en-US"/>
        </w:rPr>
        <w:br/>
        <w:t>In the simplest language, it may be said that this Tribunal believes the principle of command responsibility to be that, if this accused knew, or should by the exercise of ordinary diligence have learned, of the commission by his subordinates, immediate or otherwise, of the atrocities proved beyond a shadow of a doubt before this Tribunal or of the existence of a routine which would countenance such, and, by his failure to take any action to punish the perpetrators, permitted the atrocities to continue, he has failed in his performance of his duty as a commander and must be punished.</w:t>
      </w:r>
      <w:r>
        <w:rPr>
          <w:rFonts w:ascii="Times New Roman" w:eastAsia="Times New Roman" w:hAnsi="Times New Roman" w:cs="Times New Roman"/>
          <w:noProof/>
          <w:sz w:val="24"/>
          <w:szCs w:val="24"/>
        </w:rPr>
        <w:drawing>
          <wp:inline distT="0" distB="0" distL="0" distR="0">
            <wp:extent cx="151130" cy="142875"/>
            <wp:effectExtent l="19050" t="0" r="1270" b="0"/>
            <wp:docPr id="215" name="Imagen 2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its judgment in the </w:t>
      </w:r>
      <w:r w:rsidRPr="006155D3">
        <w:rPr>
          <w:rFonts w:ascii="Times New Roman" w:eastAsia="Times New Roman" w:hAnsi="Times New Roman" w:cs="Times New Roman"/>
          <w:i/>
          <w:iCs/>
          <w:sz w:val="24"/>
          <w:szCs w:val="24"/>
          <w:lang w:val="en-US"/>
        </w:rPr>
        <w:t>Karadžić case</w:t>
      </w:r>
      <w:r w:rsidRPr="006155D3">
        <w:rPr>
          <w:rFonts w:ascii="Times New Roman" w:eastAsia="Times New Roman" w:hAnsi="Times New Roman" w:cs="Times New Roman"/>
          <w:sz w:val="24"/>
          <w:szCs w:val="24"/>
          <w:lang w:val="en-US"/>
        </w:rPr>
        <w:t xml:space="preserve"> in 1995, the US Court of Appeals for the Second Circuit, recalling the judgment in the </w:t>
      </w:r>
      <w:r w:rsidRPr="006155D3">
        <w:rPr>
          <w:rFonts w:ascii="Times New Roman" w:eastAsia="Times New Roman" w:hAnsi="Times New Roman" w:cs="Times New Roman"/>
          <w:i/>
          <w:iCs/>
          <w:sz w:val="24"/>
          <w:szCs w:val="24"/>
          <w:lang w:val="en-US"/>
        </w:rPr>
        <w:t>Yamashita case</w:t>
      </w:r>
      <w:r w:rsidRPr="006155D3">
        <w:rPr>
          <w:rFonts w:ascii="Times New Roman" w:eastAsia="Times New Roman" w:hAnsi="Times New Roman" w:cs="Times New Roman"/>
          <w:sz w:val="24"/>
          <w:szCs w:val="24"/>
          <w:lang w:val="en-US"/>
        </w:rPr>
        <w:t>, stated: “International law imposes an affirmative duty on military commanders to take appropriate measures within their power to control troops under their command for the prevention of such atrocities [i.e. war crimes]”.</w:t>
      </w:r>
      <w:r>
        <w:rPr>
          <w:rFonts w:ascii="Times New Roman" w:eastAsia="Times New Roman" w:hAnsi="Times New Roman" w:cs="Times New Roman"/>
          <w:noProof/>
          <w:sz w:val="24"/>
          <w:szCs w:val="24"/>
        </w:rPr>
        <w:drawing>
          <wp:inline distT="0" distB="0" distL="0" distR="0">
            <wp:extent cx="151130" cy="142875"/>
            <wp:effectExtent l="19050" t="0" r="1270" b="0"/>
            <wp:docPr id="216" name="Imagen 2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Ford v. García case</w:t>
      </w:r>
      <w:r w:rsidRPr="006155D3">
        <w:rPr>
          <w:rFonts w:ascii="Times New Roman" w:eastAsia="Times New Roman" w:hAnsi="Times New Roman" w:cs="Times New Roman"/>
          <w:sz w:val="24"/>
          <w:szCs w:val="24"/>
          <w:lang w:val="en-US"/>
        </w:rPr>
        <w:t xml:space="preserve"> in 2000, a civil lawsuit dealing with acts of torture and extrajudicial killing committed in 1980 in El Salvador, the US Federal Court of Florida gave instructions to the jury on the issue of the responsibility of commanders which read:</w:t>
      </w:r>
      <w:r w:rsidRPr="006155D3">
        <w:rPr>
          <w:rFonts w:ascii="Times New Roman" w:eastAsia="Times New Roman" w:hAnsi="Times New Roman" w:cs="Times New Roman"/>
          <w:sz w:val="24"/>
          <w:szCs w:val="24"/>
          <w:lang w:val="en-US"/>
        </w:rPr>
        <w:br/>
        <w:t>A commander may be held liable for torture and extrajudicial killing committed by troops under his command under two separate legal theories. The first applies when a commander takes a positive act,</w:t>
      </w:r>
      <w:r w:rsidRPr="006155D3">
        <w:rPr>
          <w:rFonts w:ascii="Times New Roman" w:eastAsia="Times New Roman" w:hAnsi="Times New Roman" w:cs="Times New Roman"/>
          <w:i/>
          <w:iCs/>
          <w:sz w:val="24"/>
          <w:szCs w:val="24"/>
          <w:lang w:val="en-US"/>
        </w:rPr>
        <w:t xml:space="preserve"> i.e</w:t>
      </w:r>
      <w:r w:rsidRPr="006155D3">
        <w:rPr>
          <w:rFonts w:ascii="Times New Roman" w:eastAsia="Times New Roman" w:hAnsi="Times New Roman" w:cs="Times New Roman"/>
          <w:sz w:val="24"/>
          <w:szCs w:val="24"/>
          <w:lang w:val="en-US"/>
        </w:rPr>
        <w:t>., he orders torture and extrajudicial killing or actually participates in it. The second legal theory applies when a commander fails to take appropriate action to control his troops. This is called the doctrine of command responsibility … The doctrine of command responsibility is founded on the principle that a military commander is obligated, under international law and United States law, to take appropriate measures within his power to control the troops under his command and prevent them from committing torture and extrajudicial killing …</w:t>
      </w:r>
      <w:r w:rsidRPr="006155D3">
        <w:rPr>
          <w:rFonts w:ascii="Times New Roman" w:eastAsia="Times New Roman" w:hAnsi="Times New Roman" w:cs="Times New Roman"/>
          <w:sz w:val="24"/>
          <w:szCs w:val="24"/>
          <w:lang w:val="en-US"/>
        </w:rPr>
        <w:br/>
        <w:t>To hold a specific defendant/commander liable under the doctrine of command responsibility, each plaintiff must prove all of the following elements by a preponderance of the evidence.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(1) That persons under defendant’s effective command </w:t>
      </w:r>
      <w:r w:rsidRPr="006155D3">
        <w:rPr>
          <w:rFonts w:ascii="Times New Roman" w:eastAsia="Times New Roman" w:hAnsi="Times New Roman" w:cs="Times New Roman"/>
          <w:i/>
          <w:iCs/>
          <w:sz w:val="24"/>
          <w:szCs w:val="24"/>
          <w:lang w:val="en-US"/>
        </w:rPr>
        <w:t>had committed</w:t>
      </w:r>
      <w:r w:rsidRPr="006155D3">
        <w:rPr>
          <w:rFonts w:ascii="Times New Roman" w:eastAsia="Times New Roman" w:hAnsi="Times New Roman" w:cs="Times New Roman"/>
          <w:sz w:val="24"/>
          <w:szCs w:val="24"/>
          <w:lang w:val="en-US"/>
        </w:rPr>
        <w:t>, were committing, or were about to commit torture and extrajudicial killing,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(2) The defendant knew, or owing to the circumstances at the time, should have known, that persons under his effective command </w:t>
      </w:r>
      <w:r w:rsidRPr="006155D3">
        <w:rPr>
          <w:rFonts w:ascii="Times New Roman" w:eastAsia="Times New Roman" w:hAnsi="Times New Roman" w:cs="Times New Roman"/>
          <w:i/>
          <w:iCs/>
          <w:sz w:val="24"/>
          <w:szCs w:val="24"/>
          <w:lang w:val="en-US"/>
        </w:rPr>
        <w:t>had committed</w:t>
      </w:r>
      <w:r w:rsidRPr="006155D3">
        <w:rPr>
          <w:rFonts w:ascii="Times New Roman" w:eastAsia="Times New Roman" w:hAnsi="Times New Roman" w:cs="Times New Roman"/>
          <w:sz w:val="24"/>
          <w:szCs w:val="24"/>
          <w:lang w:val="en-US"/>
        </w:rPr>
        <w:t>, were committing, or were about to commit torture and extrajudicial killing;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The defendant failed to take all necessary and reasonable measures within his power to prevent or repress the commission of torture and extrajudicial killing, or failed to investigate the events in an effort to punish the perpetrators.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“Effective command” means the commander has the legal authority and the practical ability to exert control over his troops. A commander cannot, however, be excused from his duties where his own actions cause or significantly contribute to the lack of effective control.</w:t>
      </w:r>
      <w:r w:rsidRPr="006155D3">
        <w:rPr>
          <w:rFonts w:ascii="Times New Roman" w:eastAsia="Times New Roman" w:hAnsi="Times New Roman" w:cs="Times New Roman"/>
          <w:sz w:val="24"/>
          <w:szCs w:val="24"/>
          <w:lang w:val="en-US"/>
        </w:rPr>
        <w:br/>
        <w:t>A commander may be relieved of the duty to investigate or to punish wrongdoers if a higher military or civilian authority establishes a mechanism to identify and punish the wrongdoers. In such a situation, the commander must do nothing to impede nor frustrate the investigation.</w:t>
      </w:r>
      <w:r w:rsidRPr="006155D3">
        <w:rPr>
          <w:rFonts w:ascii="Times New Roman" w:eastAsia="Times New Roman" w:hAnsi="Times New Roman" w:cs="Times New Roman"/>
          <w:sz w:val="24"/>
          <w:szCs w:val="24"/>
          <w:lang w:val="en-US"/>
        </w:rPr>
        <w:br/>
        <w:t>A commander may fulfil his duty to investigate and punish wrongdoers if he delegates this duty to a responsible subordinate. A commander has the right to assume that assignments entrusted to a responsible subordinate will be properly executed. On the other hand, the duty to investigate and punish will not be fulfilled if the commander knows or reasonably should know that the subordinate will not carry out his assignment in good faith, or if the commander impedes or frustrates the investigation.</w:t>
      </w:r>
      <w:r>
        <w:rPr>
          <w:rFonts w:ascii="Times New Roman" w:eastAsia="Times New Roman" w:hAnsi="Times New Roman" w:cs="Times New Roman"/>
          <w:noProof/>
          <w:sz w:val="24"/>
          <w:szCs w:val="24"/>
        </w:rPr>
        <w:drawing>
          <wp:inline distT="0" distB="0" distL="0" distR="0">
            <wp:extent cx="151130" cy="142875"/>
            <wp:effectExtent l="19050" t="0" r="1270" b="0"/>
            <wp:docPr id="217" name="Imagen 2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Yugoslavia, Federal Republic of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Trajković case</w:t>
      </w:r>
      <w:r w:rsidRPr="006155D3">
        <w:rPr>
          <w:rFonts w:ascii="Times New Roman" w:eastAsia="Times New Roman" w:hAnsi="Times New Roman" w:cs="Times New Roman"/>
          <w:sz w:val="24"/>
          <w:szCs w:val="24"/>
          <w:lang w:val="en-US"/>
        </w:rPr>
        <w:t xml:space="preserve"> in 2001, a Kosovo Serb and former chief of police was convicted,</w:t>
      </w:r>
      <w:r w:rsidRPr="006155D3">
        <w:rPr>
          <w:rFonts w:ascii="Times New Roman" w:eastAsia="Times New Roman" w:hAnsi="Times New Roman" w:cs="Times New Roman"/>
          <w:i/>
          <w:iCs/>
          <w:sz w:val="24"/>
          <w:szCs w:val="24"/>
          <w:lang w:val="en-US"/>
        </w:rPr>
        <w:t xml:space="preserve"> inter alia</w:t>
      </w:r>
      <w:r w:rsidRPr="006155D3">
        <w:rPr>
          <w:rFonts w:ascii="Times New Roman" w:eastAsia="Times New Roman" w:hAnsi="Times New Roman" w:cs="Times New Roman"/>
          <w:sz w:val="24"/>
          <w:szCs w:val="24"/>
          <w:lang w:val="en-US"/>
        </w:rPr>
        <w:t>, of war crimes “against the civilian population and within a concerted plan aiming at systematic atrocities of which he had a complete knowledge”. The Court based its judgment on Article 142 of the Penal Code of the Socialist Federal Republic of Yugoslavia and noted that the acts had been committed “in time of war”.</w:t>
      </w:r>
      <w:r>
        <w:rPr>
          <w:rFonts w:ascii="Times New Roman" w:eastAsia="Times New Roman" w:hAnsi="Times New Roman" w:cs="Times New Roman"/>
          <w:noProof/>
          <w:sz w:val="24"/>
          <w:szCs w:val="24"/>
        </w:rPr>
        <w:drawing>
          <wp:inline distT="0" distB="0" distL="0" distR="0">
            <wp:extent cx="151130" cy="142875"/>
            <wp:effectExtent l="19050" t="0" r="1270" b="0"/>
            <wp:docPr id="218" name="Imagen 2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The state of facts was erroneously established in relation to all charges as there is no direct or conclusive evidence that the accused acted personally or gave orders leading to the alleged crimes or that he should be held liable under command responsibility duties concerning the above-mentioned crimes … During the retrial, the court of first instance should therefore assess … the issue of the accused[‘s] personal responsibility [for] participation in the crimes alleged.</w:t>
      </w:r>
      <w:r>
        <w:rPr>
          <w:rFonts w:ascii="Times New Roman" w:eastAsia="Times New Roman" w:hAnsi="Times New Roman" w:cs="Times New Roman"/>
          <w:noProof/>
          <w:sz w:val="24"/>
          <w:szCs w:val="24"/>
        </w:rPr>
        <w:drawing>
          <wp:inline distT="0" distB="0" distL="0" distR="0">
            <wp:extent cx="151130" cy="142875"/>
            <wp:effectExtent l="19050" t="0" r="1270" b="0"/>
            <wp:docPr id="219" name="Imagen 2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Trajković’s war crimes conviction [at the District Court of Gnjilan] based upon murder was apparently through his command responsibility, since there was no credible evidence based on any factual basis that he gave direct orders to do, or personally participated in, these acts … Trajković could be found guilty of war crimes under international law through his command responsibility. [Furthermore,] Trajković could have been found guilty through the doctrine of command influence of violating international law for the “grave” injuries to … non-combatants … [Furthermore,] the trial court found Trajković guilty of a war crime for arson [as a direct result of the police and military attack on the village] committed against the home … and bus of … but again it must be implied that the liability was from command responsibility …</w:t>
      </w:r>
      <w:r w:rsidRPr="006155D3">
        <w:rPr>
          <w:rFonts w:ascii="Times New Roman" w:eastAsia="Times New Roman" w:hAnsi="Times New Roman" w:cs="Times New Roman"/>
          <w:sz w:val="24"/>
          <w:szCs w:val="24"/>
          <w:lang w:val="en-US"/>
        </w:rPr>
        <w:br/>
        <w:t>The issue of command responsibility must be dealt with alongside that of individual/personal responsibility (“The Subsuming Rule”) … This Opinion assumes the court below relied on the command responsibility coming directly from being at the top of a hierarchy of police officers, even if the giving of orders to murder and shoot did not occur. This Opinion then concludes that as to his being responsible under the type of command responsibility – based on evidence of control over subordinates, knowledge of their crimes, and ability and failure to prevent or punish them – Momcilo Trajković may be liable under such command responsibility. His official position of authority over subordinate … policemen, buttressed by evidence of his actual authority over them and in the community in general; his possible knowledge of subordinates’ crimes; and his obvious failure to prevent and punish them bolster a finding of command responsibility for the acts of policemen under him.</w:t>
      </w:r>
      <w:r>
        <w:rPr>
          <w:rFonts w:ascii="Times New Roman" w:eastAsia="Times New Roman" w:hAnsi="Times New Roman" w:cs="Times New Roman"/>
          <w:noProof/>
          <w:sz w:val="24"/>
          <w:szCs w:val="24"/>
        </w:rPr>
        <w:drawing>
          <wp:inline distT="0" distB="0" distL="0" distR="0">
            <wp:extent cx="151130" cy="142875"/>
            <wp:effectExtent l="19050" t="0" r="1270" b="0"/>
            <wp:docPr id="220" name="Imagen 2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3" w:name="_VIOtNaPr"/>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lastRenderedPageBreak/>
        <w:fldChar w:fldCharType="begin"/>
      </w:r>
      <w:r w:rsidRPr="006155D3">
        <w:rPr>
          <w:rFonts w:ascii="Times New Roman" w:eastAsia="Times New Roman" w:hAnsi="Times New Roman" w:cs="Times New Roman"/>
          <w:sz w:val="24"/>
          <w:szCs w:val="24"/>
          <w:lang w:val="en-US"/>
        </w:rPr>
        <w:instrText xml:space="preserve"> HYPERLINK "javascript:openUrlLight('src_VIOtNaPr')"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VI. Other National Practice</w:t>
      </w:r>
      <w:r w:rsidRPr="006155D3">
        <w:rPr>
          <w:rFonts w:ascii="Times New Roman" w:eastAsia="Times New Roman" w:hAnsi="Times New Roman" w:cs="Times New Roman"/>
          <w:sz w:val="24"/>
          <w:szCs w:val="24"/>
        </w:rPr>
        <w:fldChar w:fldCharType="end"/>
      </w:r>
      <w:bookmarkEnd w:id="73"/>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Argentina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At the CDDH, Argentina stated that “a superior, indeed, should always have knowledge of any breach committed by his subordinates, in order to repress it” and that “if a superior knew of preparations for an act liable to constitute a breach, he was obviously responsible”.</w:t>
      </w:r>
      <w:r>
        <w:rPr>
          <w:rFonts w:ascii="Times New Roman" w:eastAsia="Times New Roman" w:hAnsi="Times New Roman" w:cs="Times New Roman"/>
          <w:noProof/>
          <w:sz w:val="24"/>
          <w:szCs w:val="24"/>
        </w:rPr>
        <w:drawing>
          <wp:inline distT="0" distB="0" distL="0" distR="0">
            <wp:extent cx="151130" cy="142875"/>
            <wp:effectExtent l="19050" t="0" r="1270" b="0"/>
            <wp:docPr id="221" name="Imagen 2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Report on the Practice of Argentina notes that in the trial of the commanders which was brought to determine responsibility for the 1982 events in the Falkland/Malvinas Islands, the National Court for Criminal and Correctional Cases “emphasized that the powers accorded to the command by the Code of Military Justice to enhance organization within the military, including the authority to decide when immediate punishment for crimes is necessary, are [optional] in nature”.</w:t>
      </w:r>
      <w:r>
        <w:rPr>
          <w:rFonts w:ascii="Times New Roman" w:eastAsia="Times New Roman" w:hAnsi="Times New Roman" w:cs="Times New Roman"/>
          <w:noProof/>
          <w:sz w:val="24"/>
          <w:szCs w:val="24"/>
        </w:rPr>
        <w:drawing>
          <wp:inline distT="0" distB="0" distL="0" distR="0">
            <wp:extent cx="151130" cy="142875"/>
            <wp:effectExtent l="19050" t="0" r="1270" b="0"/>
            <wp:docPr id="222" name="Imagen 2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Australia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1984, in an assessment of the military implications of the 1977 Additional Protocols, Australia’s Joint Military Operations and Plans Division, stated that Article 87(1) of the Additional Protocol I</w:t>
      </w:r>
      <w:r w:rsidRPr="006155D3">
        <w:rPr>
          <w:rFonts w:ascii="Times New Roman" w:eastAsia="Times New Roman" w:hAnsi="Times New Roman" w:cs="Times New Roman"/>
          <w:sz w:val="24"/>
          <w:szCs w:val="24"/>
          <w:lang w:val="en-US"/>
        </w:rPr>
        <w:br/>
        <w:t>imposes upon commanders the additional responsibility to prevent and, where necessary, to suppress and to report all breaches of the Geneva Conventions and [their Additional] Protocols. This requires that the constraints imposed by the Protocols and the law of armed conflict generally are understood and reflected in the conduct of operations by every level of military authority.</w:t>
      </w:r>
      <w:r>
        <w:rPr>
          <w:rFonts w:ascii="Times New Roman" w:eastAsia="Times New Roman" w:hAnsi="Times New Roman" w:cs="Times New Roman"/>
          <w:noProof/>
          <w:sz w:val="24"/>
          <w:szCs w:val="24"/>
        </w:rPr>
        <w:drawing>
          <wp:inline distT="0" distB="0" distL="0" distR="0">
            <wp:extent cx="151130" cy="142875"/>
            <wp:effectExtent l="19050" t="0" r="1270" b="0"/>
            <wp:docPr id="223" name="Imagen 2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Belgium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Belgian manual containing directives for commanders notes that military discipline “grants respect for human rights and especially for the obligations required by the Geneva Convention”.</w:t>
      </w:r>
      <w:r>
        <w:rPr>
          <w:rFonts w:ascii="Times New Roman" w:eastAsia="Times New Roman" w:hAnsi="Times New Roman" w:cs="Times New Roman"/>
          <w:noProof/>
          <w:sz w:val="24"/>
          <w:szCs w:val="24"/>
        </w:rPr>
        <w:drawing>
          <wp:inline distT="0" distB="0" distL="0" distR="0">
            <wp:extent cx="151130" cy="142875"/>
            <wp:effectExtent l="19050" t="0" r="1270" b="0"/>
            <wp:docPr id="224" name="Imagen 2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Bosnia and Herzegovina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The Report on the Practice of Bosnia and Herzegovina states: “The superior officer is obliged to instigate proceedings for taking legal sanctions against the persons violating the rules of the international law of war.”</w:t>
      </w:r>
      <w:r>
        <w:rPr>
          <w:rFonts w:ascii="Times New Roman" w:eastAsia="Times New Roman" w:hAnsi="Times New Roman" w:cs="Times New Roman"/>
          <w:noProof/>
          <w:sz w:val="24"/>
          <w:szCs w:val="24"/>
        </w:rPr>
        <w:drawing>
          <wp:inline distT="0" distB="0" distL="0" distR="0">
            <wp:extent cx="151130" cy="142875"/>
            <wp:effectExtent l="19050" t="0" r="1270" b="0"/>
            <wp:docPr id="225" name="Imagen 2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Canada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At the CDDH, Canada stated that the word “feasible” when used in the 1977 Additional Protocol I, for example, in Articles 57 and 58, “refers to what is practicable or practically possible, taking into account all circumstances existing at the relevant time, including those circumstances relevant to the success of military operations”.</w:t>
      </w:r>
      <w:r>
        <w:rPr>
          <w:rFonts w:ascii="Times New Roman" w:eastAsia="Times New Roman" w:hAnsi="Times New Roman" w:cs="Times New Roman"/>
          <w:noProof/>
          <w:sz w:val="24"/>
          <w:szCs w:val="24"/>
        </w:rPr>
        <w:drawing>
          <wp:inline distT="0" distB="0" distL="0" distR="0">
            <wp:extent cx="151130" cy="142875"/>
            <wp:effectExtent l="19050" t="0" r="1270" b="0"/>
            <wp:docPr id="226" name="Imagen 2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Upon ratification of the 1977 Additional Protocol I, Canada stated: “The word ‘feasible’ means that which is practicable or practically possible, taking into account all circumstances ruling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27" name="Imagen 2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Sections 5(1) and (2) and 7(1) and (2) [of the 2000 Crimes Against Humanity and War Crimes Act] also create offences for a military commander or superior whose breaches of responsibility result in a crime against humanity or war crime.</w:t>
      </w:r>
      <w:r>
        <w:rPr>
          <w:rFonts w:ascii="Times New Roman" w:eastAsia="Times New Roman" w:hAnsi="Times New Roman" w:cs="Times New Roman"/>
          <w:noProof/>
          <w:sz w:val="24"/>
          <w:szCs w:val="24"/>
        </w:rPr>
        <w:drawing>
          <wp:inline distT="0" distB="0" distL="0" distR="0">
            <wp:extent cx="151130" cy="142875"/>
            <wp:effectExtent l="19050" t="0" r="1270" b="0"/>
            <wp:docPr id="228" name="Imagen 2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Ethiopia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According to Ethiopia’s Office of the Special Public Prosecutor (SPO), which is in charge of prosecuting persons who allegedly committed crimes of genocide, crimes against humanity and war crimes between 1974 and 1991, since its establishment in 1992 by Proclamation 22/1992 of the transitional government of Ethiopia, by 1997 a total of 5,198 persons had been charged, of whom 2,433 were field commanders, “those who transmitted the orders of the [policy- and decision-makers] and also originated fresh orders of their own”. The charges were based on Ethiopia’s Penal Code.</w:t>
      </w:r>
      <w:r>
        <w:rPr>
          <w:rFonts w:ascii="Times New Roman" w:eastAsia="Times New Roman" w:hAnsi="Times New Roman" w:cs="Times New Roman"/>
          <w:noProof/>
          <w:sz w:val="24"/>
          <w:szCs w:val="24"/>
        </w:rPr>
        <w:drawing>
          <wp:inline distT="0" distB="0" distL="0" distR="0">
            <wp:extent cx="151130" cy="142875"/>
            <wp:effectExtent l="19050" t="0" r="1270" b="0"/>
            <wp:docPr id="229" name="Imagen 2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France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Upon ratification of the 1977 Additional Protocol I, France stated that it considered that the term “feasible” as used in the Protocol meant “that which can be realized or which is possible in practice, taking into account all circumstances ruling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30" name="Imagen 2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Germany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Upon ratification of the 1977 Additional Protocol I, Germany stated that it understood the word “feasible” to mean “that which is practicable or practically possible, taking into account all circumstances ruling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31" name="Imagen 2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Ireland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Upon ratification of the 1977 Additional Protocol I, Ireland stated: “The word ‘feasible’ means that which is practicable or practically possible, taking into account all circumstances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32" name="Imagen 2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Italy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Upon ratification of the 1977 Additional Protocol I, Italy declared: “The word ‘feasible’ means that which is practicable or practically possible, taking into account all circumstances ruling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33" name="Imagen 2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1997, the final report of the Italian Government Commission of Inquiry into the events in Somalia referred to a provision of the Italian Penal Code in recalling that an officer who failed to control dutifully his subordinates could be responsible not only under disciplinary law but also under criminal law.</w:t>
      </w:r>
      <w:r>
        <w:rPr>
          <w:rFonts w:ascii="Times New Roman" w:eastAsia="Times New Roman" w:hAnsi="Times New Roman" w:cs="Times New Roman"/>
          <w:noProof/>
          <w:sz w:val="24"/>
          <w:szCs w:val="24"/>
        </w:rPr>
        <w:drawing>
          <wp:inline distT="0" distB="0" distL="0" distR="0">
            <wp:extent cx="151130" cy="142875"/>
            <wp:effectExtent l="19050" t="0" r="1270" b="0"/>
            <wp:docPr id="234" name="Imagen 2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2006, in reply to a question concerning the use of white-phosphorous weapons in Iraq, Italy’s Under-Secretary of State to the Presidency of the Council of Ministers stated:</w:t>
      </w:r>
      <w:r w:rsidRPr="006155D3">
        <w:rPr>
          <w:rFonts w:ascii="Times New Roman" w:eastAsia="Times New Roman" w:hAnsi="Times New Roman" w:cs="Times New Roman"/>
          <w:sz w:val="24"/>
          <w:szCs w:val="24"/>
          <w:lang w:val="en-US"/>
        </w:rPr>
        <w:br/>
        <w:t>Had the Government been informed or made aware somehow or, else, had it directly verified the use of prohibited weapons, it would not have hesitated to engage in the necessary initiatives. One needs only to recall that, according to the national operational rule of the operation “Antica Babilonia”, in case the Commander of the contingent is made aware of a crime against humanity and of war falling within the jurisdiction of the International Criminal Court, he or she shall inform the Italian judicial and military authorities with a view to the subsequent involvement of the Office of the Prosecutor of the International Criminal Court itself. Under this perspective, by way of meaningful example, one should set in this framework the initiative of the Commander of the national contingent, who, in August 2004, notified the International Committee of the Red Cross of the repeated violations of international humanitarian law by the Iraqi militiamen.</w:t>
      </w:r>
      <w:r>
        <w:rPr>
          <w:rFonts w:ascii="Times New Roman" w:eastAsia="Times New Roman" w:hAnsi="Times New Roman" w:cs="Times New Roman"/>
          <w:noProof/>
          <w:sz w:val="24"/>
          <w:szCs w:val="24"/>
        </w:rPr>
        <w:drawing>
          <wp:inline distT="0" distB="0" distL="0" distR="0">
            <wp:extent cx="151130" cy="142875"/>
            <wp:effectExtent l="19050" t="0" r="1270" b="0"/>
            <wp:docPr id="235" name="Imagen 2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Jordan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According to the Report on the Practice of Jordan, under Jordanian law, “no sanctions are envisaged against a commander who neglects to give the necessary instruction or permits shortcomings in the required supervisions, if grave breaches occur in his area of command”.</w:t>
      </w:r>
      <w:r>
        <w:rPr>
          <w:rFonts w:ascii="Times New Roman" w:eastAsia="Times New Roman" w:hAnsi="Times New Roman" w:cs="Times New Roman"/>
          <w:noProof/>
          <w:sz w:val="24"/>
          <w:szCs w:val="24"/>
        </w:rPr>
        <w:drawing>
          <wp:inline distT="0" distB="0" distL="0" distR="0">
            <wp:extent cx="151130" cy="142875"/>
            <wp:effectExtent l="19050" t="0" r="1270" b="0"/>
            <wp:docPr id="236" name="Imagen 2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Netherlands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At the CDDH, the Netherlands stated:</w:t>
      </w:r>
      <w:r w:rsidRPr="006155D3">
        <w:rPr>
          <w:rFonts w:ascii="Times New Roman" w:eastAsia="Times New Roman" w:hAnsi="Times New Roman" w:cs="Times New Roman"/>
          <w:sz w:val="24"/>
          <w:szCs w:val="24"/>
          <w:lang w:val="en-US"/>
        </w:rPr>
        <w:br/>
        <w:t>Recognition in written international law of individual responsibility of superiors who, without excuse, failed to do all in their power to prevent the commission of war crimes by their subordinates supplemented the principle contained in article 77 [of draft Additional Protocol I], according to which subordinates were individually responsible for war crimes which they had committed, even when acting under superior orders.</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sz w:val="24"/>
          <w:szCs w:val="24"/>
          <w:lang w:val="en-US"/>
        </w:rPr>
        <w:lastRenderedPageBreak/>
        <w:t>The principle set out in article 76 [of draft Additional Protocol I] was not a new one. Although it did not appear in the Charter and the Judgement of the Nürnberg tribunal it had nevertheless played an important part in post-war jurisprudence.</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Nevertheless, it was difficult to specify the limits of responsibility in cases of failure to act, and the courts would reach their decision in each case only after taking into account all the relevant facts, even though the principle of individual responsibility was now recognized by a great number of States.</w:t>
      </w:r>
      <w:r>
        <w:rPr>
          <w:rFonts w:ascii="Times New Roman" w:eastAsia="Times New Roman" w:hAnsi="Times New Roman" w:cs="Times New Roman"/>
          <w:noProof/>
          <w:sz w:val="24"/>
          <w:szCs w:val="24"/>
        </w:rPr>
        <w:drawing>
          <wp:inline distT="0" distB="0" distL="0" distR="0">
            <wp:extent cx="151130" cy="142875"/>
            <wp:effectExtent l="19050" t="0" r="1270" b="0"/>
            <wp:docPr id="237" name="Imagen 2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At the CDDH, the Netherlands stated: </w:t>
      </w:r>
      <w:r w:rsidRPr="006155D3">
        <w:rPr>
          <w:rFonts w:ascii="Times New Roman" w:eastAsia="Times New Roman" w:hAnsi="Times New Roman" w:cs="Times New Roman"/>
          <w:sz w:val="24"/>
          <w:szCs w:val="24"/>
          <w:lang w:val="en-US"/>
        </w:rPr>
        <w:br/>
        <w:t>The word “feasible” when used in [the 1977 Additional] Protocol I, for example in Articles 50 and 51 [57 and 58], should in any particular case be interpreted as referring to that which was practicable or practically possible, taking into account all circumstances at the time.</w:t>
      </w:r>
      <w:r>
        <w:rPr>
          <w:rFonts w:ascii="Times New Roman" w:eastAsia="Times New Roman" w:hAnsi="Times New Roman" w:cs="Times New Roman"/>
          <w:noProof/>
          <w:sz w:val="24"/>
          <w:szCs w:val="24"/>
        </w:rPr>
        <w:drawing>
          <wp:inline distT="0" distB="0" distL="0" distR="0">
            <wp:extent cx="151130" cy="142875"/>
            <wp:effectExtent l="19050" t="0" r="1270" b="0"/>
            <wp:docPr id="238" name="Imagen 2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Upon ratification of the 1977 Additional Protocol I, the Netherlands declared: “The word ‘feasible’ is to be understood as practicable or practically possible taking into account all circumstances ruling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39" name="Imagen 2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Philippines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1988, in a memorandum on “Respect for Human Rights and Improvement of Discipline in the AFP” addressed to the Chief of Staff of the Armed Forces of the Philippines (AFP), the Department of National Defence of the Philippines reiterated that:</w:t>
      </w:r>
      <w:r w:rsidRPr="006155D3">
        <w:rPr>
          <w:rFonts w:ascii="Times New Roman" w:eastAsia="Times New Roman" w:hAnsi="Times New Roman" w:cs="Times New Roman"/>
          <w:sz w:val="24"/>
          <w:szCs w:val="24"/>
          <w:lang w:val="en-US"/>
        </w:rPr>
        <w:br/>
        <w:t>The [Department of National Defence’s] long standing directive to take the necessary bold steps to weed out and punish, as warranted by proper investigation, not only the military personnel who directly commit the acts complained, but also, with equal vigor, the commanders who countenance such abuse by way of summarily dropping the case, intimidating the complainant and his witnesses “cover-up” of the incidents, failure to report to superior authorities, and/or sheer inaction on the complaint. I would also like to re-stress the instruction that “the commanding officer of an erring military personnel shall be similarly held accountable either as conduct unbecoming an officer or as accessory after the fact in cases where he refuses to act, delays action or otherwise aids and abets the wrongdoing of his subordinate which is the subject of a valid complaint.</w:t>
      </w:r>
      <w:r>
        <w:rPr>
          <w:rFonts w:ascii="Times New Roman" w:eastAsia="Times New Roman" w:hAnsi="Times New Roman" w:cs="Times New Roman"/>
          <w:noProof/>
          <w:sz w:val="24"/>
          <w:szCs w:val="24"/>
        </w:rPr>
        <w:drawing>
          <wp:inline distT="0" distB="0" distL="0" distR="0">
            <wp:extent cx="151130" cy="142875"/>
            <wp:effectExtent l="19050" t="0" r="1270" b="0"/>
            <wp:docPr id="240" name="Imagen 2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Guidelines on Human Rights and Improvement of Discipline in the AFP, issued in 1989 by the Office of the Chief of Staff of the Armed Forces of the Philippines (AFP), provides:</w:t>
      </w:r>
      <w:r w:rsidRPr="006155D3">
        <w:rPr>
          <w:rFonts w:ascii="Times New Roman" w:eastAsia="Times New Roman" w:hAnsi="Times New Roman" w:cs="Times New Roman"/>
          <w:sz w:val="24"/>
          <w:szCs w:val="24"/>
          <w:lang w:val="en-US"/>
        </w:rPr>
        <w:br/>
        <w:t>Commanders who are proven through due process to have countenanced human rights abuses by way of summarily dropping complaints, intimidating the complainant and/or witnesses, “cover-up” of the incidents, failure to report to superiors, and/or shows inaction on the complaint, shall be held accountable either as conduct unbecoming an officer or as accessory.</w:t>
      </w:r>
      <w:r w:rsidRPr="006155D3">
        <w:rPr>
          <w:rFonts w:ascii="Times New Roman" w:eastAsia="Times New Roman" w:hAnsi="Times New Roman" w:cs="Times New Roman"/>
          <w:sz w:val="24"/>
          <w:szCs w:val="24"/>
          <w:lang w:val="en-US"/>
        </w:rPr>
        <w:br/>
        <w:t>Commanders of Major Services, Area Commanders and AFPWSSUS shall devise a system which offers investigators and prosecutors convenient means of identifying and prosecuting personnel engaged in gun-for-hire or protection racket, extortion, condonation of vices, and other felonious activities designed to discredit the government in general and the AFP in particular.</w:t>
      </w:r>
      <w:r>
        <w:rPr>
          <w:rFonts w:ascii="Times New Roman" w:eastAsia="Times New Roman" w:hAnsi="Times New Roman" w:cs="Times New Roman"/>
          <w:noProof/>
          <w:sz w:val="24"/>
          <w:szCs w:val="24"/>
        </w:rPr>
        <w:drawing>
          <wp:inline distT="0" distB="0" distL="0" distR="0">
            <wp:extent cx="151130" cy="142875"/>
            <wp:effectExtent l="19050" t="0" r="1270" b="0"/>
            <wp:docPr id="241" name="Imagen 2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Philippine press has reported several cases in which commanding officers were relieved of their duties or accused on the basis of command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242" name="Imagen 2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directive issued in 2007 on strict adherence to the doctrine of command responsibility, the Chief of Staff of the Armed Forces of the Philippines (AFP) stated: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sz w:val="24"/>
          <w:szCs w:val="24"/>
          <w:lang w:val="en-US"/>
        </w:rPr>
        <w:lastRenderedPageBreak/>
        <w:t xml:space="preserve">2. This refers to the doctrine of command responsibility that should be strictly adhered to and applied in connection with the exercise by all military commanders of command and control over all units and personnel under their authority. </w:t>
      </w:r>
      <w:r w:rsidRPr="006155D3">
        <w:rPr>
          <w:rFonts w:ascii="Times New Roman" w:eastAsia="Times New Roman" w:hAnsi="Times New Roman" w:cs="Times New Roman"/>
          <w:sz w:val="24"/>
          <w:szCs w:val="24"/>
          <w:lang w:val="en-US"/>
        </w:rPr>
        <w:br/>
        <w:t>3. Command responsibility refers to the “accountability or responsibility or answerability of the commander of a Military Force or Unit for the acts of his men, inclusive of the authority to order, to direct, to prevent or control the acts of his men.” [</w:t>
      </w:r>
      <w:r w:rsidRPr="006155D3">
        <w:rPr>
          <w:rFonts w:ascii="Times New Roman" w:eastAsia="Times New Roman" w:hAnsi="Times New Roman" w:cs="Times New Roman"/>
          <w:i/>
          <w:iCs/>
          <w:sz w:val="24"/>
          <w:szCs w:val="24"/>
          <w:lang w:val="en-US"/>
        </w:rPr>
        <w:t xml:space="preserve">People v Lucero, et al., </w:t>
      </w:r>
      <w:r w:rsidRPr="006155D3">
        <w:rPr>
          <w:rFonts w:ascii="Times New Roman" w:eastAsia="Times New Roman" w:hAnsi="Times New Roman" w:cs="Times New Roman"/>
          <w:sz w:val="24"/>
          <w:szCs w:val="24"/>
          <w:lang w:val="en-US"/>
        </w:rPr>
        <w:t>GR No. 64323-24, 31 May 1991.]</w:t>
      </w:r>
      <w:r w:rsidRPr="006155D3">
        <w:rPr>
          <w:rFonts w:ascii="Times New Roman" w:eastAsia="Times New Roman" w:hAnsi="Times New Roman" w:cs="Times New Roman"/>
          <w:sz w:val="24"/>
          <w:szCs w:val="24"/>
          <w:lang w:val="en-US"/>
        </w:rPr>
        <w:br/>
        <w:t>For the purpose of this letter directive, the term commanders refers to the following: Major Service Commanders, Area Commanders, Division Commanders, Brigade Commanders, Battalion Commanders, Company Commanders, Platoon Leaders and Detachment commanders and their equivalent in the PN, PAF and AFPWSSUs [AFP-Wide Support and Separate Units].</w:t>
      </w:r>
      <w:r w:rsidRPr="006155D3">
        <w:rPr>
          <w:rFonts w:ascii="Times New Roman" w:eastAsia="Times New Roman" w:hAnsi="Times New Roman" w:cs="Times New Roman"/>
          <w:sz w:val="24"/>
          <w:szCs w:val="24"/>
          <w:lang w:val="en-US"/>
        </w:rPr>
        <w:br/>
        <w:t>4. It should be stressed that a commander is duty-bound to closely monitor, supervise, direct, coordinate, and control the overall activities of his subordinates within his area of operations, and can and shall be held administratively accountable for neglect of duty in taking appropriate action to discipline his men. [See Executive Order Nr. 226, 17 February 1995.]</w:t>
      </w:r>
      <w:r w:rsidRPr="006155D3">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5. AFP commanders at all levels shall retain command responsibility over all their personnel, units and offices detached and placed under operational control of other commands, offices and agencies pursuant to directives from competent authority. [See Sec. 5, Administrative Order 219 – 04 Oct 1995.]</w:t>
      </w:r>
      <w:r w:rsidRPr="006155D3">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6. </w:t>
      </w:r>
      <w:r w:rsidRPr="006155D3">
        <w:rPr>
          <w:rFonts w:ascii="Times New Roman" w:eastAsia="Times New Roman" w:hAnsi="Times New Roman" w:cs="Times New Roman"/>
          <w:i/>
          <w:iCs/>
          <w:sz w:val="24"/>
          <w:szCs w:val="24"/>
          <w:lang w:val="en-US"/>
        </w:rPr>
        <w:t>Neglect of Duty Under the Doctrine of “Command Responsibility”</w:t>
      </w:r>
      <w:r w:rsidRPr="006155D3">
        <w:rPr>
          <w:rFonts w:ascii="Times New Roman" w:eastAsia="Times New Roman" w:hAnsi="Times New Roman" w:cs="Times New Roman"/>
          <w:sz w:val="24"/>
          <w:szCs w:val="24"/>
          <w:lang w:val="en-US"/>
        </w:rPr>
        <w:t>. – Any AFP Officer shall be held accountable for neglect of duty under the doctrine of command responsibility if he has knowledge that a crime or offence shall be committed, or is being committed, or has been committed by his subordinates, or by others within his area of responsibility and, despite such knowledge, he did not take preventative or corrective action either before, during, or immediately after its commission. [See Sec. 1, Executive Order 226.]</w:t>
      </w:r>
      <w:r>
        <w:rPr>
          <w:rFonts w:ascii="Times New Roman" w:eastAsia="Times New Roman" w:hAnsi="Times New Roman" w:cs="Times New Roman"/>
          <w:noProof/>
          <w:sz w:val="24"/>
          <w:szCs w:val="24"/>
        </w:rPr>
        <w:drawing>
          <wp:inline distT="0" distB="0" distL="0" distR="0">
            <wp:extent cx="151130" cy="142875"/>
            <wp:effectExtent l="19050" t="0" r="1270" b="0"/>
            <wp:docPr id="243" name="Imagen 2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Slovenia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1992, in a note verbale with respect to the implementation of Security Council Resolution 780 (1992), Slovenia stated:</w:t>
      </w:r>
      <w:r w:rsidRPr="006155D3">
        <w:rPr>
          <w:rFonts w:ascii="Times New Roman" w:eastAsia="Times New Roman" w:hAnsi="Times New Roman" w:cs="Times New Roman"/>
          <w:sz w:val="24"/>
          <w:szCs w:val="24"/>
          <w:lang w:val="en-US"/>
        </w:rPr>
        <w:br/>
        <w:t>Not only those who have directly committed the crimes [i.e. “crimes committed against humanity and international humanitarian law”], but also those who gave orders or were otherwise engaged, should be prosecuted as perpetrators. Such consistent approach of the United Nations Commission of Experts would also include the question of the criminal responsibility of numerous high military officers and politicians; this would be in accordance with international criminal law and to date practice, especially the one applied in the Nuremberg trials.</w:t>
      </w:r>
      <w:r>
        <w:rPr>
          <w:rFonts w:ascii="Times New Roman" w:eastAsia="Times New Roman" w:hAnsi="Times New Roman" w:cs="Times New Roman"/>
          <w:noProof/>
          <w:sz w:val="24"/>
          <w:szCs w:val="24"/>
        </w:rPr>
        <w:drawing>
          <wp:inline distT="0" distB="0" distL="0" distR="0">
            <wp:extent cx="151130" cy="142875"/>
            <wp:effectExtent l="19050" t="0" r="1270" b="0"/>
            <wp:docPr id="244" name="Imagen 2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Spain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Upon ratification of the 1977 Additional Protocol I, Spain interpreted the term “feasible” as meaning that “the matter to which reference is made is practicable of practically possible taking into account all circumstances at the time when the situation arises,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45" name="Imagen 2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Kingdom of Great Britain and Northern Ireland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Upon signature of the 1977 Additional Protocol I, the United Kingdom stated: “The word ‘feasible’ means that which is practicable or practically possible, taking into account all circumstances at the time including those relevant to the success of military operations.”</w:t>
      </w:r>
      <w:r>
        <w:rPr>
          <w:rFonts w:ascii="Times New Roman" w:eastAsia="Times New Roman" w:hAnsi="Times New Roman" w:cs="Times New Roman"/>
          <w:noProof/>
          <w:sz w:val="24"/>
          <w:szCs w:val="24"/>
        </w:rPr>
        <w:drawing>
          <wp:inline distT="0" distB="0" distL="0" distR="0">
            <wp:extent cx="151130" cy="142875"/>
            <wp:effectExtent l="19050" t="0" r="1270" b="0"/>
            <wp:docPr id="246" name="Imagen 2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Upon ratification of the 1977 Additional Protocol I, the United Kingdom stated that it understood the term “feasible” as used in the Protocol to mean “that which is practicable </w:t>
      </w:r>
      <w:r w:rsidRPr="006155D3">
        <w:rPr>
          <w:rFonts w:ascii="Times New Roman" w:eastAsia="Times New Roman" w:hAnsi="Times New Roman" w:cs="Times New Roman"/>
          <w:sz w:val="24"/>
          <w:szCs w:val="24"/>
          <w:lang w:val="en-US"/>
        </w:rPr>
        <w:lastRenderedPageBreak/>
        <w:t>or practically possible, taking into account all circumstances ruling at the time, including humanitarian and military considerations”.</w:t>
      </w:r>
      <w:r>
        <w:rPr>
          <w:rFonts w:ascii="Times New Roman" w:eastAsia="Times New Roman" w:hAnsi="Times New Roman" w:cs="Times New Roman"/>
          <w:noProof/>
          <w:sz w:val="24"/>
          <w:szCs w:val="24"/>
        </w:rPr>
        <w:drawing>
          <wp:inline distT="0" distB="0" distL="0" distR="0">
            <wp:extent cx="151130" cy="142875"/>
            <wp:effectExtent l="19050" t="0" r="1270" b="0"/>
            <wp:docPr id="247" name="Imagen 2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United States of America</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At the CDDH, the United States stated:</w:t>
      </w:r>
      <w:r w:rsidRPr="006155D3">
        <w:rPr>
          <w:rFonts w:ascii="Times New Roman" w:eastAsia="Times New Roman" w:hAnsi="Times New Roman" w:cs="Times New Roman"/>
          <w:sz w:val="24"/>
          <w:szCs w:val="24"/>
          <w:lang w:val="en-US"/>
        </w:rPr>
        <w:br/>
        <w:t>The word “feasible” when used in draft [Additional] Protocol I, for example in Articles 50 and 51 [57 and 58], refers to that which is practicable or practically possible, taking into account all circumstances at the time, including those relevant to the success of military operations.</w:t>
      </w:r>
      <w:r>
        <w:rPr>
          <w:rFonts w:ascii="Times New Roman" w:eastAsia="Times New Roman" w:hAnsi="Times New Roman" w:cs="Times New Roman"/>
          <w:noProof/>
          <w:sz w:val="24"/>
          <w:szCs w:val="24"/>
        </w:rPr>
        <w:drawing>
          <wp:inline distT="0" distB="0" distL="0" distR="0">
            <wp:extent cx="151130" cy="142875"/>
            <wp:effectExtent l="19050" t="0" r="1270" b="0"/>
            <wp:docPr id="248" name="Imagen 2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1979 version of the US Department of Defense Directive on the Law of War Program stated:</w:t>
      </w:r>
      <w:r w:rsidRPr="006155D3">
        <w:rPr>
          <w:rFonts w:ascii="Times New Roman" w:eastAsia="Times New Roman" w:hAnsi="Times New Roman" w:cs="Times New Roman"/>
          <w:sz w:val="24"/>
          <w:szCs w:val="24"/>
          <w:lang w:val="en-US"/>
        </w:rPr>
        <w:br/>
        <w:t>It is the policy of the Department of Defense to ensure that: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3. Alleged violations of the law of war, whether committed by or against U.S. or enemy personnel, are promptly reported, thoroughly investigated, and, where appropriate, remedied by corrective action.</w:t>
      </w:r>
      <w:r w:rsidRPr="006155D3">
        <w:rPr>
          <w:rFonts w:ascii="Times New Roman" w:eastAsia="Times New Roman" w:hAnsi="Times New Roman" w:cs="Times New Roman"/>
          <w:sz w:val="24"/>
          <w:szCs w:val="24"/>
          <w:lang w:val="en-US"/>
        </w:rPr>
        <w:br/>
        <w:t>4. Violations of the law of war alleged to have been committed by or against allied military or civilian personnel shall be reported through appropriate command channels for ultimate transmission to appropriate agencies of allied governments.</w:t>
      </w:r>
      <w:r>
        <w:rPr>
          <w:rFonts w:ascii="Times New Roman" w:eastAsia="Times New Roman" w:hAnsi="Times New Roman" w:cs="Times New Roman"/>
          <w:noProof/>
          <w:sz w:val="24"/>
          <w:szCs w:val="24"/>
        </w:rPr>
        <w:drawing>
          <wp:inline distT="0" distB="0" distL="0" distR="0">
            <wp:extent cx="151130" cy="142875"/>
            <wp:effectExtent l="19050" t="0" r="1270" b="0"/>
            <wp:docPr id="249" name="Imagen 2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1992, in its final report to Congress on the conduct of the Gulf War, the US Department of Defense stated:</w:t>
      </w:r>
      <w:r w:rsidRPr="006155D3">
        <w:rPr>
          <w:rFonts w:ascii="Times New Roman" w:eastAsia="Times New Roman" w:hAnsi="Times New Roman" w:cs="Times New Roman"/>
          <w:sz w:val="24"/>
          <w:szCs w:val="24"/>
          <w:lang w:val="en-US"/>
        </w:rPr>
        <w:br/>
        <w:t>[Department of Defense Directive on the Law of War Program No. 5100.77] is the foundation for the US military law of war program. It contains four policies: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Alleged violations of the law of war, whether committed by or against US or enemy personnel, … [will/shall be] promptly reported, thoroughly investigated, and, where appropriate, remedied by corrective action.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Violations of the law of war alleged to have been committed by or against allied military or civilian personnel shall be reported through appropriate military command channels for ultimate transmission to appropriate agencies of allied governments.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Army Chief of Staff Regulation 11-2 assigns to the Army Judge Advocate General (JAG) responsibility for investigating, collecting, collating, evaluating, and reporting in connection with war crimes alleged to have been committed against US personnel.</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Criminal responsibility for violations of the law of war rests with a commander, including the national leadership, if he (or she):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Orders or permits the offence to be committed,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Knew or should have known of the offence(s), had the means to prevent or halt them, and failed to do all which he was capable of doing to prevent the offences or their recurrence.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The crimes committed against Kuwaiti civilians and property, and against third party nationals, are offences for which Saddam Hussein, officials of the Ba’ath Party, and his subordinates bear direct responsibility. However, the principal responsibility rests with Saddam Hussein. Saddam Hussein’s C2 [command and control] of Iraqi military and security forces appeared to be total and unequivocal. There is substantial evidence that each act alleged was taken as a result of his orders, or was taken with his knowledge and approval, or was an act which he should have known.</w:t>
      </w:r>
      <w:r>
        <w:rPr>
          <w:rFonts w:ascii="Times New Roman" w:eastAsia="Times New Roman" w:hAnsi="Times New Roman" w:cs="Times New Roman"/>
          <w:noProof/>
          <w:sz w:val="24"/>
          <w:szCs w:val="24"/>
        </w:rPr>
        <w:drawing>
          <wp:inline distT="0" distB="0" distL="0" distR="0">
            <wp:extent cx="151130" cy="142875"/>
            <wp:effectExtent l="19050" t="0" r="1270" b="0"/>
            <wp:docPr id="250" name="Imagen 2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1992, the US report on Iraqi war crimes (Desert Shield/Desert Storm), prepared under the auspices of the US Secretary of the Army, noted: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sz w:val="24"/>
          <w:szCs w:val="24"/>
          <w:lang w:val="en-US"/>
        </w:rPr>
        <w:lastRenderedPageBreak/>
        <w:t>Criminal responsibility for violations of the law of war rests with a commander, including the national leadership, who … knew or should have known of the offences, had the means to prevent or halt them, and failed to do all which he or she was capable of doing to prevent the offences or their recurrence.</w:t>
      </w:r>
      <w:r>
        <w:rPr>
          <w:rFonts w:ascii="Times New Roman" w:eastAsia="Times New Roman" w:hAnsi="Times New Roman" w:cs="Times New Roman"/>
          <w:noProof/>
          <w:sz w:val="24"/>
          <w:szCs w:val="24"/>
        </w:rPr>
        <w:drawing>
          <wp:inline distT="0" distB="0" distL="0" distR="0">
            <wp:extent cx="151130" cy="142875"/>
            <wp:effectExtent l="19050" t="0" r="1270" b="0"/>
            <wp:docPr id="251" name="Imagen 2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1993, during a debate in the UN Security Council following the unanimous vote on Resolution 827 (1993) establishing the International Criminal Tribunal for the former Yugoslavia (ICTY), the United States stated:</w:t>
      </w:r>
      <w:r w:rsidRPr="006155D3">
        <w:rPr>
          <w:rFonts w:ascii="Times New Roman" w:eastAsia="Times New Roman" w:hAnsi="Times New Roman" w:cs="Times New Roman"/>
          <w:sz w:val="24"/>
          <w:szCs w:val="24"/>
          <w:lang w:val="en-US"/>
        </w:rPr>
        <w:br/>
        <w:t>With respect to paragraph 1 of Article 7 [of the 1993 ICTY Statute], it is our understanding that individual responsibility arises in the case of … the failure of a superior – whether political or military – to take reasonable steps to prevent or punish [violations of IHL] by persons under his or her authority.</w:t>
      </w:r>
      <w:r>
        <w:rPr>
          <w:rFonts w:ascii="Times New Roman" w:eastAsia="Times New Roman" w:hAnsi="Times New Roman" w:cs="Times New Roman"/>
          <w:noProof/>
          <w:sz w:val="24"/>
          <w:szCs w:val="24"/>
        </w:rPr>
        <w:drawing>
          <wp:inline distT="0" distB="0" distL="0" distR="0">
            <wp:extent cx="151130" cy="142875"/>
            <wp:effectExtent l="19050" t="0" r="1270" b="0"/>
            <wp:docPr id="252" name="Imagen 2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1998 version of the US Department of Defense (DoD) Directive on the Law of War Program stated:</w:t>
      </w:r>
      <w:r w:rsidRPr="006155D3">
        <w:rPr>
          <w:rFonts w:ascii="Times New Roman" w:eastAsia="Times New Roman" w:hAnsi="Times New Roman" w:cs="Times New Roman"/>
          <w:sz w:val="24"/>
          <w:szCs w:val="24"/>
          <w:lang w:val="en-US"/>
        </w:rPr>
        <w:br/>
        <w:t>It is DoD policy to ensure that: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4.3. All reportable incidents committed by or against U.S. or enemy persons are promptly reported, thoroughly investigated, and, when appropriate, remedied by corrective action.</w:t>
      </w:r>
      <w:r w:rsidRPr="006155D3">
        <w:rPr>
          <w:rFonts w:ascii="Times New Roman" w:eastAsia="Times New Roman" w:hAnsi="Times New Roman" w:cs="Times New Roman"/>
          <w:sz w:val="24"/>
          <w:szCs w:val="24"/>
          <w:lang w:val="en-US"/>
        </w:rPr>
        <w:br/>
        <w:t>4.4. All reportable incidents committed by or against allied persons, or by or against other persons during a conflict to which the U.S. is not a party, are reported through command channels for ultimate transmission to appropriate U.S. Agencies, allied governments, or other appropriate authorities.</w:t>
      </w:r>
      <w:r>
        <w:rPr>
          <w:rFonts w:ascii="Times New Roman" w:eastAsia="Times New Roman" w:hAnsi="Times New Roman" w:cs="Times New Roman"/>
          <w:noProof/>
          <w:sz w:val="24"/>
          <w:szCs w:val="24"/>
        </w:rPr>
        <w:drawing>
          <wp:inline distT="0" distB="0" distL="0" distR="0">
            <wp:extent cx="151130" cy="142875"/>
            <wp:effectExtent l="19050" t="0" r="1270" b="0"/>
            <wp:docPr id="253" name="Imagen 2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The Secretaries of the Military Departments shall develop internal policies and procedures consistent with this Directive in support of the DoD Law of War Program to: … [p]rovide for the prompt reporting and investigation of reportable incidents committed by or against members of their respective Military Departments, or persons accompanying them.</w:t>
      </w:r>
      <w:r>
        <w:rPr>
          <w:rFonts w:ascii="Times New Roman" w:eastAsia="Times New Roman" w:hAnsi="Times New Roman" w:cs="Times New Roman"/>
          <w:noProof/>
          <w:sz w:val="24"/>
          <w:szCs w:val="24"/>
        </w:rPr>
        <w:drawing>
          <wp:inline distT="0" distB="0" distL="0" distR="0">
            <wp:extent cx="151130" cy="142875"/>
            <wp:effectExtent l="19050" t="0" r="1270" b="0"/>
            <wp:docPr id="254" name="Imagen 2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issue directives to ensure that reportable incidents involving U.S. or enemy persons are reported promptly to appropriate authorities, are thoroughly investigated, and the results of such investigations are promptly forwarded to the applicable Military Department or other appropriate authorities.</w:t>
      </w:r>
      <w:r>
        <w:rPr>
          <w:rFonts w:ascii="Times New Roman" w:eastAsia="Times New Roman" w:hAnsi="Times New Roman" w:cs="Times New Roman"/>
          <w:noProof/>
          <w:sz w:val="24"/>
          <w:szCs w:val="24"/>
        </w:rPr>
        <w:drawing>
          <wp:inline distT="0" distB="0" distL="0" distR="0">
            <wp:extent cx="151130" cy="142875"/>
            <wp:effectExtent l="19050" t="0" r="1270" b="0"/>
            <wp:docPr id="255" name="Imagen 2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All military and civilian personnel assigned to or accompanying a DoD Component shall report reportable incidents through their chain of command. Such reports … may also be made through other channels, such as the military police, a judge advocate, or an Inspector General. Reports that are made to officials other than those specified in this subsection shall, nonetheless, be accepted and immediately forwarded through the recipient’s chain of command.</w:t>
      </w:r>
      <w:r>
        <w:rPr>
          <w:rFonts w:ascii="Times New Roman" w:eastAsia="Times New Roman" w:hAnsi="Times New Roman" w:cs="Times New Roman"/>
          <w:noProof/>
          <w:sz w:val="24"/>
          <w:szCs w:val="24"/>
        </w:rPr>
        <w:drawing>
          <wp:inline distT="0" distB="0" distL="0" distR="0">
            <wp:extent cx="151130" cy="142875"/>
            <wp:effectExtent l="19050" t="0" r="1270" b="0"/>
            <wp:docPr id="256" name="Imagen 2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On 8 May 2004, during his weekly radio address, the US President spoke of recent public revelations regarding the abuse of detainees at Abu Ghraib prison in Iraq by US Army personnel:</w:t>
      </w:r>
      <w:r w:rsidRPr="006155D3">
        <w:rPr>
          <w:rFonts w:ascii="Times New Roman" w:eastAsia="Times New Roman" w:hAnsi="Times New Roman" w:cs="Times New Roman"/>
          <w:sz w:val="24"/>
          <w:szCs w:val="24"/>
          <w:lang w:val="en-US"/>
        </w:rPr>
        <w:br/>
        <w:t>In recent days, America and the world have learned of shocking conduct in Iraqi prisons by a small number of American servicemen and women. These individuals had been given the responsibility of overseeing Iraqis in American custody, and doing so in a decent and humane manner, consistent with U.S. law and the Geneva conventions. Instead we have seen shameful images of prisoners being subjected to abuse and humiliation. Such practices do not reflect our values. They are a stain on our country’s honor and reputation.</w:t>
      </w:r>
      <w:r w:rsidRPr="006155D3">
        <w:rPr>
          <w:rFonts w:ascii="Times New Roman" w:eastAsia="Times New Roman" w:hAnsi="Times New Roman" w:cs="Times New Roman"/>
          <w:sz w:val="24"/>
          <w:szCs w:val="24"/>
          <w:lang w:val="en-US"/>
        </w:rPr>
        <w:br/>
        <w:t xml:space="preserve">Shortly after reports of abuse became known to our military, an investigation was launched. Today several formal investigations, led by senior military officials, are underway. Some soldiers have already been charged with crimes. We will learn all the </w:t>
      </w:r>
      <w:r w:rsidRPr="006155D3">
        <w:rPr>
          <w:rFonts w:ascii="Times New Roman" w:eastAsia="Times New Roman" w:hAnsi="Times New Roman" w:cs="Times New Roman"/>
          <w:sz w:val="24"/>
          <w:szCs w:val="24"/>
          <w:lang w:val="en-US"/>
        </w:rPr>
        <w:lastRenderedPageBreak/>
        <w:t>facts and determine the full extent of these abuses. Those involved will be identified; they will answer for their actions. All prison operations in Iraq will be thoroughly reviewed to make certain that similar disgraceful incidents are never repeated.</w:t>
      </w:r>
      <w:r>
        <w:rPr>
          <w:rFonts w:ascii="Times New Roman" w:eastAsia="Times New Roman" w:hAnsi="Times New Roman" w:cs="Times New Roman"/>
          <w:noProof/>
          <w:sz w:val="24"/>
          <w:szCs w:val="24"/>
        </w:rPr>
        <w:drawing>
          <wp:inline distT="0" distB="0" distL="0" distR="0">
            <wp:extent cx="151130" cy="142875"/>
            <wp:effectExtent l="19050" t="0" r="1270" b="0"/>
            <wp:docPr id="257" name="Imagen 2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2005, the US Department of Defense (DoD) released a report of an investigation, dated 1 April 2005 (as amended 9 June 2005), commissioned by the Commander US Southern Command (USSOUTHCOM) and conducted by Lieutenant General R.M. Schmidt and Brigadier General J.T. Furlow, into FBI allegations of detainee abuse at the US Detention Facility, Joint Task Force Guantanamo Bay, Cuba. The executive summary of the report stated:</w:t>
      </w:r>
      <w:r w:rsidRPr="006155D3">
        <w:rPr>
          <w:rFonts w:ascii="Times New Roman" w:eastAsia="Times New Roman" w:hAnsi="Times New Roman" w:cs="Times New Roman"/>
          <w:sz w:val="24"/>
          <w:szCs w:val="24"/>
          <w:lang w:val="en-US"/>
        </w:rPr>
        <w:br/>
        <w:t>Detention and interrogation operations at Joint Task Force Guantanamo (JTF-GTMO) cover a three-year period and over 24,000 interrogations. This AR 15-6 [Army Regulation 15-6: Procedures for Investigating Officers and Boards of Officers, dated 30 September 1996] investigation found only three interrogation acts in violation of interrogation techniques authorized by Army Field Manual 34–52 [Intelligence Interrogation] and DoD guidance. The AR 15-6 also found that the Commander of JTF-GTMO failed to monitor the interrogation of one high value detainee in late 2002. The AR 15-6 found that the interrogation of this same high value detainee resulted in degrading and abusive treatment but did not rise to the level of being inhumane treatment. Finally, the AR 15-6 found that the communication of a threat to another high value detainee was in violation of SECDEF [US Secretary Department of Defense] guidance and the UCMJ [Uniform Code of Military Justice]. The AR 15-6 found no evidence of torture or inhumane treatment at JTF-GTMO.</w:t>
      </w:r>
      <w:r>
        <w:rPr>
          <w:rFonts w:ascii="Times New Roman" w:eastAsia="Times New Roman" w:hAnsi="Times New Roman" w:cs="Times New Roman"/>
          <w:noProof/>
          <w:sz w:val="24"/>
          <w:szCs w:val="24"/>
        </w:rPr>
        <w:drawing>
          <wp:inline distT="0" distB="0" distL="0" distR="0">
            <wp:extent cx="151130" cy="142875"/>
            <wp:effectExtent l="19050" t="0" r="1270" b="0"/>
            <wp:docPr id="258" name="Imagen 2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Yugoslavia, Socialist Federal Republic of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Order No. 985-1/91 issued in 1991, the Chief of General Staff of the Yugoslav People’s Army (YPA) stated: </w:t>
      </w:r>
      <w:r w:rsidRPr="006155D3">
        <w:rPr>
          <w:rFonts w:ascii="Times New Roman" w:eastAsia="Times New Roman" w:hAnsi="Times New Roman" w:cs="Times New Roman"/>
          <w:sz w:val="24"/>
          <w:szCs w:val="24"/>
          <w:lang w:val="en-US"/>
        </w:rPr>
        <w:br/>
        <w:t>Command structures and units have the duty to inform immediately their commanding officers on any violation of international law of warfare. Any information in this regard that may appear should be forwarded to the General Staff in regular reports.</w:t>
      </w:r>
      <w:r>
        <w:rPr>
          <w:rFonts w:ascii="Times New Roman" w:eastAsia="Times New Roman" w:hAnsi="Times New Roman" w:cs="Times New Roman"/>
          <w:noProof/>
          <w:sz w:val="24"/>
          <w:szCs w:val="24"/>
        </w:rPr>
        <w:drawing>
          <wp:inline distT="0" distB="0" distL="0" distR="0">
            <wp:extent cx="151130" cy="142875"/>
            <wp:effectExtent l="19050" t="0" r="1270" b="0"/>
            <wp:docPr id="259" name="Imagen 2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4" w:name="_VIUnNa"/>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"javascript:openUrlLight('src_VIUnNa')"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VII. United Nations</w:t>
      </w:r>
      <w:r w:rsidRPr="006155D3">
        <w:rPr>
          <w:rFonts w:ascii="Times New Roman" w:eastAsia="Times New Roman" w:hAnsi="Times New Roman" w:cs="Times New Roman"/>
          <w:sz w:val="24"/>
          <w:szCs w:val="24"/>
        </w:rPr>
        <w:fldChar w:fldCharType="end"/>
      </w:r>
      <w:bookmarkEnd w:id="74"/>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UN Security Council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1995, in a statement by its President on the conflict in Bosnia and Herzegovina, the UN Security Council stated: </w:t>
      </w:r>
      <w:r w:rsidRPr="006155D3">
        <w:rPr>
          <w:rFonts w:ascii="Times New Roman" w:eastAsia="Times New Roman" w:hAnsi="Times New Roman" w:cs="Times New Roman"/>
          <w:sz w:val="24"/>
          <w:szCs w:val="24"/>
          <w:lang w:val="en-US"/>
        </w:rPr>
        <w:br/>
        <w:t>The Council reaffirms its condemnation of all violations of international humanitarian law, and reiterates to all concerned that those who have committed or ordered the commission of such acts will be held individually responsible in respect of such acts. It reminds the military and political leaders of the Bosnian Serb party that this responsibility extends to any such acts committed by forces under their command.</w:t>
      </w:r>
      <w:r>
        <w:rPr>
          <w:rFonts w:ascii="Times New Roman" w:eastAsia="Times New Roman" w:hAnsi="Times New Roman" w:cs="Times New Roman"/>
          <w:noProof/>
          <w:sz w:val="24"/>
          <w:szCs w:val="24"/>
        </w:rPr>
        <w:drawing>
          <wp:inline distT="0" distB="0" distL="0" distR="0">
            <wp:extent cx="151130" cy="142875"/>
            <wp:effectExtent l="19050" t="0" r="1270" b="0"/>
            <wp:docPr id="260" name="Imagen 2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General Assembly</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1993 on rape and abuse of women in the areas of armed conflict in the former Yugoslavia,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Reaffirms</w:t>
      </w:r>
      <w:r w:rsidRPr="006155D3">
        <w:rPr>
          <w:rFonts w:ascii="Times New Roman" w:eastAsia="Times New Roman" w:hAnsi="Times New Roman" w:cs="Times New Roman"/>
          <w:sz w:val="24"/>
          <w:szCs w:val="24"/>
          <w:lang w:val="en-US"/>
        </w:rPr>
        <w:t xml:space="preserve"> that all persons who perpetrate or authorize crimes against humanity and other violations of international humanitarian law are individually responsible for those violations, and that those in positions of authority who have failed adequately to ensure that persons under their control comply with the relevant international instruments are accountable together with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61" name="Imagen 2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a resolution adopted in 1994 on rape and abuse of women in the areas of armed conflict in the former Yugoslavia,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Reaffirms</w:t>
      </w:r>
      <w:r w:rsidRPr="006155D3">
        <w:rPr>
          <w:rFonts w:ascii="Times New Roman" w:eastAsia="Times New Roman" w:hAnsi="Times New Roman" w:cs="Times New Roman"/>
          <w:sz w:val="24"/>
          <w:szCs w:val="24"/>
          <w:lang w:val="en-US"/>
        </w:rPr>
        <w:t xml:space="preserve"> that all persons who perpetrate or authorize crimes against humanity or other violations of international law are individually responsible for those violations and that </w:t>
      </w:r>
      <w:r w:rsidRPr="006155D3">
        <w:rPr>
          <w:rFonts w:ascii="Times New Roman" w:eastAsia="Times New Roman" w:hAnsi="Times New Roman" w:cs="Times New Roman"/>
          <w:sz w:val="24"/>
          <w:szCs w:val="24"/>
          <w:lang w:val="en-US"/>
        </w:rPr>
        <w:lastRenderedPageBreak/>
        <w:t>those in positions of authority who have failed to ensure that persons under their control comply with the relevant international instruments are accountable, together with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62" name="Imagen 2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a resolution adopted in 1995 on rape and abuse of women in the areas of armed conflict in the former Yugoslavia,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Also reaffirms</w:t>
      </w:r>
      <w:r w:rsidRPr="006155D3">
        <w:rPr>
          <w:rFonts w:ascii="Times New Roman" w:eastAsia="Times New Roman" w:hAnsi="Times New Roman" w:cs="Times New Roman"/>
          <w:sz w:val="24"/>
          <w:szCs w:val="24"/>
          <w:lang w:val="en-US"/>
        </w:rPr>
        <w:t xml:space="preserve"> that all persons who perpetrate or authorize crimes against humanity or other violations of international humanitarian law are individually responsible for those violations and that those in positions of authority who have failed to ensure that persons under their control comply with the relevant international instruments are accountable, together with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63" name="Imagen 2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a resolution adopted in 1996 on rape and abuse of women in the areas of armed conflict in the former Yugoslavia,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Also reaffirms</w:t>
      </w:r>
      <w:r w:rsidRPr="006155D3">
        <w:rPr>
          <w:rFonts w:ascii="Times New Roman" w:eastAsia="Times New Roman" w:hAnsi="Times New Roman" w:cs="Times New Roman"/>
          <w:sz w:val="24"/>
          <w:szCs w:val="24"/>
          <w:lang w:val="en-US"/>
        </w:rPr>
        <w:t xml:space="preserve"> that all persons who perpetrate or authorize crimes against humanity or other violations of international humanitarian law are individually responsible for those violations and that those in positions of authority who have failed to ensure that persons under their control comply with the relevant international instruments are accountable, together with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64" name="Imagen 2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2003 on special assistance for the economic recovery and reconstruction of the Democratic Republic of the Congo,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Strongly condemns </w:t>
      </w:r>
      <w:r w:rsidRPr="006155D3">
        <w:rPr>
          <w:rFonts w:ascii="Times New Roman" w:eastAsia="Times New Roman" w:hAnsi="Times New Roman" w:cs="Times New Roman"/>
          <w:sz w:val="24"/>
          <w:szCs w:val="24"/>
          <w:lang w:val="en-US"/>
        </w:rPr>
        <w:t>the acts of violence, including the latest massacres in Ituri, systematically perpetrated against civilians … stresses the need to bring to justice those responsible, including those at the command level, and urges all parties, including the Government of the Democratic Republic of the Congo, to take all necessary steps to prevent further violations of human rights and international humanitarian law, in particular those committed against civilians.</w:t>
      </w:r>
      <w:r>
        <w:rPr>
          <w:rFonts w:ascii="Times New Roman" w:eastAsia="Times New Roman" w:hAnsi="Times New Roman" w:cs="Times New Roman"/>
          <w:noProof/>
          <w:sz w:val="24"/>
          <w:szCs w:val="24"/>
        </w:rPr>
        <w:drawing>
          <wp:inline distT="0" distB="0" distL="0" distR="0">
            <wp:extent cx="151130" cy="142875"/>
            <wp:effectExtent l="19050" t="0" r="1270" b="0"/>
            <wp:docPr id="265" name="Imagen 2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2003 on torture and other cruel, inhuman or degrading treatment or punishment, the UN General Assembly:</w:t>
      </w:r>
      <w:r w:rsidRPr="006155D3">
        <w:rPr>
          <w:rFonts w:ascii="Times New Roman" w:eastAsia="Times New Roman" w:hAnsi="Times New Roman" w:cs="Times New Roman"/>
          <w:sz w:val="24"/>
          <w:szCs w:val="24"/>
          <w:lang w:val="en-US"/>
        </w:rPr>
        <w:br/>
        <w:t>… [S]tresses</w:t>
      </w:r>
      <w:r w:rsidRPr="006155D3">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sz w:val="24"/>
          <w:szCs w:val="24"/>
          <w:lang w:val="en-US"/>
        </w:rPr>
        <w:t>in particular that all allegations of torture or other cruel, inhuman or degrading treatment or punishment should be promptly and impartially examined by the competent national authority [and] that those who encourage, order, tolerate or perpetrate acts of torture must be held responsible and severely punished, including the officials in charge of the place of detention where the prohibited act is found to have been committed.</w:t>
      </w:r>
      <w:r>
        <w:rPr>
          <w:rFonts w:ascii="Times New Roman" w:eastAsia="Times New Roman" w:hAnsi="Times New Roman" w:cs="Times New Roman"/>
          <w:noProof/>
          <w:sz w:val="24"/>
          <w:szCs w:val="24"/>
        </w:rPr>
        <w:drawing>
          <wp:inline distT="0" distB="0" distL="0" distR="0">
            <wp:extent cx="151130" cy="142875"/>
            <wp:effectExtent l="19050" t="0" r="1270" b="0"/>
            <wp:docPr id="266" name="Imagen 2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2004 on torture and other cruel, inhuman or degrading treatment or punishment,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Stresses </w:t>
      </w:r>
      <w:r w:rsidRPr="006155D3">
        <w:rPr>
          <w:rFonts w:ascii="Times New Roman" w:eastAsia="Times New Roman" w:hAnsi="Times New Roman" w:cs="Times New Roman"/>
          <w:sz w:val="24"/>
          <w:szCs w:val="24"/>
          <w:lang w:val="en-US"/>
        </w:rPr>
        <w:t>that all allegations of torture or other cruel, inhuman or degrading treatment or punishment must be promptly and impartially examined by the competent national authority, that those who encourage, order, tolerate or perpetrate acts of torture must be held responsible and severely punished, including the officials in charge of the place of detention where the prohibited act is found to have been committed, and takes note in this respect of the Principles on the Effective Investigation and Documentation of Torture and Other Cruel, Inhuman or Degrading Treatment or Punishment (the Istanbul Principles) as a useful tool in efforts to combat torture.</w:t>
      </w:r>
      <w:r>
        <w:rPr>
          <w:rFonts w:ascii="Times New Roman" w:eastAsia="Times New Roman" w:hAnsi="Times New Roman" w:cs="Times New Roman"/>
          <w:noProof/>
          <w:sz w:val="24"/>
          <w:szCs w:val="24"/>
        </w:rPr>
        <w:drawing>
          <wp:inline distT="0" distB="0" distL="0" distR="0">
            <wp:extent cx="151130" cy="142875"/>
            <wp:effectExtent l="19050" t="0" r="1270" b="0"/>
            <wp:docPr id="267" name="Imagen 2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2007 on torture and other cruel, inhuman or degrading treatment or punishment, the UN General Assembly:</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Stresses </w:t>
      </w:r>
      <w:r w:rsidRPr="006155D3">
        <w:rPr>
          <w:rFonts w:ascii="Times New Roman" w:eastAsia="Times New Roman" w:hAnsi="Times New Roman" w:cs="Times New Roman"/>
          <w:sz w:val="24"/>
          <w:szCs w:val="24"/>
          <w:lang w:val="en-US"/>
        </w:rPr>
        <w:t xml:space="preserve">that all allegations of torture or other cruel, inhuman or degrading treatment or punishment must be promptly and impartially examined by the competent national authority, and that those who encourage, order, tolerate or perpetrate acts of torture must be held responsible, brought to justice and severely punished, including the officials in </w:t>
      </w:r>
      <w:r w:rsidRPr="006155D3">
        <w:rPr>
          <w:rFonts w:ascii="Times New Roman" w:eastAsia="Times New Roman" w:hAnsi="Times New Roman" w:cs="Times New Roman"/>
          <w:sz w:val="24"/>
          <w:szCs w:val="24"/>
          <w:lang w:val="en-US"/>
        </w:rPr>
        <w:lastRenderedPageBreak/>
        <w:t>charge of the place of detention where the prohibited act is found to have been committed.</w:t>
      </w:r>
      <w:r>
        <w:rPr>
          <w:rFonts w:ascii="Times New Roman" w:eastAsia="Times New Roman" w:hAnsi="Times New Roman" w:cs="Times New Roman"/>
          <w:noProof/>
          <w:sz w:val="24"/>
          <w:szCs w:val="24"/>
        </w:rPr>
        <w:drawing>
          <wp:inline distT="0" distB="0" distL="0" distR="0">
            <wp:extent cx="151130" cy="142875"/>
            <wp:effectExtent l="19050" t="0" r="1270" b="0"/>
            <wp:docPr id="268" name="Imagen 2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Commission on Human Rights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on civil defence forces adopted in 1994,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Recommends </w:t>
      </w:r>
      <w:r w:rsidRPr="006155D3">
        <w:rPr>
          <w:rFonts w:ascii="Times New Roman" w:eastAsia="Times New Roman" w:hAnsi="Times New Roman" w:cs="Times New Roman"/>
          <w:sz w:val="24"/>
          <w:szCs w:val="24"/>
          <w:lang w:val="en-US"/>
        </w:rPr>
        <w:t>that whenever armed civil defence forces are created to protect the civilian population, Governments establish, where appropriate, minimum legal requirements for them, within the framework of domestic law, including the following:</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 Commanders shall have clear responsibility for their activities;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 Civil defence forces and their commanders shall be clearly accountable for their activities.</w:t>
      </w:r>
      <w:r>
        <w:rPr>
          <w:rFonts w:ascii="Times New Roman" w:eastAsia="Times New Roman" w:hAnsi="Times New Roman" w:cs="Times New Roman"/>
          <w:noProof/>
          <w:sz w:val="24"/>
          <w:szCs w:val="24"/>
        </w:rPr>
        <w:drawing>
          <wp:inline distT="0" distB="0" distL="0" distR="0">
            <wp:extent cx="151130" cy="142875"/>
            <wp:effectExtent l="19050" t="0" r="1270" b="0"/>
            <wp:docPr id="269" name="Imagen 2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1994 on rape and abuse of women in the areas of armed conflict in the former Yugoslavia,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 xml:space="preserve">Reaffirms </w:t>
      </w:r>
      <w:r w:rsidRPr="006155D3">
        <w:rPr>
          <w:rFonts w:ascii="Times New Roman" w:eastAsia="Times New Roman" w:hAnsi="Times New Roman" w:cs="Times New Roman"/>
          <w:sz w:val="24"/>
          <w:szCs w:val="24"/>
          <w:lang w:val="en-US"/>
        </w:rPr>
        <w:t>that all persons who perpetrate or authorize crimes against humanity and other violations of international humanitarian law are individually responsible for those violations, and … those in positions of authority who have failed adequately to ensure that persons under their control comply with the relevant international instruments are accountable together with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70" name="Imagen 2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2003 on torture and other cruel, inhuman or degrading treatment or punishment,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Stresses in particular</w:t>
      </w:r>
      <w:r w:rsidRPr="006155D3">
        <w:rPr>
          <w:rFonts w:ascii="Times New Roman" w:eastAsia="Times New Roman" w:hAnsi="Times New Roman" w:cs="Times New Roman"/>
          <w:sz w:val="24"/>
          <w:szCs w:val="24"/>
          <w:lang w:val="en-US"/>
        </w:rPr>
        <w:t xml:space="preserve"> that all allegations of torture or other cruel, inhuman or degrading treatment or punishment should be promptly and impartially examined by the competent national authority [and] that those who encourage, order, tolerate or perpetrate acts of torture must be held responsible and severely punished, including the officials in charge of the place of detention</w:t>
      </w:r>
      <w:r w:rsidRPr="006155D3">
        <w:rPr>
          <w:rFonts w:ascii="Times New Roman" w:eastAsia="Times New Roman" w:hAnsi="Times New Roman" w:cs="Times New Roman"/>
          <w:b/>
          <w:bCs/>
          <w:sz w:val="24"/>
          <w:szCs w:val="24"/>
          <w:lang w:val="en-US"/>
        </w:rPr>
        <w:t xml:space="preserve"> </w:t>
      </w:r>
      <w:r w:rsidRPr="006155D3">
        <w:rPr>
          <w:rFonts w:ascii="Times New Roman" w:eastAsia="Times New Roman" w:hAnsi="Times New Roman" w:cs="Times New Roman"/>
          <w:sz w:val="24"/>
          <w:szCs w:val="24"/>
          <w:lang w:val="en-US"/>
        </w:rPr>
        <w:t>where the prohibited act is found to have taken place.</w:t>
      </w:r>
      <w:r>
        <w:rPr>
          <w:rFonts w:ascii="Times New Roman" w:eastAsia="Times New Roman" w:hAnsi="Times New Roman" w:cs="Times New Roman"/>
          <w:noProof/>
          <w:sz w:val="24"/>
          <w:szCs w:val="24"/>
        </w:rPr>
        <w:drawing>
          <wp:inline distT="0" distB="0" distL="0" distR="0">
            <wp:extent cx="151130" cy="142875"/>
            <wp:effectExtent l="19050" t="0" r="1270" b="0"/>
            <wp:docPr id="271" name="Imagen 2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2004 on torture and other cruel, inhuman or degrading treatment or punishment,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Stresses in particular</w:t>
      </w:r>
      <w:r w:rsidRPr="006155D3">
        <w:rPr>
          <w:rFonts w:ascii="Times New Roman" w:eastAsia="Times New Roman" w:hAnsi="Times New Roman" w:cs="Times New Roman"/>
          <w:sz w:val="24"/>
          <w:szCs w:val="24"/>
          <w:lang w:val="en-US"/>
        </w:rPr>
        <w:t xml:space="preserve"> that all allegations of torture or other cruel, inhuman or degrading treatment or punishment should be promptly and impartially examined by the competent national authority, that those who encourage, order, tolerate or perpetrate acts of torture must be held responsible and severely punished, including the officials in charge of the place of detention where the prohibited act is found to have taken place, notes in this respect the Principles on the Effective Investigation and Documentation of Torture and Other Cruel, Inhuman or Degrading Treatment or Punishment (the Istanbul Principles) annexed to Commission resolution 2000/43 of 20 April 2000, and General Assembly resolution 55/89 of 4 December 2000 as a useful tool in efforts to combat torture, and reiterates its request to</w:t>
      </w:r>
      <w:r w:rsidRPr="006155D3">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sz w:val="24"/>
          <w:szCs w:val="24"/>
          <w:lang w:val="en-US"/>
        </w:rPr>
        <w:t>the Special Rapporteur, in the normal course of his work, to solicit views from Governments and non</w:t>
      </w:r>
      <w:r w:rsidRPr="006155D3">
        <w:rPr>
          <w:rFonts w:ascii="Times New Roman" w:eastAsia="Times New Roman" w:hAnsi="Times New Roman" w:cs="Times New Roman"/>
          <w:sz w:val="24"/>
          <w:szCs w:val="24"/>
          <w:lang w:val="en-US"/>
        </w:rPr>
        <w:noBreakHyphen/>
        <w:t>governmental organizations.</w:t>
      </w:r>
      <w:r>
        <w:rPr>
          <w:rFonts w:ascii="Times New Roman" w:eastAsia="Times New Roman" w:hAnsi="Times New Roman" w:cs="Times New Roman"/>
          <w:noProof/>
          <w:sz w:val="24"/>
          <w:szCs w:val="24"/>
        </w:rPr>
        <w:drawing>
          <wp:inline distT="0" distB="0" distL="0" distR="0">
            <wp:extent cx="151130" cy="142875"/>
            <wp:effectExtent l="19050" t="0" r="1270" b="0"/>
            <wp:docPr id="272" name="Imagen 2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2004 on impunity,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Urges</w:t>
      </w:r>
      <w:r w:rsidRPr="006155D3">
        <w:rPr>
          <w:rFonts w:ascii="Times New Roman" w:eastAsia="Times New Roman" w:hAnsi="Times New Roman" w:cs="Times New Roman"/>
          <w:sz w:val="24"/>
          <w:szCs w:val="24"/>
          <w:lang w:val="en-US"/>
        </w:rPr>
        <w:t xml:space="preserve"> all States to ensure that all military commanders and other superiors are aware of their criminal responsibility under international law for genocide, crimes against humanity and war crimes, including, under certain circumstances, for those committed by subordinates under their effective authority and control.</w:t>
      </w:r>
      <w:r>
        <w:rPr>
          <w:rFonts w:ascii="Times New Roman" w:eastAsia="Times New Roman" w:hAnsi="Times New Roman" w:cs="Times New Roman"/>
          <w:noProof/>
          <w:sz w:val="24"/>
          <w:szCs w:val="24"/>
        </w:rPr>
        <w:drawing>
          <wp:inline distT="0" distB="0" distL="0" distR="0">
            <wp:extent cx="151130" cy="142875"/>
            <wp:effectExtent l="19050" t="0" r="1270" b="0"/>
            <wp:docPr id="273" name="Imagen 2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2005 on torture and other cruel, inhuman or degrading treatment or punishment,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Stresses in particular</w:t>
      </w:r>
      <w:r w:rsidRPr="006155D3">
        <w:rPr>
          <w:rFonts w:ascii="Times New Roman" w:eastAsia="Times New Roman" w:hAnsi="Times New Roman" w:cs="Times New Roman"/>
          <w:sz w:val="24"/>
          <w:szCs w:val="24"/>
          <w:lang w:val="en-US"/>
        </w:rPr>
        <w:t xml:space="preserve"> that all allegations of torture or other cruel, inhuman or degrading treatment or punishment must be promptly and impartially examined by the competent national authority, that those who encourage, order, tolerate or perpetrate acts of torture must be held responsible and severely punished, including the officials in charge of the </w:t>
      </w:r>
      <w:r w:rsidRPr="006155D3">
        <w:rPr>
          <w:rFonts w:ascii="Times New Roman" w:eastAsia="Times New Roman" w:hAnsi="Times New Roman" w:cs="Times New Roman"/>
          <w:sz w:val="24"/>
          <w:szCs w:val="24"/>
          <w:lang w:val="en-US"/>
        </w:rPr>
        <w:lastRenderedPageBreak/>
        <w:t>place of detention where the prohibited act is found to have been committed, and takes note in this respect of the Principles on the Effective Investigation and Documentation of Torture and Other Cruel, Inhuman or Degrading Treatment or Punishment (the Istanbul Principles) as a useful tool in efforts to combat torture.</w:t>
      </w:r>
      <w:r>
        <w:rPr>
          <w:rFonts w:ascii="Times New Roman" w:eastAsia="Times New Roman" w:hAnsi="Times New Roman" w:cs="Times New Roman"/>
          <w:noProof/>
          <w:sz w:val="24"/>
          <w:szCs w:val="24"/>
        </w:rPr>
        <w:drawing>
          <wp:inline distT="0" distB="0" distL="0" distR="0">
            <wp:extent cx="151130" cy="142875"/>
            <wp:effectExtent l="19050" t="0" r="1270" b="0"/>
            <wp:docPr id="274" name="Imagen 2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2005 on impunity, the UN 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Urges</w:t>
      </w:r>
      <w:r w:rsidRPr="006155D3">
        <w:rPr>
          <w:rFonts w:ascii="Times New Roman" w:eastAsia="Times New Roman" w:hAnsi="Times New Roman" w:cs="Times New Roman"/>
          <w:sz w:val="24"/>
          <w:szCs w:val="24"/>
          <w:lang w:val="en-US"/>
        </w:rPr>
        <w:t xml:space="preserve"> all States to ensure that all military commanders and other superiors are aware of the circumstances in which they may be criminally responsible under international law for genocide, crimes against humanity and war crimes, including, under certain circumstances, for these crimes when committed by subordinates under their effective authority and control, and to ensure that all relevant personnel are informed of the limitations that international law places on the defence of superior orders.</w:t>
      </w:r>
      <w:r>
        <w:rPr>
          <w:rFonts w:ascii="Times New Roman" w:eastAsia="Times New Roman" w:hAnsi="Times New Roman" w:cs="Times New Roman"/>
          <w:noProof/>
          <w:sz w:val="24"/>
          <w:szCs w:val="24"/>
        </w:rPr>
        <w:drawing>
          <wp:inline distT="0" distB="0" distL="0" distR="0">
            <wp:extent cx="151130" cy="142875"/>
            <wp:effectExtent l="19050" t="0" r="1270" b="0"/>
            <wp:docPr id="275" name="Imagen 2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Sub-Commission on Human Rights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1993 on punishment of the crime of genocide, the UN Sub-Commission on Human Rights: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Affirms</w:t>
      </w:r>
      <w:r w:rsidRPr="006155D3">
        <w:rPr>
          <w:rFonts w:ascii="Times New Roman" w:eastAsia="Times New Roman" w:hAnsi="Times New Roman" w:cs="Times New Roman"/>
          <w:sz w:val="24"/>
          <w:szCs w:val="24"/>
          <w:lang w:val="en-US"/>
        </w:rPr>
        <w:t xml:space="preserve"> that all persons who perpetrate or authorize the commission of genocide and related crimes are individually responsible for such actions and … those in positions of authority who have failed adequately to ensure that persons under their control comply with the relevant principles of international law are accountable along with the perpetrators.</w:t>
      </w:r>
      <w:r>
        <w:rPr>
          <w:rFonts w:ascii="Times New Roman" w:eastAsia="Times New Roman" w:hAnsi="Times New Roman" w:cs="Times New Roman"/>
          <w:noProof/>
          <w:sz w:val="24"/>
          <w:szCs w:val="24"/>
        </w:rPr>
        <w:drawing>
          <wp:inline distT="0" distB="0" distL="0" distR="0">
            <wp:extent cx="151130" cy="142875"/>
            <wp:effectExtent l="19050" t="0" r="1270" b="0"/>
            <wp:docPr id="276" name="Imagen 2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Secretary-General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1993, in his report on the draft ICTY Statute, the UN Secretary-General stated that a person in a position of superior authority</w:t>
      </w:r>
      <w:r w:rsidRPr="006155D3">
        <w:rPr>
          <w:rFonts w:ascii="Times New Roman" w:eastAsia="Times New Roman" w:hAnsi="Times New Roman" w:cs="Times New Roman"/>
          <w:sz w:val="24"/>
          <w:szCs w:val="24"/>
          <w:lang w:val="en-US"/>
        </w:rPr>
        <w:br/>
        <w:t>should also be held responsible for failure to prevent a crime or to deter the unlawful behaviour of his subordinates. This imputed responsibility or criminal negligence is engaged if the person in superior authority knew or had reason to know that his subordinates were about to commit crimes or had committed crimes and yet failed to take the necessary and reasonable steps to prevent or repress the commission of such crimes or to punish those who had committed them.</w:t>
      </w:r>
      <w:r>
        <w:rPr>
          <w:rFonts w:ascii="Times New Roman" w:eastAsia="Times New Roman" w:hAnsi="Times New Roman" w:cs="Times New Roman"/>
          <w:noProof/>
          <w:sz w:val="24"/>
          <w:szCs w:val="24"/>
        </w:rPr>
        <w:drawing>
          <wp:inline distT="0" distB="0" distL="0" distR="0">
            <wp:extent cx="151130" cy="142875"/>
            <wp:effectExtent l="19050" t="0" r="1270" b="0"/>
            <wp:docPr id="277" name="Imagen 2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2000, in his report on the establishment of a Special Court for Sierra Leone, the UN Secretary-General noted on the issue of the personal jurisdiction of the Court:</w:t>
      </w:r>
      <w:r w:rsidRPr="006155D3">
        <w:rPr>
          <w:rFonts w:ascii="Times New Roman" w:eastAsia="Times New Roman" w:hAnsi="Times New Roman" w:cs="Times New Roman"/>
          <w:sz w:val="24"/>
          <w:szCs w:val="24"/>
          <w:lang w:val="en-US"/>
        </w:rPr>
        <w:br/>
        <w:t>While those “most responsible” obviously include the political and military leadership, others in command authority down the chain of command may also be regarded “most responsible” judging by the severity of the crime or its massive scale. “Most responsible”, therefore, denotes both a leadership or authority position of the accused, and a sense of the gravity, seriousness or massive scale of the crime.</w:t>
      </w:r>
      <w:r>
        <w:rPr>
          <w:rFonts w:ascii="Times New Roman" w:eastAsia="Times New Roman" w:hAnsi="Times New Roman" w:cs="Times New Roman"/>
          <w:noProof/>
          <w:sz w:val="24"/>
          <w:szCs w:val="24"/>
        </w:rPr>
        <w:drawing>
          <wp:inline distT="0" distB="0" distL="0" distR="0">
            <wp:extent cx="151130" cy="142875"/>
            <wp:effectExtent l="19050" t="0" r="1270" b="0"/>
            <wp:docPr id="278" name="Imagen 2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Commission on Human Rights (Special Rapporteur)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1997, in the recommendations of his second report on the situation of human rights in Burundi, the Special Rapporteur of the UN Commission on Human Rights called upon the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authorities in Burundi</w:t>
      </w:r>
      <w:r w:rsidRPr="006155D3">
        <w:rPr>
          <w:rFonts w:ascii="Times New Roman" w:eastAsia="Times New Roman" w:hAnsi="Times New Roman" w:cs="Times New Roman"/>
          <w:sz w:val="24"/>
          <w:szCs w:val="24"/>
          <w:lang w:val="en-US"/>
        </w:rPr>
        <w:br/>
        <w:t>to establish a firm chain of command within the army and the security forces, so that senior officers bear real responsibility for abusive acts committed by their subordinates. Military personnel, whether commissioned or non-commissioned officers, should be stripped of their rank when their involvement in such acts has been proved.</w:t>
      </w:r>
      <w:r>
        <w:rPr>
          <w:rFonts w:ascii="Times New Roman" w:eastAsia="Times New Roman" w:hAnsi="Times New Roman" w:cs="Times New Roman"/>
          <w:noProof/>
          <w:sz w:val="24"/>
          <w:szCs w:val="24"/>
        </w:rPr>
        <w:drawing>
          <wp:inline distT="0" distB="0" distL="0" distR="0">
            <wp:extent cx="151130" cy="142875"/>
            <wp:effectExtent l="19050" t="0" r="1270" b="0"/>
            <wp:docPr id="279" name="Imagen 2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In 1998, in her final report submitted to the UN Sub-Commission on Human Rights on systematic rape, sexual slavery and slavery-like practices during armed conflict, the Special Rapporteur of the UN Commission on Human Rights concluded that:</w:t>
      </w:r>
      <w:r w:rsidRPr="006155D3">
        <w:rPr>
          <w:rFonts w:ascii="Times New Roman" w:eastAsia="Times New Roman" w:hAnsi="Times New Roman" w:cs="Times New Roman"/>
          <w:sz w:val="24"/>
          <w:szCs w:val="24"/>
          <w:lang w:val="en-US"/>
        </w:rPr>
        <w:br/>
        <w:t xml:space="preserve">Individual perpetrators of slavery, crimes against humanity, genocide, torture and war crimes – whether State or non-State actors – must be held responsible for their crimes at the international level, depending on the circumstances of the case and on the capacity and availability of forums to adjudicate fairly and dispense justice adequately. A strict </w:t>
      </w:r>
      <w:r w:rsidRPr="006155D3">
        <w:rPr>
          <w:rFonts w:ascii="Times New Roman" w:eastAsia="Times New Roman" w:hAnsi="Times New Roman" w:cs="Times New Roman"/>
          <w:sz w:val="24"/>
          <w:szCs w:val="24"/>
          <w:lang w:val="en-US"/>
        </w:rPr>
        <w:lastRenderedPageBreak/>
        <w:t>application of the international legal standards for command responsibility, which apply to all authorities within a given chain of command, may prevent future sexual or gender violence in conflict situations and will serve the goals of protection, enforcement and deterrence.</w:t>
      </w:r>
      <w:r>
        <w:rPr>
          <w:rFonts w:ascii="Times New Roman" w:eastAsia="Times New Roman" w:hAnsi="Times New Roman" w:cs="Times New Roman"/>
          <w:noProof/>
          <w:sz w:val="24"/>
          <w:szCs w:val="24"/>
        </w:rPr>
        <w:drawing>
          <wp:inline distT="0" distB="0" distL="0" distR="0">
            <wp:extent cx="151130" cy="142875"/>
            <wp:effectExtent l="19050" t="0" r="1270" b="0"/>
            <wp:docPr id="280" name="Imagen 2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Commission of Experts Established pursuant to Security Council Resolution 780 (1992)</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1994, in its final report on grave breaches of the Geneva Conventions and other violations of IHL committed in the former Yugoslavia, the UN Commission of Experts Established pursuant to Security Council Resolution 780 (1992) recalled that it had addressed the issue of command responsibility in its first interim report as follows:</w:t>
      </w:r>
      <w:r w:rsidRPr="006155D3">
        <w:rPr>
          <w:rFonts w:ascii="Times New Roman" w:eastAsia="Times New Roman" w:hAnsi="Times New Roman" w:cs="Times New Roman"/>
          <w:sz w:val="24"/>
          <w:szCs w:val="24"/>
          <w:lang w:val="en-US"/>
        </w:rPr>
        <w:br/>
        <w:t>Superiors are … individually responsible for a war crime or crime against humanity committed by a subordinate if they knew, or had information which should have enabled them to conclude, in the circumstances at the time, that the subordinate was committing or was going to commit such an act and they did not take all feasible measures within their power to prevent or repress the act.</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Military commanders are under a special obligation, with respect to members of the armed forces under their command or other persons under their control, to prevent and, where necessary, to suppress such acts and to report them to competent authorities.</w:t>
      </w:r>
      <w:r>
        <w:rPr>
          <w:rFonts w:ascii="Times New Roman" w:eastAsia="Times New Roman" w:hAnsi="Times New Roman" w:cs="Times New Roman"/>
          <w:noProof/>
          <w:sz w:val="24"/>
          <w:szCs w:val="24"/>
        </w:rPr>
        <w:drawing>
          <wp:inline distT="0" distB="0" distL="0" distR="0">
            <wp:extent cx="151130" cy="142875"/>
            <wp:effectExtent l="19050" t="0" r="1270" b="0"/>
            <wp:docPr id="281" name="Imagen 2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58. It is the view of the Commission that the mental element necessary when the commander has not given the offending order is (a) actual knowledge, (b) such serious personal dereliction on the part of the commander as to constitute wilful and wanton disregard of the possible consequences, or (c) an imputation of constructive knowledge, that is, despite pleas to the contrary, the commander, under the facts and circumstances of the particular case, must have known of the offences charged and acquiesced therein …</w:t>
      </w:r>
      <w:r w:rsidRPr="006155D3">
        <w:rPr>
          <w:rFonts w:ascii="Times New Roman" w:eastAsia="Times New Roman" w:hAnsi="Times New Roman" w:cs="Times New Roman"/>
          <w:sz w:val="24"/>
          <w:szCs w:val="24"/>
          <w:lang w:val="en-US"/>
        </w:rPr>
        <w:br/>
        <w:t>59. The military commander is not absolutely responsible for all offences committed by his subordinates. Isolated offences may be committed of which he has no knowledge or control whatsoever … The arguments that a commander has a weak personality or that the troops assigned to him are uncontrollable are invalid. In particular, a military commander who is assigned command and control over armed combatant groups which have engaged in war crimes in the past should refrain from employing such groups in combat, until they clearly demonstrate their intention and capability to comply with the law in the future.</w:t>
      </w:r>
      <w:r w:rsidRPr="006155D3">
        <w:rPr>
          <w:rFonts w:ascii="Times New Roman" w:eastAsia="Times New Roman" w:hAnsi="Times New Roman" w:cs="Times New Roman"/>
          <w:sz w:val="24"/>
          <w:szCs w:val="24"/>
          <w:lang w:val="en-US"/>
        </w:rPr>
        <w:br/>
        <w:t>60. Lastly, a military commander has the duty to punish or discipline those under his command whom he knows or has reasonable grounds to know committed a violation.</w:t>
      </w:r>
      <w:r>
        <w:rPr>
          <w:rFonts w:ascii="Times New Roman" w:eastAsia="Times New Roman" w:hAnsi="Times New Roman" w:cs="Times New Roman"/>
          <w:noProof/>
          <w:sz w:val="24"/>
          <w:szCs w:val="24"/>
        </w:rPr>
        <w:drawing>
          <wp:inline distT="0" distB="0" distL="0" distR="0">
            <wp:extent cx="151130" cy="142875"/>
            <wp:effectExtent l="19050" t="0" r="1270" b="0"/>
            <wp:docPr id="282" name="Imagen 2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313. … The consistent failure to prevent the commission of such crimes and the consistent failure to prosecute and punish the perpetrators of these crimes, clearly evidences the existence of a policy by omission. The consequence of this conclusion is that command responsibility can be established.</w:t>
      </w:r>
      <w:r w:rsidRPr="006155D3">
        <w:rPr>
          <w:rFonts w:ascii="Times New Roman" w:eastAsia="Times New Roman" w:hAnsi="Times New Roman" w:cs="Times New Roman"/>
          <w:sz w:val="24"/>
          <w:szCs w:val="24"/>
          <w:lang w:val="en-US"/>
        </w:rPr>
        <w:br/>
        <w:t>314. Knowledge of these grave breaches and violations of international humanitarian law can reasonably be inferred from consistent and repeated practices.</w:t>
      </w:r>
      <w:r>
        <w:rPr>
          <w:rFonts w:ascii="Times New Roman" w:eastAsia="Times New Roman" w:hAnsi="Times New Roman" w:cs="Times New Roman"/>
          <w:noProof/>
          <w:sz w:val="24"/>
          <w:szCs w:val="24"/>
        </w:rPr>
        <w:drawing>
          <wp:inline distT="0" distB="0" distL="0" distR="0">
            <wp:extent cx="151130" cy="142875"/>
            <wp:effectExtent l="19050" t="0" r="1270" b="0"/>
            <wp:docPr id="283" name="Imagen 2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UN Commission on the Truth for El Salvador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its 1993 report, the UN Commission on the Truth for El Salvador examined a case involving the execution of ten detained persons. The Commission found that:</w:t>
      </w:r>
      <w:r w:rsidRPr="006155D3">
        <w:rPr>
          <w:rFonts w:ascii="Times New Roman" w:eastAsia="Times New Roman" w:hAnsi="Times New Roman" w:cs="Times New Roman"/>
          <w:sz w:val="24"/>
          <w:szCs w:val="24"/>
          <w:lang w:val="en-US"/>
        </w:rPr>
        <w:br/>
        <w:t>7. There is sufficient evidence that [the superiors] knew about the order to execute the detainees and did nothing to prevent their execution.</w:t>
      </w:r>
      <w:r w:rsidRPr="006155D3">
        <w:rPr>
          <w:rFonts w:ascii="Times New Roman" w:eastAsia="Times New Roman" w:hAnsi="Times New Roman" w:cs="Times New Roman"/>
          <w:sz w:val="24"/>
          <w:szCs w:val="24"/>
          <w:lang w:val="en-US"/>
        </w:rPr>
        <w:br/>
        <w:t xml:space="preserve">8. There is substantial evidence that the Honour Commission of the armed forces, the Commission for the Investigation of Criminal Acts and the judge of the Criminal Court </w:t>
      </w:r>
      <w:r w:rsidRPr="006155D3">
        <w:rPr>
          <w:rFonts w:ascii="Times New Roman" w:eastAsia="Times New Roman" w:hAnsi="Times New Roman" w:cs="Times New Roman"/>
          <w:sz w:val="24"/>
          <w:szCs w:val="24"/>
          <w:lang w:val="en-US"/>
        </w:rPr>
        <w:lastRenderedPageBreak/>
        <w:t>of First Instance of the city of San Sebastián failed to take steps to determine the responsibility of [the superiors].</w:t>
      </w:r>
      <w:r>
        <w:rPr>
          <w:rFonts w:ascii="Times New Roman" w:eastAsia="Times New Roman" w:hAnsi="Times New Roman" w:cs="Times New Roman"/>
          <w:noProof/>
          <w:sz w:val="24"/>
          <w:szCs w:val="24"/>
        </w:rPr>
        <w:drawing>
          <wp:inline distT="0" distB="0" distL="0" distR="0">
            <wp:extent cx="151130" cy="142875"/>
            <wp:effectExtent l="19050" t="0" r="1270" b="0"/>
            <wp:docPr id="284" name="Imagen 2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5" w:name="_VIOtInOr"/>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"javascript:openUrlLight('src_VIOtInOr')"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VIII. Other International Organizations</w:t>
      </w:r>
      <w:r w:rsidRPr="006155D3">
        <w:rPr>
          <w:rFonts w:ascii="Times New Roman" w:eastAsia="Times New Roman" w:hAnsi="Times New Roman" w:cs="Times New Roman"/>
          <w:sz w:val="24"/>
          <w:szCs w:val="24"/>
        </w:rPr>
        <w:fldChar w:fldCharType="end"/>
      </w:r>
      <w:bookmarkEnd w:id="75"/>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OIC Conference of Ministers of Foreign Affairs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1992, the OIC Conference of Ministers of Foreign Affairs stated that it held</w:t>
      </w:r>
      <w:r w:rsidRPr="006155D3">
        <w:rPr>
          <w:rFonts w:ascii="Times New Roman" w:eastAsia="Times New Roman" w:hAnsi="Times New Roman" w:cs="Times New Roman"/>
          <w:sz w:val="24"/>
          <w:szCs w:val="24"/>
          <w:lang w:val="en-US"/>
        </w:rPr>
        <w:br/>
        <w:t>the Serb leaders, those in Belgrade as well as those in the Republic of Bosnia-Herzegovina, responsible for the atrocities committed by the Yugoslav National Army and Serb irregular forces against Muslims and Croats of Bosnia-Herzegovina … and recalls that they will be considered guilty of war crimes.</w:t>
      </w:r>
      <w:r>
        <w:rPr>
          <w:rFonts w:ascii="Times New Roman" w:eastAsia="Times New Roman" w:hAnsi="Times New Roman" w:cs="Times New Roman"/>
          <w:noProof/>
          <w:sz w:val="24"/>
          <w:szCs w:val="24"/>
        </w:rPr>
        <w:drawing>
          <wp:inline distT="0" distB="0" distL="0" distR="0">
            <wp:extent cx="151130" cy="142875"/>
            <wp:effectExtent l="19050" t="0" r="1270" b="0"/>
            <wp:docPr id="285" name="Imagen 2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6" w:name="_IXInCo"/>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"javascript:openUrlLight('src_IXInCo')"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IX. International Conferences</w:t>
      </w:r>
      <w:r w:rsidRPr="006155D3">
        <w:rPr>
          <w:rFonts w:ascii="Times New Roman" w:eastAsia="Times New Roman" w:hAnsi="Times New Roman" w:cs="Times New Roman"/>
          <w:sz w:val="24"/>
          <w:szCs w:val="24"/>
        </w:rPr>
        <w:fldChar w:fldCharType="end"/>
      </w:r>
      <w:bookmarkEnd w:id="76"/>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Inter-Parliamentary Conference (1993)</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 a resolution adopted in 1993, the 90th Inter-Parliamentary Conference called on “all States to remind military commanders that they are required … to make every effort to ensure that no violations [of IHL] are committed and, where necessary, to punish or report any violations to the authorities”.</w:t>
      </w:r>
      <w:r>
        <w:rPr>
          <w:rFonts w:ascii="Times New Roman" w:eastAsia="Times New Roman" w:hAnsi="Times New Roman" w:cs="Times New Roman"/>
          <w:noProof/>
          <w:sz w:val="24"/>
          <w:szCs w:val="24"/>
        </w:rPr>
        <w:drawing>
          <wp:inline distT="0" distB="0" distL="0" distR="0">
            <wp:extent cx="151130" cy="142875"/>
            <wp:effectExtent l="19050" t="0" r="1270" b="0"/>
            <wp:docPr id="286" name="Imagen 2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Back to top</w:t>
      </w:r>
    </w:p>
    <w:bookmarkStart w:id="77" w:name="_XInanMi"/>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rPr>
        <w:fldChar w:fldCharType="begin"/>
      </w:r>
      <w:r w:rsidRPr="006155D3">
        <w:rPr>
          <w:rFonts w:ascii="Times New Roman" w:eastAsia="Times New Roman" w:hAnsi="Times New Roman" w:cs="Times New Roman"/>
          <w:sz w:val="24"/>
          <w:szCs w:val="24"/>
          <w:lang w:val="en-US"/>
        </w:rPr>
        <w:instrText xml:space="preserve"> HYPERLINK "javascript:openUrlLight('src_XInanMi')" </w:instrText>
      </w:r>
      <w:r w:rsidRPr="006155D3">
        <w:rPr>
          <w:rFonts w:ascii="Times New Roman" w:eastAsia="Times New Roman" w:hAnsi="Times New Roman" w:cs="Times New Roman"/>
          <w:sz w:val="24"/>
          <w:szCs w:val="24"/>
        </w:rPr>
        <w:fldChar w:fldCharType="separate"/>
      </w:r>
      <w:r w:rsidRPr="006155D3">
        <w:rPr>
          <w:rFonts w:ascii="Times New Roman" w:eastAsia="Times New Roman" w:hAnsi="Times New Roman" w:cs="Times New Roman"/>
          <w:color w:val="0000FF"/>
          <w:sz w:val="24"/>
          <w:szCs w:val="24"/>
          <w:u w:val="single"/>
          <w:lang w:val="en-US"/>
        </w:rPr>
        <w:t>X. International and Mixed Judicial and Quasi-judicial Bodies</w:t>
      </w:r>
      <w:r w:rsidRPr="006155D3">
        <w:rPr>
          <w:rFonts w:ascii="Times New Roman" w:eastAsia="Times New Roman" w:hAnsi="Times New Roman" w:cs="Times New Roman"/>
          <w:sz w:val="24"/>
          <w:szCs w:val="24"/>
        </w:rPr>
        <w:fldChar w:fldCharType="end"/>
      </w:r>
      <w:bookmarkEnd w:id="77"/>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International Military Tribunal for the Far East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stated regarding responsibility for war crimes against prisoners:</w:t>
      </w:r>
      <w:r w:rsidRPr="006155D3">
        <w:rPr>
          <w:rFonts w:ascii="Times New Roman" w:eastAsia="Times New Roman" w:hAnsi="Times New Roman" w:cs="Times New Roman"/>
          <w:sz w:val="24"/>
          <w:szCs w:val="24"/>
          <w:lang w:val="en-US"/>
        </w:rPr>
        <w:br/>
        <w:t>Responsibility for the care of prisoners of war and of civilians internees (all of whom we will refer to as “prisoners”) … is not limited to the duty of mere maintenance but extends to the prevention of mistreatment. In particular, acts of inhumanity to prisoners which are forbidden by the customary law of nations as well as by conventions are to be prevented by the Government having responsibility for the prisoners.</w:t>
      </w:r>
      <w:r w:rsidRPr="006155D3">
        <w:rPr>
          <w:rFonts w:ascii="Times New Roman" w:eastAsia="Times New Roman" w:hAnsi="Times New Roman" w:cs="Times New Roman"/>
          <w:sz w:val="24"/>
          <w:szCs w:val="24"/>
          <w:lang w:val="en-US"/>
        </w:rPr>
        <w:br/>
        <w:t>In the discharge of these duties to prisoners Governments must have resort to persons. Indeed the Governments responsible, in this sense, are those persons who direct and control the functions of Government. In this case and in the above regard we are concerned with the members of the Japanese Cabinet. The duty to prisoners is not a meaningless obligation cast upon a political abstraction. It is a specific duty to be performed in the first case by those persons who constitute the Government. In the multitude of duties and tasks involved in modern government there is of necessity an elaborate system of subdivision and delegation of duties. In the case of the duty of Governments to prisoners held by them in time of war those persons who constitute the Government have the principal and continuing responsibility for their prisoners, even though they delegate the duties of maintenance and protection to others.</w:t>
      </w:r>
      <w:r w:rsidRPr="006155D3">
        <w:rPr>
          <w:rFonts w:ascii="Times New Roman" w:eastAsia="Times New Roman" w:hAnsi="Times New Roman" w:cs="Times New Roman"/>
          <w:sz w:val="24"/>
          <w:szCs w:val="24"/>
          <w:lang w:val="en-US"/>
        </w:rPr>
        <w:br/>
        <w:t>In general, the responsibility for prisoners held by Japan may be stated to have rested upon: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Members of the Government;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Military or Naval Officers in command of formations having prisoners in their possession;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(3) Officials in those departments which were concerned with the well-being of prisoners;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(4) Officials, whether civilian, military, or naval, having direct and immediate control of prisoners.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It is the duty of all those on whom responsibility rests to secure proper treatment of prisoners and to prevent their ill-treatment by establishing and securing the continuous </w:t>
      </w:r>
      <w:r w:rsidRPr="006155D3">
        <w:rPr>
          <w:rFonts w:ascii="Times New Roman" w:eastAsia="Times New Roman" w:hAnsi="Times New Roman" w:cs="Times New Roman"/>
          <w:sz w:val="24"/>
          <w:szCs w:val="24"/>
          <w:lang w:val="en-US"/>
        </w:rPr>
        <w:lastRenderedPageBreak/>
        <w:t>and efficient working of a system appropriate for these purposes. Such persons fail in this duty and become responsible for ill-treatment of prisoners, if: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They fail to establish such a system.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If having established such a system, they fail to secure its continued and efficient working.</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Each of such persons has a duty to ascertain that the system is working and if he neglects to do so he is responsible. He does not discharge his duty by merely instituting an appropriate system and thereafter neglecting to learn of its application. An Army Commander or a Minister of War, for example, must be at the same pains to ensure obedience to his orders in this respect as he would in respect of other orders he has issued on matters of the first importance.</w:t>
      </w:r>
      <w:r w:rsidRPr="006155D3">
        <w:rPr>
          <w:rFonts w:ascii="Times New Roman" w:eastAsia="Times New Roman" w:hAnsi="Times New Roman" w:cs="Times New Roman"/>
          <w:sz w:val="24"/>
          <w:szCs w:val="24"/>
          <w:lang w:val="en-US"/>
        </w:rPr>
        <w:br/>
        <w:t>Nevertheless, such persons are not responsible if a proper system and its continuous efficient functioning be provided for and conventional war crimes be committed unless: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(1) They had knowledge that such crimes were being committed, and having such knowledge they failed to take such steps as were within their power to prevent the commission of such crimes in the future, or</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(2) They are at fault in having failed to acquire such knowledge.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If, such a person had, or should, but for negligence or supineness, have had such knowledge he is not excused for inaction if his Office required or permitted him to take any action to prevent such crimes. On the other hand it is not enough for the exculpation of a person, otherwise responsible, for him to show that he accepted assurances from others more directly associated with the control of the prisoners if having regard to the position of those others, to the frequency of reports of such crimes, or to any other circumstances he should have been put upon further inquiry as to whether those assurances were true or untrue. That crimes are notorious, numerous and widespread as to time and place are matters to be considered in imputing knowledge.</w:t>
      </w:r>
      <w:r w:rsidRPr="006155D3">
        <w:rPr>
          <w:rFonts w:ascii="Times New Roman" w:eastAsia="Times New Roman" w:hAnsi="Times New Roman" w:cs="Times New Roman"/>
          <w:sz w:val="24"/>
          <w:szCs w:val="24"/>
          <w:lang w:val="en-US"/>
        </w:rPr>
        <w:br/>
        <w:t>A member of a Cabinet which collectively, as one of the principal organs of the Government, is responsible for the care of prisoners is not absolved from responsibility if, having knowledge of the commission of the crimes … and omitting or failing to secure the taking of measures to prevent the commission of such crimes in the future, he elects to continue as a member of the Cabinet. This is the position even though the Department of which he has the charge is not directly concerned with the care of prisoners. A Cabinet member may resign. If he has knowledge of ill-treatment of prisoners, is powerless to prevent future ill-treatment, but elects to remain in the Cabinet thereby continuing to participate in its collective responsibility for protection of prisoners he willingly assumes responsibility for any ill-treatment in the future.</w:t>
      </w:r>
      <w:r w:rsidRPr="006155D3">
        <w:rPr>
          <w:rFonts w:ascii="Times New Roman" w:eastAsia="Times New Roman" w:hAnsi="Times New Roman" w:cs="Times New Roman"/>
          <w:sz w:val="24"/>
          <w:szCs w:val="24"/>
          <w:lang w:val="en-US"/>
        </w:rPr>
        <w:br/>
        <w:t>Army or Navy Commanders can, by order, secure proper treatment and prevent ill-treatment of prisoners. So can Ministers of War and of the Navy. If crimes are committed against prisoners under their control, of the likely occurrence of which they had, or should have had knowledge in advance, they are responsible for those crimes. If, for example, it be shown that within the units under his command conventional war crimes have been committed of which he knew or should have known, a commander who takes no adequate steps to prevent the occurrence of such crimes in the future will be responsible for such future crimes.</w:t>
      </w:r>
      <w:r>
        <w:rPr>
          <w:rFonts w:ascii="Times New Roman" w:eastAsia="Times New Roman" w:hAnsi="Times New Roman" w:cs="Times New Roman"/>
          <w:noProof/>
          <w:sz w:val="24"/>
          <w:szCs w:val="24"/>
        </w:rPr>
        <w:drawing>
          <wp:inline distT="0" distB="0" distL="0" distR="0">
            <wp:extent cx="151130" cy="142875"/>
            <wp:effectExtent l="19050" t="0" r="1270" b="0"/>
            <wp:docPr id="287" name="Imagen 2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The Japanese Government condoned ill-treatment of prisoners of war and civilian internees by failing and neglecting to punish those guilty of ill-treating them or by prescribing trifling and inadequate penalties for the offence. [Various examples] are evidence that the War Ministry knew there was ill-treatment of prisoners. The trifling nature of the punishments imposed implies condonation. The Government actively concealed the ill-treatment to which prisoners of war and civilian internees were </w:t>
      </w:r>
      <w:r w:rsidRPr="006155D3">
        <w:rPr>
          <w:rFonts w:ascii="Times New Roman" w:eastAsia="Times New Roman" w:hAnsi="Times New Roman" w:cs="Times New Roman"/>
          <w:sz w:val="24"/>
          <w:szCs w:val="24"/>
          <w:lang w:val="en-US"/>
        </w:rPr>
        <w:lastRenderedPageBreak/>
        <w:t>subjected by refusing visits by representatives of the Protecting Power designated by the Allies.</w:t>
      </w:r>
      <w:r>
        <w:rPr>
          <w:rFonts w:ascii="Times New Roman" w:eastAsia="Times New Roman" w:hAnsi="Times New Roman" w:cs="Times New Roman"/>
          <w:noProof/>
          <w:sz w:val="24"/>
          <w:szCs w:val="24"/>
        </w:rPr>
        <w:drawing>
          <wp:inline distT="0" distB="0" distL="0" distR="0">
            <wp:extent cx="151130" cy="142875"/>
            <wp:effectExtent l="19050" t="0" r="1270" b="0"/>
            <wp:docPr id="288" name="Imagen 2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before the International Military Tribunal for the Far East in 1948, the then Japanese Foreign Minister, Koki Hirota, was held criminally responsible in relation to the so-called “Rape of Nanking” or “Nanking massacre” which had occurred in 1937/1938. The International Military Tribunal stated:</w:t>
      </w:r>
      <w:r w:rsidRPr="006155D3">
        <w:rPr>
          <w:rFonts w:ascii="Times New Roman" w:eastAsia="Times New Roman" w:hAnsi="Times New Roman" w:cs="Times New Roman"/>
          <w:sz w:val="24"/>
          <w:szCs w:val="24"/>
          <w:lang w:val="en-US"/>
        </w:rPr>
        <w:br/>
        <w:t>As Foreign Minister [Hirota] received reports of these atrocities immediately after the entry of Japanese forces into Nanking. According to the Defence evidence credence was given to these reports and the matter was taken up with the War Ministry. Assurances were accepted from the War Ministry that the atrocities would be stopped. After these assurances had been given reports of atrocities continued to come in for at least a month. The Tribunal is of the opinion that HIROTA was derelict in his duty in not insisting before the Cabinet that immediate action be taken to put an end to the atrocities, failing any other action open to him to bring about the same result. He was content to rely on assurances which he knew were not being implemented while hundreds of murders, violations of women, and other atrocities were being committed daily. His inaction amounted to criminal negligence.</w:t>
      </w:r>
      <w:r>
        <w:rPr>
          <w:rFonts w:ascii="Times New Roman" w:eastAsia="Times New Roman" w:hAnsi="Times New Roman" w:cs="Times New Roman"/>
          <w:noProof/>
          <w:sz w:val="24"/>
          <w:szCs w:val="24"/>
        </w:rPr>
        <w:drawing>
          <wp:inline distT="0" distB="0" distL="0" distR="0">
            <wp:extent cx="151130" cy="142875"/>
            <wp:effectExtent l="19050" t="0" r="1270" b="0"/>
            <wp:docPr id="289" name="Imagen 2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in its verdict passed on a Japanese commander during the Second World War, Heitaro Kimura, stated:</w:t>
      </w:r>
      <w:r w:rsidRPr="006155D3">
        <w:rPr>
          <w:rFonts w:ascii="Times New Roman" w:eastAsia="Times New Roman" w:hAnsi="Times New Roman" w:cs="Times New Roman"/>
          <w:sz w:val="24"/>
          <w:szCs w:val="24"/>
          <w:lang w:val="en-US"/>
        </w:rPr>
        <w:br/>
        <w:t>With knowledge of the extent of the atrocities committed by Japanese troops in all theatres of war, in August 1994 KIMURA took over command of the Burma Area Army. From the date of his arrival at his Rangoon Headquarters and later … the atrocities continued to be committed on an undiminished scale. He took no disciplinary measures or other steps to prevent the commission of atrocities by the troops under his command.</w:t>
      </w:r>
      <w:r w:rsidRPr="006155D3">
        <w:rPr>
          <w:rFonts w:ascii="Times New Roman" w:eastAsia="Times New Roman" w:hAnsi="Times New Roman" w:cs="Times New Roman"/>
          <w:sz w:val="24"/>
          <w:szCs w:val="24"/>
          <w:lang w:val="en-US"/>
        </w:rPr>
        <w:br/>
        <w:t>It has been urged in KIMURA’s defence that when he arrived in Burma he issued orders to his troops to conduct themselves in a proper soldierly manner and to refrain from ill-treating prisoners. In view of the nature and extent of the ill-treatment of prisoners, in many cases on a large scale within a few miles of his headquarters, the Tribunal finds that KIMURA was negligent in his duty to enforce the Rules of War. The duty of an Army commander in such circumstances is not discharged by the mere issue of routine orders, if indeed such orders were issued. His duty is to take such steps and issue such orders as will prevent thereafter the commission of war crimes and to satisfy himself that such orders are being carried out. This he did not do. Thus he deliberately disregarded his legal duty to take adequate steps to prevent breaches of the laws of war.</w:t>
      </w:r>
      <w:r>
        <w:rPr>
          <w:rFonts w:ascii="Times New Roman" w:eastAsia="Times New Roman" w:hAnsi="Times New Roman" w:cs="Times New Roman"/>
          <w:noProof/>
          <w:sz w:val="24"/>
          <w:szCs w:val="24"/>
        </w:rPr>
        <w:drawing>
          <wp:inline distT="0" distB="0" distL="0" distR="0">
            <wp:extent cx="151130" cy="142875"/>
            <wp:effectExtent l="19050" t="0" r="1270" b="0"/>
            <wp:docPr id="290" name="Imagen 2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in its verdict passed on a Japanese prime minister during the Second World War, Kuniaki Koiso, stated:</w:t>
      </w:r>
      <w:r w:rsidRPr="006155D3">
        <w:rPr>
          <w:rFonts w:ascii="Times New Roman" w:eastAsia="Times New Roman" w:hAnsi="Times New Roman" w:cs="Times New Roman"/>
          <w:sz w:val="24"/>
          <w:szCs w:val="24"/>
          <w:lang w:val="en-US"/>
        </w:rPr>
        <w:br/>
        <w:t xml:space="preserve">When KOISO became Prime Minister in 1944 atrocities and other war crimes being committed by the Japanese troops in every theatre of war had become so notorious that it is improbable that a man in KOISO’s position would not have been well-informed either by reason of their notoriety or from interdepartmental communications. The matter is put beyond doubt by the fact that in October 1944 the Foreign Minister reported to a meeting of the Supreme Council for the Direction of War, which KOISO attended, that according to recent information from enemy sources it was reported that the Japanese treatment of prisoners of war “left much to be desired”. He further stated that this was a matter of importance from the point of view of Japan’s international reputation and future relations. He asked that directions be issued to the competent </w:t>
      </w:r>
      <w:r w:rsidRPr="006155D3">
        <w:rPr>
          <w:rFonts w:ascii="Times New Roman" w:eastAsia="Times New Roman" w:hAnsi="Times New Roman" w:cs="Times New Roman"/>
          <w:sz w:val="24"/>
          <w:szCs w:val="24"/>
          <w:lang w:val="en-US"/>
        </w:rPr>
        <w:lastRenderedPageBreak/>
        <w:t>authorities so that the matters might be fully discussed. Thereafter KOISO remained Prime Minister for six months during which the Japanese treatment of prisoners and internees showed no improvement whatever. This amounted to a deliberate disregard of duty.</w:t>
      </w:r>
      <w:r>
        <w:rPr>
          <w:rFonts w:ascii="Times New Roman" w:eastAsia="Times New Roman" w:hAnsi="Times New Roman" w:cs="Times New Roman"/>
          <w:noProof/>
          <w:sz w:val="24"/>
          <w:szCs w:val="24"/>
        </w:rPr>
        <w:drawing>
          <wp:inline distT="0" distB="0" distL="0" distR="0">
            <wp:extent cx="151130" cy="142875"/>
            <wp:effectExtent l="19050" t="0" r="1270" b="0"/>
            <wp:docPr id="291" name="Imagen 2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in its verdict passed on the Japanese Commander-in-Chief of the Central China Area Army during the “Rape of Nanking” or “Nanking massacres”, Iwane Matsui, stated:</w:t>
      </w:r>
      <w:r w:rsidRPr="006155D3">
        <w:rPr>
          <w:rFonts w:ascii="Times New Roman" w:eastAsia="Times New Roman" w:hAnsi="Times New Roman" w:cs="Times New Roman"/>
          <w:sz w:val="24"/>
          <w:szCs w:val="24"/>
          <w:lang w:val="en-US"/>
        </w:rPr>
        <w:br/>
        <w:t>From his own observations and from the reports of his staff he must have been aware of what was happening. He admits he was told of some degree of misbehaviour of his Army … Daily reports of these atrocities were made to Japanese diplomatic representatives in Nanking who, in turn, reported them to Tokyo. The tribunal is satisfied that MATSUI knew what was happening. He did nothing, or nothing effective to abate these horrors. He did issue orders before the capture of the City enjoining propriety of conduct upon his troops and later he issued further orders to the same purport. These orders were of no effect as is now known, and as he must have known. It was pleaded on his behalf that at this time he was ill. His illness was not sufficient to prevent his conducting the military operations of his command nor to prevent his visiting the City for days while these atrocities were occurring. He was in command of the Army responsible for these happenings. He knew of them. He had the power, as he had the duty, to control his troops and to protect the unfortunate citizens of Nanking. He must be held criminally responsible for his failure to discharge his duty.</w:t>
      </w:r>
      <w:r>
        <w:rPr>
          <w:rFonts w:ascii="Times New Roman" w:eastAsia="Times New Roman" w:hAnsi="Times New Roman" w:cs="Times New Roman"/>
          <w:noProof/>
          <w:sz w:val="24"/>
          <w:szCs w:val="24"/>
        </w:rPr>
        <w:drawing>
          <wp:inline distT="0" distB="0" distL="0" distR="0">
            <wp:extent cx="151130" cy="142875"/>
            <wp:effectExtent l="19050" t="0" r="1270" b="0"/>
            <wp:docPr id="292" name="Imagen 2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xml:space="preserve">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in its verdict passed on an officer of staff of the Japanese Commander-in-Chief of the Central China Area Army during the “Rape of Nanking” or “Nanking massacres”, Akira Muto, stated:</w:t>
      </w:r>
      <w:r w:rsidRPr="006155D3">
        <w:rPr>
          <w:rFonts w:ascii="Times New Roman" w:eastAsia="Times New Roman" w:hAnsi="Times New Roman" w:cs="Times New Roman"/>
          <w:sz w:val="24"/>
          <w:szCs w:val="24"/>
          <w:lang w:val="en-US"/>
        </w:rPr>
        <w:br/>
        <w:t>It was during [his period as an officer of staff of MATSUI] that shocking atrocities were committed by the Army of MATSUI in and about Nanking. We have no doubt that MUTO knew, as MATSUI knew, that these atrocities were being committed over a period of many weeks. His superior did take no adequate steps to stop them. MUTO is not responsible for this dreadful affair.</w:t>
      </w:r>
      <w:r w:rsidRPr="006155D3">
        <w:rPr>
          <w:rFonts w:ascii="Times New Roman" w:eastAsia="Times New Roman" w:hAnsi="Times New Roman" w:cs="Times New Roman"/>
          <w:sz w:val="24"/>
          <w:szCs w:val="24"/>
          <w:lang w:val="en-US"/>
        </w:rPr>
        <w:br/>
        <w:t>[Later] MUTO commanded the Second Imperial Guards Division in Northern Sumatra. During this period in the area occupied by his troops widespread atrocities were committed for which MUTO shares responsibility. Prisoners of war and civilian internees were starved, neglected, tortured and murdered and civilians were massacred.</w:t>
      </w:r>
      <w:r w:rsidRPr="006155D3">
        <w:rPr>
          <w:rFonts w:ascii="Times New Roman" w:eastAsia="Times New Roman" w:hAnsi="Times New Roman" w:cs="Times New Roman"/>
          <w:sz w:val="24"/>
          <w:szCs w:val="24"/>
          <w:lang w:val="en-US"/>
        </w:rPr>
        <w:br/>
        <w:t>[Later], MUTO became Chief-of-Staff to Yamashita in the Philippines … His position was now very different from that which he held during the so-called “Rape of Nanking”. He was now in a position to influence policy. During his tenure of office as such Chief-of-Staff a campaign of massacre, torture and other atrocities was waged by the Japanese troops on the civilian population, and prisoners of war and civilian internees were starved, tortured and murdered. MUTO shares responsibility for these gross breaches of the Laws of War. We reject his defense that he knew nothing of these occurrences.</w:t>
      </w:r>
      <w:r>
        <w:rPr>
          <w:rFonts w:ascii="Times New Roman" w:eastAsia="Times New Roman" w:hAnsi="Times New Roman" w:cs="Times New Roman"/>
          <w:noProof/>
          <w:sz w:val="24"/>
          <w:szCs w:val="24"/>
        </w:rPr>
        <w:drawing>
          <wp:inline distT="0" distB="0" distL="0" distR="0">
            <wp:extent cx="151130" cy="142875"/>
            <wp:effectExtent l="19050" t="0" r="1270" b="0"/>
            <wp:docPr id="293" name="Imagen 2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in its verdict passed on one of the Japanese Foreign Ministers during the Second World War, Mamoru Shigemitsu, stated:</w:t>
      </w:r>
      <w:r w:rsidRPr="006155D3">
        <w:rPr>
          <w:rFonts w:ascii="Times New Roman" w:eastAsia="Times New Roman" w:hAnsi="Times New Roman" w:cs="Times New Roman"/>
          <w:sz w:val="24"/>
          <w:szCs w:val="24"/>
          <w:lang w:val="en-US"/>
        </w:rPr>
        <w:br/>
        <w:t xml:space="preserve">We do no injustice to SHIGEMITSU when we hold that the circumstances, as he knew them made him suspicious that the treatment of the prisoners was not as it should have been. Indeed a witness gave evidence for him to that effect. Thereupon he took no adequate steps to have the matter investigated, although he, as a member of the </w:t>
      </w:r>
      <w:r w:rsidRPr="006155D3">
        <w:rPr>
          <w:rFonts w:ascii="Times New Roman" w:eastAsia="Times New Roman" w:hAnsi="Times New Roman" w:cs="Times New Roman"/>
          <w:sz w:val="24"/>
          <w:szCs w:val="24"/>
          <w:lang w:val="en-US"/>
        </w:rPr>
        <w:lastRenderedPageBreak/>
        <w:t>government, bore overhead responsibility for the welfare of the prisoners. He should have pressed the matter, if necessary to the point of resigning, in order to quit himself of a responsibility which he suspected was not being discharged.</w:t>
      </w:r>
      <w:r>
        <w:rPr>
          <w:rFonts w:ascii="Times New Roman" w:eastAsia="Times New Roman" w:hAnsi="Times New Roman" w:cs="Times New Roman"/>
          <w:noProof/>
          <w:sz w:val="24"/>
          <w:szCs w:val="24"/>
        </w:rPr>
        <w:drawing>
          <wp:inline distT="0" distB="0" distL="0" distR="0">
            <wp:extent cx="151130" cy="142875"/>
            <wp:effectExtent l="19050" t="0" r="1270" b="0"/>
            <wp:docPr id="294" name="Imagen 2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the </w:t>
      </w:r>
      <w:r w:rsidRPr="006155D3">
        <w:rPr>
          <w:rFonts w:ascii="Times New Roman" w:eastAsia="Times New Roman" w:hAnsi="Times New Roman" w:cs="Times New Roman"/>
          <w:i/>
          <w:iCs/>
          <w:sz w:val="24"/>
          <w:szCs w:val="24"/>
          <w:lang w:val="en-US"/>
        </w:rPr>
        <w:t>case of the Major War Criminals</w:t>
      </w:r>
      <w:r w:rsidRPr="006155D3">
        <w:rPr>
          <w:rFonts w:ascii="Times New Roman" w:eastAsia="Times New Roman" w:hAnsi="Times New Roman" w:cs="Times New Roman"/>
          <w:sz w:val="24"/>
          <w:szCs w:val="24"/>
          <w:lang w:val="en-US"/>
        </w:rPr>
        <w:t xml:space="preserve"> in 1948, the International Military Tribunal for the Far East, in its verdict passed on one of the Japanese prime ministers during the Second World War, Hideki Tojo, stated,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w:t>
      </w:r>
      <w:r w:rsidRPr="006155D3">
        <w:rPr>
          <w:rFonts w:ascii="Times New Roman" w:eastAsia="Times New Roman" w:hAnsi="Times New Roman" w:cs="Times New Roman"/>
          <w:sz w:val="24"/>
          <w:szCs w:val="24"/>
          <w:lang w:val="en-US"/>
        </w:rPr>
        <w:br/>
        <w:t>The barbarous treatment of prisoners and internees was well known to TOJO. He took no adequate steps to punish offenders and to prevent the commission of similar offences in the future. His attitude towards the Bataan Death March gives the key to his conduct towards these captives. He knew in 1942 something of the conditions of the march and that many prisoners had died as a result of these conditions. He did not call for a report on the incident. When in the Philippines in 1943 he made perfunctory inquiries about the march but took no action. No one was punished. His explanation is that the commander of a Japanese Army in the field is given a mission in the performance of which he is not subject to specific orders from Tokyo. Thus the head of the Government of Japan knowingly and wilfully refused to perform the duty which lay upon that Government of enforcing performance of the Laws of War.</w:t>
      </w:r>
      <w:r>
        <w:rPr>
          <w:rFonts w:ascii="Times New Roman" w:eastAsia="Times New Roman" w:hAnsi="Times New Roman" w:cs="Times New Roman"/>
          <w:noProof/>
          <w:sz w:val="24"/>
          <w:szCs w:val="24"/>
        </w:rPr>
        <w:drawing>
          <wp:inline distT="0" distB="0" distL="0" distR="0">
            <wp:extent cx="151130" cy="142875"/>
            <wp:effectExtent l="19050" t="0" r="1270" b="0"/>
            <wp:docPr id="295" name="Imagen 2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International Criminal Court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the </w:t>
      </w:r>
      <w:r w:rsidRPr="006155D3">
        <w:rPr>
          <w:rFonts w:ascii="Times New Roman" w:eastAsia="Times New Roman" w:hAnsi="Times New Roman" w:cs="Times New Roman"/>
          <w:i/>
          <w:iCs/>
          <w:sz w:val="24"/>
          <w:szCs w:val="24"/>
          <w:lang w:val="en-US"/>
        </w:rPr>
        <w:t xml:space="preserve">Bemba case </w:t>
      </w:r>
      <w:r w:rsidRPr="006155D3">
        <w:rPr>
          <w:rFonts w:ascii="Times New Roman" w:eastAsia="Times New Roman" w:hAnsi="Times New Roman" w:cs="Times New Roman"/>
          <w:sz w:val="24"/>
          <w:szCs w:val="24"/>
          <w:lang w:val="en-US"/>
        </w:rPr>
        <w:t xml:space="preserve">before the ICC, the accused, the alleged President and Commander-in-chief of the Movement for the Liberation of Congo (MLC), was charged,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 with murder, rape and torture as war crimes and as crimes against humanity, pursuant to Articles 7 and 8 of the 1998 ICC Statute. In its decision on the confirmation of charges in 2009, the Pre-Trial Chamber set out the elements of superior responsibility, stating:</w:t>
      </w:r>
      <w:r w:rsidRPr="006155D3">
        <w:rPr>
          <w:rFonts w:ascii="Times New Roman" w:eastAsia="Times New Roman" w:hAnsi="Times New Roman" w:cs="Times New Roman"/>
          <w:sz w:val="24"/>
          <w:szCs w:val="24"/>
          <w:lang w:val="en-US"/>
        </w:rPr>
        <w:br/>
        <w:t>405. The Chamber notes that article 28 of the [1998 ICC] Statute reflects a different form of criminal responsibility than that found under article 25(3)(a) of the Statute in the sense that a superior may be held responsible for the prohibited conduct of his subordinates for failing to fulfil his duty to prevent or repress their unlawful conduct or submit the matter to the competent authorities. This sort of responsibility can be better understood “when seen against the principle that criminal responsibility for omissions is incurred only where there exists a legal obligation to act”.</w:t>
      </w:r>
      <w:r w:rsidRPr="006155D3">
        <w:rPr>
          <w:rFonts w:ascii="Times New Roman" w:eastAsia="Times New Roman" w:hAnsi="Times New Roman" w:cs="Times New Roman"/>
          <w:sz w:val="24"/>
          <w:szCs w:val="24"/>
          <w:lang w:val="en-US"/>
        </w:rPr>
        <w:br/>
        <w:t xml:space="preserve">406. Article 28 of the Statute is drafted in a manner that distinguishes between two main categories of superiors and their relationships – namely, a military or military-like commander (paragraph (a)) and those who fall short of this category such as civilians occupying </w:t>
      </w:r>
      <w:r w:rsidRPr="006155D3">
        <w:rPr>
          <w:rFonts w:ascii="Times New Roman" w:eastAsia="Times New Roman" w:hAnsi="Times New Roman" w:cs="Times New Roman"/>
          <w:i/>
          <w:iCs/>
          <w:sz w:val="24"/>
          <w:szCs w:val="24"/>
          <w:lang w:val="en-US"/>
        </w:rPr>
        <w:t>de jure</w:t>
      </w:r>
      <w:r w:rsidRPr="006155D3">
        <w:rPr>
          <w:rFonts w:ascii="Times New Roman" w:eastAsia="Times New Roman" w:hAnsi="Times New Roman" w:cs="Times New Roman"/>
          <w:sz w:val="24"/>
          <w:szCs w:val="24"/>
          <w:lang w:val="en-US"/>
        </w:rPr>
        <w:t xml:space="preserve"> and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positions of authority (paragraph (b)).</w:t>
      </w:r>
      <w:r w:rsidRPr="006155D3">
        <w:rPr>
          <w:rFonts w:ascii="Times New Roman" w:eastAsia="Times New Roman" w:hAnsi="Times New Roman" w:cs="Times New Roman"/>
          <w:sz w:val="24"/>
          <w:szCs w:val="24"/>
          <w:lang w:val="en-US"/>
        </w:rPr>
        <w:br/>
        <w:t>…</w:t>
      </w:r>
      <w:r w:rsidRPr="006155D3">
        <w:rPr>
          <w:rFonts w:ascii="Times New Roman" w:eastAsia="Times New Roman" w:hAnsi="Times New Roman" w:cs="Times New Roman"/>
          <w:sz w:val="24"/>
          <w:szCs w:val="24"/>
          <w:lang w:val="en-US"/>
        </w:rPr>
        <w:br/>
        <w:t>407. The Chamber considers that, in order to prove criminal responsibility within the meaning of article 28(a) of the Statute for any of the crimes set out in articles 6 to 8 of the Statute, the following elements must be fulfilled: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The suspect must be either a military commander or a person effectively acting as such;</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(b) The suspect must have effective command and control, or effective authority and control over the forces (subordinates) who committed one or more of the crimes set out in articles 6 to 8 of the Statute;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(c) The crimes committed by the forces (subordinates) resulted from the suspect’s failure to exercise control properly over them;</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(d) The suspect either knew or, owing to the circumstances at the time, should have known that the forces (subordinates) were committing or about to commit one or more of the crimes set out in article 6 to 8 of the Statute; and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lastRenderedPageBreak/>
        <w:t>(e) The suspect failed to take the necessary and reasonable measures within his or her power to prevent or repress the commission of such crime(s) or failed to submit the matter to the competent authorities for investigation and prosecution.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a) The suspect must be either a military commander or a person effectively acting as such (military-like commander)</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408. The Chamber is of the view that the term “military commander” refers to a category of persons who are formally or legally appointed to carry out a military commanding function (</w:t>
      </w:r>
      <w:r w:rsidRPr="006155D3">
        <w:rPr>
          <w:rFonts w:ascii="Times New Roman" w:eastAsia="Times New Roman" w:hAnsi="Times New Roman" w:cs="Times New Roman"/>
          <w:i/>
          <w:iCs/>
          <w:sz w:val="24"/>
          <w:szCs w:val="24"/>
          <w:lang w:val="en-US"/>
        </w:rPr>
        <w:t>i.e., de jure</w:t>
      </w:r>
      <w:r w:rsidRPr="006155D3">
        <w:rPr>
          <w:rFonts w:ascii="Times New Roman" w:eastAsia="Times New Roman" w:hAnsi="Times New Roman" w:cs="Times New Roman"/>
          <w:sz w:val="24"/>
          <w:szCs w:val="24"/>
          <w:lang w:val="en-US"/>
        </w:rPr>
        <w:t xml:space="preserve"> commanders). The concept embodies all persons who have command responsibility within the armed forces, irrespective of their rank or level. In this respect, a military commander could be a person occupying the highest level in the chain of command or a mere leader with few soldiers under his or her command. The notion of a military commander under this provision also captures those situations where the superior does not exclusively perform a military function.</w:t>
      </w:r>
      <w:r w:rsidRPr="006155D3">
        <w:rPr>
          <w:rFonts w:ascii="Times New Roman" w:eastAsia="Times New Roman" w:hAnsi="Times New Roman" w:cs="Times New Roman"/>
          <w:sz w:val="24"/>
          <w:szCs w:val="24"/>
          <w:lang w:val="en-US"/>
        </w:rPr>
        <w:br/>
        <w:t xml:space="preserve">409. With respect to a “person effectively acting as a military commander”, the Chamber considers that this term is meant to cover a distinct as well as a broader category of commanders. This category refers to those who are not elected by law to carry out a military commander’s role, yet they perform it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by exercising effective control over a group of persons through a chain of command. This concept was also acknowledged in several cases before the ICTY and the ICTR. In the </w:t>
      </w:r>
      <w:r w:rsidRPr="006155D3">
        <w:rPr>
          <w:rFonts w:ascii="Times New Roman" w:eastAsia="Times New Roman" w:hAnsi="Times New Roman" w:cs="Times New Roman"/>
          <w:i/>
          <w:iCs/>
          <w:sz w:val="24"/>
          <w:szCs w:val="24"/>
          <w:lang w:val="en-US"/>
        </w:rPr>
        <w:t xml:space="preserve">Čelebići </w:t>
      </w:r>
      <w:r w:rsidRPr="006155D3">
        <w:rPr>
          <w:rFonts w:ascii="Times New Roman" w:eastAsia="Times New Roman" w:hAnsi="Times New Roman" w:cs="Times New Roman"/>
          <w:sz w:val="24"/>
          <w:szCs w:val="24"/>
          <w:lang w:val="en-US"/>
        </w:rPr>
        <w:t xml:space="preserve">case, the first leading case on the doctrine of command responsibility before the </w:t>
      </w:r>
      <w:r w:rsidRPr="006155D3">
        <w:rPr>
          <w:rFonts w:ascii="Times New Roman" w:eastAsia="Times New Roman" w:hAnsi="Times New Roman" w:cs="Times New Roman"/>
          <w:i/>
          <w:iCs/>
          <w:sz w:val="24"/>
          <w:szCs w:val="24"/>
          <w:lang w:val="en-US"/>
        </w:rPr>
        <w:t>ad hoc</w:t>
      </w:r>
      <w:r w:rsidRPr="006155D3">
        <w:rPr>
          <w:rFonts w:ascii="Times New Roman" w:eastAsia="Times New Roman" w:hAnsi="Times New Roman" w:cs="Times New Roman"/>
          <w:sz w:val="24"/>
          <w:szCs w:val="24"/>
          <w:lang w:val="en-US"/>
        </w:rPr>
        <w:t xml:space="preserve"> tribunals, the ICTY Trial Chamber stated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[Individuals in positions of authority, […] within military structures, may incur criminal responsibility under the doctrine of command responsibility on the basis of their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as well as </w:t>
      </w:r>
      <w:r w:rsidRPr="006155D3">
        <w:rPr>
          <w:rFonts w:ascii="Times New Roman" w:eastAsia="Times New Roman" w:hAnsi="Times New Roman" w:cs="Times New Roman"/>
          <w:i/>
          <w:iCs/>
          <w:sz w:val="24"/>
          <w:szCs w:val="24"/>
          <w:lang w:val="en-US"/>
        </w:rPr>
        <w:t>de jure</w:t>
      </w:r>
      <w:r w:rsidRPr="006155D3">
        <w:rPr>
          <w:rFonts w:ascii="Times New Roman" w:eastAsia="Times New Roman" w:hAnsi="Times New Roman" w:cs="Times New Roman"/>
          <w:sz w:val="24"/>
          <w:szCs w:val="24"/>
          <w:lang w:val="en-US"/>
        </w:rPr>
        <w:t xml:space="preserve"> positions as superiors. The mere absence of </w:t>
      </w:r>
      <w:r w:rsidRPr="006155D3">
        <w:rPr>
          <w:rFonts w:ascii="Times New Roman" w:eastAsia="Times New Roman" w:hAnsi="Times New Roman" w:cs="Times New Roman"/>
          <w:i/>
          <w:iCs/>
          <w:sz w:val="24"/>
          <w:szCs w:val="24"/>
          <w:lang w:val="en-US"/>
        </w:rPr>
        <w:t>formal legal authority</w:t>
      </w:r>
      <w:r w:rsidRPr="006155D3">
        <w:rPr>
          <w:rFonts w:ascii="Times New Roman" w:eastAsia="Times New Roman" w:hAnsi="Times New Roman" w:cs="Times New Roman"/>
          <w:sz w:val="24"/>
          <w:szCs w:val="24"/>
          <w:lang w:val="en-US"/>
        </w:rPr>
        <w:t xml:space="preserve"> to control the actions of subordinates should therefore not be understood to preclude the imposition of such responsibility. [ICTY, </w:t>
      </w:r>
      <w:r w:rsidRPr="006155D3">
        <w:rPr>
          <w:rFonts w:ascii="Times New Roman" w:eastAsia="Times New Roman" w:hAnsi="Times New Roman" w:cs="Times New Roman"/>
          <w:i/>
          <w:iCs/>
          <w:sz w:val="24"/>
          <w:szCs w:val="24"/>
          <w:lang w:val="en-US"/>
        </w:rPr>
        <w:t>Čelebići case</w:t>
      </w:r>
      <w:r w:rsidRPr="006155D3">
        <w:rPr>
          <w:rFonts w:ascii="Times New Roman" w:eastAsia="Times New Roman" w:hAnsi="Times New Roman" w:cs="Times New Roman"/>
          <w:sz w:val="24"/>
          <w:szCs w:val="24"/>
          <w:lang w:val="en-US"/>
        </w:rPr>
        <w:t>, Judgement, § 354]</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410. Thus, the Chamber finds that this category of military-like commanders may generally encompass superiors who have authority and control over regular government forces such as armed police units or irregular forces (non-government forces) such as rebel groups, paramilitary units including,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 armed resistance movements and militias that follow a structure of military hierarchy or a chain of command.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b) The suspect must have effective command and control, or effective authority and control over his forces (subordinates)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411. The second element required for the application of the doctrine of command responsibility is the existence of “effective control” over the forces which committed one or more of the crimes under articles 6 to 8 of the Statute.</w:t>
      </w:r>
      <w:r w:rsidRPr="006155D3">
        <w:rPr>
          <w:rFonts w:ascii="Times New Roman" w:eastAsia="Times New Roman" w:hAnsi="Times New Roman" w:cs="Times New Roman"/>
          <w:sz w:val="24"/>
          <w:szCs w:val="24"/>
          <w:lang w:val="en-US"/>
        </w:rPr>
        <w:br/>
        <w:t xml:space="preserve">412. The Chamber observes that article 28(a) of the Statute refers to the terms “effective command and control” or “effective authority and control” as applicable alternatives in situations of military commanders </w:t>
      </w:r>
      <w:r w:rsidRPr="006155D3">
        <w:rPr>
          <w:rFonts w:ascii="Times New Roman" w:eastAsia="Times New Roman" w:hAnsi="Times New Roman" w:cs="Times New Roman"/>
          <w:i/>
          <w:iCs/>
          <w:sz w:val="24"/>
          <w:szCs w:val="24"/>
          <w:lang w:val="en-US"/>
        </w:rPr>
        <w:t>strictu sensu</w:t>
      </w:r>
      <w:r w:rsidRPr="006155D3">
        <w:rPr>
          <w:rFonts w:ascii="Times New Roman" w:eastAsia="Times New Roman" w:hAnsi="Times New Roman" w:cs="Times New Roman"/>
          <w:sz w:val="24"/>
          <w:szCs w:val="24"/>
          <w:lang w:val="en-US"/>
        </w:rPr>
        <w:t xml:space="preserve"> and military-like commanders. In this regard, the Chamber considers that the additional words “command” and “authority” under the two expressions has no substantial effect on the required level or standard of “control”. This is apparent from the express language of the two terms, which uses the words “effective” and “control” as a common denominator under both alternatives. This conclusion is also supported by a review of the </w:t>
      </w:r>
      <w:r w:rsidRPr="006155D3">
        <w:rPr>
          <w:rFonts w:ascii="Times New Roman" w:eastAsia="Times New Roman" w:hAnsi="Times New Roman" w:cs="Times New Roman"/>
          <w:i/>
          <w:iCs/>
          <w:sz w:val="24"/>
          <w:szCs w:val="24"/>
          <w:lang w:val="en-US"/>
        </w:rPr>
        <w:t xml:space="preserve">travaux préparatoires </w:t>
      </w:r>
      <w:r w:rsidRPr="006155D3">
        <w:rPr>
          <w:rFonts w:ascii="Times New Roman" w:eastAsia="Times New Roman" w:hAnsi="Times New Roman" w:cs="Times New Roman"/>
          <w:sz w:val="24"/>
          <w:szCs w:val="24"/>
          <w:lang w:val="en-US"/>
        </w:rPr>
        <w:t>of the Statute, in which it was acknowledged by some delegations that the addition of the term “effective authority and control” as an alternative to the existing text was “unnecessary and possibly confusing”. This suggests that some of the drafters believed that the insertion of this expression did not add or provide a different meaning to the text.</w:t>
      </w:r>
      <w:r w:rsidRPr="006155D3">
        <w:rPr>
          <w:rFonts w:ascii="Times New Roman" w:eastAsia="Times New Roman" w:hAnsi="Times New Roman" w:cs="Times New Roman"/>
          <w:sz w:val="24"/>
          <w:szCs w:val="24"/>
          <w:lang w:val="en-US"/>
        </w:rPr>
        <w:br/>
        <w:t xml:space="preserve">413. In this context, the Chamber underlines that the term “effective command” certainly reveals or reflects “effective authority”. Indeed, in the English language the </w:t>
      </w:r>
      <w:r w:rsidRPr="006155D3">
        <w:rPr>
          <w:rFonts w:ascii="Times New Roman" w:eastAsia="Times New Roman" w:hAnsi="Times New Roman" w:cs="Times New Roman"/>
          <w:sz w:val="24"/>
          <w:szCs w:val="24"/>
          <w:lang w:val="en-US"/>
        </w:rPr>
        <w:lastRenderedPageBreak/>
        <w:t>word “command” is defined as “authority, especially over armed forces”, and the expression “authority” refers to the “power or right to give orders and enforce obedience”. However, the usage of the disjunctive “or” between the expressions “effective command” and “effective authority” calls the Chamber to interpret them as having close, but distinct meanings in order to remedy the appearance of redundancy in the text. Thus, the Chamber is of the view that although the degree of “control” required under both expressions is the same as argued in paragraph 412 above, the term “effective authority” may refer to the modality, manner or nature, according to which, a military or military-like commander exercise “control” over his forces or subordinates.</w:t>
      </w:r>
      <w:r w:rsidRPr="006155D3">
        <w:rPr>
          <w:rFonts w:ascii="Times New Roman" w:eastAsia="Times New Roman" w:hAnsi="Times New Roman" w:cs="Times New Roman"/>
          <w:sz w:val="24"/>
          <w:szCs w:val="24"/>
          <w:lang w:val="en-US"/>
        </w:rPr>
        <w:br/>
        <w:t xml:space="preserve">414. The Chamber wishes to point out that “effective control” is generally a manifestation of a superior-subordinate relationship between the suspect and the forces or subordinates in a </w:t>
      </w:r>
      <w:r w:rsidRPr="006155D3">
        <w:rPr>
          <w:rFonts w:ascii="Times New Roman" w:eastAsia="Times New Roman" w:hAnsi="Times New Roman" w:cs="Times New Roman"/>
          <w:i/>
          <w:iCs/>
          <w:sz w:val="24"/>
          <w:szCs w:val="24"/>
          <w:lang w:val="en-US"/>
        </w:rPr>
        <w:t>de jure</w:t>
      </w:r>
      <w:r w:rsidRPr="006155D3">
        <w:rPr>
          <w:rFonts w:ascii="Times New Roman" w:eastAsia="Times New Roman" w:hAnsi="Times New Roman" w:cs="Times New Roman"/>
          <w:sz w:val="24"/>
          <w:szCs w:val="24"/>
          <w:lang w:val="en-US"/>
        </w:rPr>
        <w:t xml:space="preserve"> or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hierarchal relationship (chain of command). As the ICTY Appeals Chamber stated in the </w:t>
      </w:r>
      <w:r w:rsidRPr="006155D3">
        <w:rPr>
          <w:rFonts w:ascii="Times New Roman" w:eastAsia="Times New Roman" w:hAnsi="Times New Roman" w:cs="Times New Roman"/>
          <w:i/>
          <w:iCs/>
          <w:sz w:val="24"/>
          <w:szCs w:val="24"/>
          <w:lang w:val="en-US"/>
        </w:rPr>
        <w:t>Čelebići</w:t>
      </w:r>
      <w:r w:rsidRPr="006155D3">
        <w:rPr>
          <w:rFonts w:ascii="Times New Roman" w:eastAsia="Times New Roman" w:hAnsi="Times New Roman" w:cs="Times New Roman"/>
          <w:sz w:val="24"/>
          <w:szCs w:val="24"/>
          <w:lang w:val="en-US"/>
        </w:rPr>
        <w:t xml:space="preserve"> case: “[t]he ability to exercise effective control […] will almost invariably not be satisfied unless such a relationship of subordination exists”. [ICTY, </w:t>
      </w:r>
      <w:r w:rsidRPr="006155D3">
        <w:rPr>
          <w:rFonts w:ascii="Times New Roman" w:eastAsia="Times New Roman" w:hAnsi="Times New Roman" w:cs="Times New Roman"/>
          <w:i/>
          <w:iCs/>
          <w:sz w:val="24"/>
          <w:szCs w:val="24"/>
          <w:lang w:val="en-US"/>
        </w:rPr>
        <w:t>Čelebići case</w:t>
      </w:r>
      <w:r w:rsidRPr="006155D3">
        <w:rPr>
          <w:rFonts w:ascii="Times New Roman" w:eastAsia="Times New Roman" w:hAnsi="Times New Roman" w:cs="Times New Roman"/>
          <w:sz w:val="24"/>
          <w:szCs w:val="24"/>
          <w:lang w:val="en-US"/>
        </w:rPr>
        <w:t>, Judgement on Appeal, § 303]</w:t>
      </w:r>
      <w:r w:rsidRPr="006155D3">
        <w:rPr>
          <w:rFonts w:ascii="Times New Roman" w:eastAsia="Times New Roman" w:hAnsi="Times New Roman" w:cs="Times New Roman"/>
          <w:sz w:val="24"/>
          <w:szCs w:val="24"/>
          <w:lang w:val="en-US"/>
        </w:rPr>
        <w:br/>
        <w:t xml:space="preserve">415. The concept of “effective control” is mainly perceived as “the material ability [or power] to prevent and punish” the commission of offences, and, as such, failure to exercise such abilities of control gives rise to criminal responsibility if other requirements are met. In the context of article 28(a) of the Statute, “effective control” also refers to the material ability to prevent or repress the commission of the crimes or submit the matter to the competent authorities. To this end, this notion does not seem to accommodate any lower standard of control such as the simple ability to exercise influence over forces or subordinates, even if such influence turned out to be substantial. As the ICTY Trial Chamber stated in the </w:t>
      </w:r>
      <w:r w:rsidRPr="006155D3">
        <w:rPr>
          <w:rFonts w:ascii="Times New Roman" w:eastAsia="Times New Roman" w:hAnsi="Times New Roman" w:cs="Times New Roman"/>
          <w:i/>
          <w:iCs/>
          <w:sz w:val="24"/>
          <w:szCs w:val="24"/>
          <w:lang w:val="en-US"/>
        </w:rPr>
        <w:t>Hadžihasanović</w:t>
      </w:r>
      <w:r w:rsidRPr="006155D3">
        <w:rPr>
          <w:rFonts w:ascii="Times New Roman" w:eastAsia="Times New Roman" w:hAnsi="Times New Roman" w:cs="Times New Roman"/>
          <w:sz w:val="24"/>
          <w:szCs w:val="24"/>
          <w:lang w:val="en-US"/>
        </w:rPr>
        <w:t xml:space="preserve"> case: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Since command responsibility is predicated on a superior’s power to control the acts of his subordinates, a superior may only be held criminally responsible if he has the necessary powers of control, i.e. if he exercises effective control over his subordinates. The simple exercise of powers of influence over subordinates does not suffice.</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416. That said, the Chamber concurs with the view adopted by the </w:t>
      </w:r>
      <w:r w:rsidRPr="006155D3">
        <w:rPr>
          <w:rFonts w:ascii="Times New Roman" w:eastAsia="Times New Roman" w:hAnsi="Times New Roman" w:cs="Times New Roman"/>
          <w:i/>
          <w:iCs/>
          <w:sz w:val="24"/>
          <w:szCs w:val="24"/>
          <w:lang w:val="en-US"/>
        </w:rPr>
        <w:t>ad hoc</w:t>
      </w:r>
      <w:r w:rsidRPr="006155D3">
        <w:rPr>
          <w:rFonts w:ascii="Times New Roman" w:eastAsia="Times New Roman" w:hAnsi="Times New Roman" w:cs="Times New Roman"/>
          <w:sz w:val="24"/>
          <w:szCs w:val="24"/>
          <w:lang w:val="en-US"/>
        </w:rPr>
        <w:t xml:space="preserve"> tribunals that </w:t>
      </w:r>
      <w:r w:rsidRPr="006155D3">
        <w:rPr>
          <w:rFonts w:ascii="Times New Roman" w:eastAsia="Times New Roman" w:hAnsi="Times New Roman" w:cs="Times New Roman"/>
          <w:i/>
          <w:iCs/>
          <w:sz w:val="24"/>
          <w:szCs w:val="24"/>
          <w:lang w:val="en-US"/>
        </w:rPr>
        <w:t>indicia</w:t>
      </w:r>
      <w:r w:rsidRPr="006155D3">
        <w:rPr>
          <w:rFonts w:ascii="Times New Roman" w:eastAsia="Times New Roman" w:hAnsi="Times New Roman" w:cs="Times New Roman"/>
          <w:sz w:val="24"/>
          <w:szCs w:val="24"/>
          <w:lang w:val="en-US"/>
        </w:rPr>
        <w:t xml:space="preserve"> for the existence of effective control are “more a matter of evidence than of substantive law”, depending on the circumstances of each case, and that those </w:t>
      </w:r>
      <w:r w:rsidRPr="006155D3">
        <w:rPr>
          <w:rFonts w:ascii="Times New Roman" w:eastAsia="Times New Roman" w:hAnsi="Times New Roman" w:cs="Times New Roman"/>
          <w:i/>
          <w:iCs/>
          <w:sz w:val="24"/>
          <w:szCs w:val="24"/>
          <w:lang w:val="en-US"/>
        </w:rPr>
        <w:t>indicia</w:t>
      </w:r>
      <w:r w:rsidRPr="006155D3">
        <w:rPr>
          <w:rFonts w:ascii="Times New Roman" w:eastAsia="Times New Roman" w:hAnsi="Times New Roman" w:cs="Times New Roman"/>
          <w:sz w:val="24"/>
          <w:szCs w:val="24"/>
          <w:lang w:val="en-US"/>
        </w:rPr>
        <w:t xml:space="preserve"> are confined to showing that the suspect had the power to prevent, repress and/or submit the matter to the competent authorities for investigation.</w:t>
      </w:r>
      <w:r w:rsidRPr="006155D3">
        <w:rPr>
          <w:rFonts w:ascii="Times New Roman" w:eastAsia="Times New Roman" w:hAnsi="Times New Roman" w:cs="Times New Roman"/>
          <w:sz w:val="24"/>
          <w:szCs w:val="24"/>
          <w:lang w:val="en-US"/>
        </w:rPr>
        <w:br/>
        <w:t>417. The Chamber takes the view that there are nonetheless several factors which may indicate the existence of a superior’s position of authority and effective control. These factors may include: (i) the official position of the suspect; (ii) his power to issue or give orders; (iii) the capacity to ensure compliance with the orders issued (i.e., ensure that they would be executed); (iv) his position within the military structure and the actual tasks that he carried out; (v) the capacity to order forces or units under his command, whether under his immediate command or at a lower levels, to engage in hostilities; (vi) the capacity to re-subordinate units or make changes to command structure; (vii) the power to promote, replace, remove or discipline any member of the forces; and (viii) the authority to send forces where hostilities take place and withdraw them at any given moment.</w:t>
      </w:r>
      <w:r w:rsidRPr="006155D3">
        <w:rPr>
          <w:rFonts w:ascii="Times New Roman" w:eastAsia="Times New Roman" w:hAnsi="Times New Roman" w:cs="Times New Roman"/>
          <w:sz w:val="24"/>
          <w:szCs w:val="24"/>
          <w:lang w:val="en-US"/>
        </w:rPr>
        <w:br/>
        <w:t xml:space="preserve">418. The Chamber also wishes to stress that it is not sufficient to demonstrate that the suspect had effective control without specifying the time frame required for its existence. In particular, there is a question of temporal coincidence between the “effective control” and the criminal conduct. In this respect, the Chambe r takes note of the common position upheld by the </w:t>
      </w:r>
      <w:r w:rsidRPr="006155D3">
        <w:rPr>
          <w:rFonts w:ascii="Times New Roman" w:eastAsia="Times New Roman" w:hAnsi="Times New Roman" w:cs="Times New Roman"/>
          <w:i/>
          <w:iCs/>
          <w:sz w:val="24"/>
          <w:szCs w:val="24"/>
          <w:lang w:val="en-US"/>
        </w:rPr>
        <w:t>ad hoc</w:t>
      </w:r>
      <w:r w:rsidRPr="006155D3">
        <w:rPr>
          <w:rFonts w:ascii="Times New Roman" w:eastAsia="Times New Roman" w:hAnsi="Times New Roman" w:cs="Times New Roman"/>
          <w:sz w:val="24"/>
          <w:szCs w:val="24"/>
          <w:lang w:val="en-US"/>
        </w:rPr>
        <w:t xml:space="preserve"> tribunals, according to which effective control must have existed at the time of the commission of the crime. The Chamber is </w:t>
      </w:r>
      <w:r w:rsidRPr="006155D3">
        <w:rPr>
          <w:rFonts w:ascii="Times New Roman" w:eastAsia="Times New Roman" w:hAnsi="Times New Roman" w:cs="Times New Roman"/>
          <w:sz w:val="24"/>
          <w:szCs w:val="24"/>
          <w:lang w:val="en-US"/>
        </w:rPr>
        <w:lastRenderedPageBreak/>
        <w:t xml:space="preserve">also aware of the different view embraced by a minority of the ICTY Judges, which was later upheld by Trial Chamber I of the SCSL, according to which the “superior must have had effective control over the perpetrator at the time at which the superior is said to have failed to exercise his powers to prevent or to punish”. [SCSL, </w:t>
      </w:r>
      <w:r w:rsidRPr="006155D3">
        <w:rPr>
          <w:rFonts w:ascii="Times New Roman" w:eastAsia="Times New Roman" w:hAnsi="Times New Roman" w:cs="Times New Roman"/>
          <w:i/>
          <w:iCs/>
          <w:sz w:val="24"/>
          <w:szCs w:val="24"/>
          <w:lang w:val="en-US"/>
        </w:rPr>
        <w:t>Sesay case</w:t>
      </w:r>
      <w:r w:rsidRPr="006155D3">
        <w:rPr>
          <w:rFonts w:ascii="Times New Roman" w:eastAsia="Times New Roman" w:hAnsi="Times New Roman" w:cs="Times New Roman"/>
          <w:sz w:val="24"/>
          <w:szCs w:val="24"/>
          <w:lang w:val="en-US"/>
        </w:rPr>
        <w:t>, Judgement, § 299]</w:t>
      </w:r>
      <w:r w:rsidRPr="006155D3">
        <w:rPr>
          <w:rFonts w:ascii="Times New Roman" w:eastAsia="Times New Roman" w:hAnsi="Times New Roman" w:cs="Times New Roman"/>
          <w:sz w:val="24"/>
          <w:szCs w:val="24"/>
          <w:lang w:val="en-US"/>
        </w:rPr>
        <w:br/>
        <w:t xml:space="preserve">419. Having considered the above, the Chamber is of the view that according to article 28(a) of the Statute, the suspect must have had effective control </w:t>
      </w:r>
      <w:r w:rsidRPr="006155D3">
        <w:rPr>
          <w:rFonts w:ascii="Times New Roman" w:eastAsia="Times New Roman" w:hAnsi="Times New Roman" w:cs="Times New Roman"/>
          <w:i/>
          <w:iCs/>
          <w:sz w:val="24"/>
          <w:szCs w:val="24"/>
          <w:lang w:val="en-US"/>
        </w:rPr>
        <w:t>at least</w:t>
      </w:r>
      <w:r w:rsidRPr="006155D3">
        <w:rPr>
          <w:rFonts w:ascii="Times New Roman" w:eastAsia="Times New Roman" w:hAnsi="Times New Roman" w:cs="Times New Roman"/>
          <w:sz w:val="24"/>
          <w:szCs w:val="24"/>
          <w:lang w:val="en-US"/>
        </w:rPr>
        <w:t xml:space="preserve"> when the crimes were about to be committed. This finding is supported by the language of the chapeau of article 28(a) of the Statute, which states in the relevant part that a military commander or a person effectively acting as such shall be criminally responsible for the crimes committed by forces under his effective control “as a result of his or her failure to exercise control properly over such forces […]”. The reference to the phrase “failure to exercise control properly” suggests that the superior was already in control over the forces before the crimes were committed.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c) The crimes committed resulted from the suspect’s failure to exercise control properly over the forces (subordinates)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420. The third element to be satisfied for the purpose of article 28(a) of the Statute is to prove that crimes committed by the suspect’s forces resulted from his failure to exercise control properly over them.</w:t>
      </w:r>
      <w:r w:rsidRPr="006155D3">
        <w:rPr>
          <w:rFonts w:ascii="Times New Roman" w:eastAsia="Times New Roman" w:hAnsi="Times New Roman" w:cs="Times New Roman"/>
          <w:sz w:val="24"/>
          <w:szCs w:val="24"/>
          <w:lang w:val="en-US"/>
        </w:rPr>
        <w:br/>
        <w:t>421. The Chamber recalls the chapeau of article 28(a) of the Statute, which stipulates that:</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A military commander or person effectively acting as a military commander shall be criminally responsible for crimes within the jurisdiction of the Court committed by forces under his or her effective command and control, or effective authority and control as the case may be, as a result of his failure to exercise control properly over such forces, where: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(ii) That military commander or person failed to take all necessary and reasonable measures within his or her power to prevent or repress their commission or to submit the matter to the competent authorities for investigation.</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422. The Chamber now turns to the two expressions, namely “effective control” and “exercise control properly”. In this respect, the Chamber considers that it cannot be said that a superior failed to “exercise control properly”, without showing that he had “effective control” over his forces. Since effective control is actually the “material ability” to prevent, repress or submit the matter to the competent authorities, then a failure to “exercise control properly” is, in fact, a scenario of noncompliance with such duties. This suggests that the reference to the phrase “failure to exercise control properly” must be read and understood in light of article 28(a)(ii) of the Statute.</w:t>
      </w:r>
      <w:r w:rsidRPr="006155D3">
        <w:rPr>
          <w:rFonts w:ascii="Times New Roman" w:eastAsia="Times New Roman" w:hAnsi="Times New Roman" w:cs="Times New Roman"/>
          <w:sz w:val="24"/>
          <w:szCs w:val="24"/>
          <w:lang w:val="en-US"/>
        </w:rPr>
        <w:br/>
        <w:t xml:space="preserve">423. The Chamber also observes that the chapeau of article 28(a) of the Statute establishes a link between the commission of the underlying crimes and a superior’s “failure to exercise control properly”. This is reflected in the words “as a result of”, which indicates such relationship. The Chamber therefore considers that the chapeau of article 28(a) of the Statute includes an element of causality between a superior’s dereliction of duty and the underlying crimes. This interpretation is consistent with the principle of strict construction mirrored in article 22(2) of the Statute which, as a part of the principle </w:t>
      </w:r>
      <w:r w:rsidRPr="006155D3">
        <w:rPr>
          <w:rFonts w:ascii="Times New Roman" w:eastAsia="Times New Roman" w:hAnsi="Times New Roman" w:cs="Times New Roman"/>
          <w:i/>
          <w:iCs/>
          <w:sz w:val="24"/>
          <w:szCs w:val="24"/>
          <w:lang w:val="en-US"/>
        </w:rPr>
        <w:t>nullum crimen sine lege</w:t>
      </w:r>
      <w:r w:rsidRPr="006155D3">
        <w:rPr>
          <w:rFonts w:ascii="Times New Roman" w:eastAsia="Times New Roman" w:hAnsi="Times New Roman" w:cs="Times New Roman"/>
          <w:sz w:val="24"/>
          <w:szCs w:val="24"/>
          <w:lang w:val="en-US"/>
        </w:rPr>
        <w:t>, compels the Chamber to interpret this provision strictly.</w:t>
      </w:r>
      <w:r w:rsidRPr="006155D3">
        <w:rPr>
          <w:rFonts w:ascii="Times New Roman" w:eastAsia="Times New Roman" w:hAnsi="Times New Roman" w:cs="Times New Roman"/>
          <w:sz w:val="24"/>
          <w:szCs w:val="24"/>
          <w:lang w:val="en-US"/>
        </w:rPr>
        <w:br/>
        <w:t xml:space="preserve">424. Although the Chamber finds that causality is a requirement under article 28 of the Statute, its actual scope needs to be further clarified by the Chamber. As stated above, article 28(a)(ii) of the Statute refers to three different duties: the duty to prevent crimes, repress crimes, or submit the matter to the competent authorities for investigation and </w:t>
      </w:r>
      <w:r w:rsidRPr="006155D3">
        <w:rPr>
          <w:rFonts w:ascii="Times New Roman" w:eastAsia="Times New Roman" w:hAnsi="Times New Roman" w:cs="Times New Roman"/>
          <w:sz w:val="24"/>
          <w:szCs w:val="24"/>
          <w:lang w:val="en-US"/>
        </w:rPr>
        <w:lastRenderedPageBreak/>
        <w:t>prosecution. The Chamber considers that a failure to comply with the duties to repress or submit the matter to the competent authorities arise during or after the commission of crimes. Thus, it is illogical to conclude that a failure relating to those two duties can retroactively cause the crimes to be committed. Accordingly, the Chamber is of the view that the element of causality only relates to the commander’s duty to prevent the commission of future crimes. Nonetheless, the Chamber notes that the failure of a superior to fulfil his duties during and after the crimes can have a causal impact on the commission of further crimes. As punishment is an inherent part of prevention of future crimes, a commander’s past failure to punish crimes is likely to increase the risk that further crimes will be committed in the future.</w:t>
      </w:r>
      <w:r w:rsidRPr="006155D3">
        <w:rPr>
          <w:rFonts w:ascii="Times New Roman" w:eastAsia="Times New Roman" w:hAnsi="Times New Roman" w:cs="Times New Roman"/>
          <w:sz w:val="24"/>
          <w:szCs w:val="24"/>
          <w:lang w:val="en-US"/>
        </w:rPr>
        <w:br/>
        <w:t>425. The Chamber also considers that since article 28(a) of the Statute does not elaborate on the level of causality required, a possible way to determine the level of causality would be to apply a “but for test”, in the sense that, but for the superior’s failure to fulfil his duty to take reasonable and necessary measures to prevent crimes, those crimes would not have been committed by his forces. However, contrary to the visible and material effect of a positive act, the effect of an omission cannot be empirically determined with certainty. In other words, it would not be practical to predict exactly what would have happened if a commander had fulfilled his obligation to prevent crimes. There is no direct causal link that needs to be established between the superior’s omission and the crime committed by his subordinates. Therefore, the Chamber considers that it is only necessary to prove that the commander’s omission increased the risk of the commission of the crimes charged in order to hold him criminally responsible under article 28(a) of the Statute.</w:t>
      </w:r>
      <w:r w:rsidRPr="006155D3">
        <w:rPr>
          <w:rFonts w:ascii="Times New Roman" w:eastAsia="Times New Roman" w:hAnsi="Times New Roman" w:cs="Times New Roman"/>
          <w:sz w:val="24"/>
          <w:szCs w:val="24"/>
          <w:lang w:val="en-US"/>
        </w:rPr>
        <w:br/>
        <w:t>426. Accordingly, to find a military commander or a person acting as a military commander responsible for the crimes committed by his forces, the Prosecutor must demonstrate that his failure to exercise his duty to prevent crimes increased the risk that the forces would commit these crimes.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d) The suspect either knew or should have known</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427. The Chamber, reiterates what it has stated earlier in this decision, that the Rome Statute does not endorse the concept of strict liability. To this end, attribution of criminal responsibility for any of the crimes that fall within the jurisdiction of the Court depends on the existence of the relevant state of mind or degree of fault. This is also the case with respect to criminal responsibility arising under article 28 of the Statute.</w:t>
      </w:r>
      <w:r w:rsidRPr="006155D3">
        <w:rPr>
          <w:rFonts w:ascii="Times New Roman" w:eastAsia="Times New Roman" w:hAnsi="Times New Roman" w:cs="Times New Roman"/>
          <w:sz w:val="24"/>
          <w:szCs w:val="24"/>
          <w:lang w:val="en-US"/>
        </w:rPr>
        <w:br/>
        <w:t xml:space="preserve">428. Thus, in order to hold the suspect criminally responsible under article 28(a) of the Statute for a crime committed by forces (subordinates) under his control, it must be proven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 xml:space="preserve"> that the suspect “either knew or, owing to the circumstances at the time, should have known that his subordinates were committing or about to commit” one or more of the crimes embodied in articles 6 to 8 of the Statute. This means that the suspect must have knowledge or should have known that his forces were about to engage or were engaging or had engaged in a conduct constituting the crimes referred to above.</w:t>
      </w:r>
      <w:r w:rsidRPr="006155D3">
        <w:rPr>
          <w:rFonts w:ascii="Times New Roman" w:eastAsia="Times New Roman" w:hAnsi="Times New Roman" w:cs="Times New Roman"/>
          <w:sz w:val="24"/>
          <w:szCs w:val="24"/>
          <w:lang w:val="en-US"/>
        </w:rPr>
        <w:br/>
        <w:t>429. In this regard, the Chamber considers that article 28(a) of the Statute encompasses two standards of fault element. The first, which is encapsulated by the term “knew”, requires the existence of actual knowledge. The second, which is covered by the term “should have known”, is in fact a form of negligence. The Chamber will discuss each of these elements in the following paragraphs.</w:t>
      </w:r>
      <w:r w:rsidRPr="006155D3">
        <w:rPr>
          <w:rFonts w:ascii="Times New Roman" w:eastAsia="Times New Roman" w:hAnsi="Times New Roman" w:cs="Times New Roman"/>
          <w:sz w:val="24"/>
          <w:szCs w:val="24"/>
          <w:lang w:val="en-US"/>
        </w:rPr>
        <w:br/>
        <w:t xml:space="preserve">430. With respect to the suspect’s actual knowledge that the forces or subordinates were committing or about to commit a crime, it is the view of the Chamber that such knowledge cannot be “presumed”. Rather, the suspect’s knowledge must be obtained by way of direct or circumstantial evidence. In this regard, the Chamber takes note of the </w:t>
      </w:r>
      <w:r w:rsidRPr="006155D3">
        <w:rPr>
          <w:rFonts w:ascii="Times New Roman" w:eastAsia="Times New Roman" w:hAnsi="Times New Roman" w:cs="Times New Roman"/>
          <w:sz w:val="24"/>
          <w:szCs w:val="24"/>
          <w:lang w:val="en-US"/>
        </w:rPr>
        <w:lastRenderedPageBreak/>
        <w:t xml:space="preserve">relevant jurisprudence of the </w:t>
      </w:r>
      <w:r w:rsidRPr="006155D3">
        <w:rPr>
          <w:rFonts w:ascii="Times New Roman" w:eastAsia="Times New Roman" w:hAnsi="Times New Roman" w:cs="Times New Roman"/>
          <w:i/>
          <w:iCs/>
          <w:sz w:val="24"/>
          <w:szCs w:val="24"/>
          <w:lang w:val="en-US"/>
        </w:rPr>
        <w:t>ad hoc</w:t>
      </w:r>
      <w:r w:rsidRPr="006155D3">
        <w:rPr>
          <w:rFonts w:ascii="Times New Roman" w:eastAsia="Times New Roman" w:hAnsi="Times New Roman" w:cs="Times New Roman"/>
          <w:sz w:val="24"/>
          <w:szCs w:val="24"/>
          <w:lang w:val="en-US"/>
        </w:rPr>
        <w:t xml:space="preserve"> tribunals which considered several factors or </w:t>
      </w:r>
      <w:r w:rsidRPr="006155D3">
        <w:rPr>
          <w:rFonts w:ascii="Times New Roman" w:eastAsia="Times New Roman" w:hAnsi="Times New Roman" w:cs="Times New Roman"/>
          <w:i/>
          <w:iCs/>
          <w:sz w:val="24"/>
          <w:szCs w:val="24"/>
          <w:lang w:val="en-US"/>
        </w:rPr>
        <w:t>indicia</w:t>
      </w:r>
      <w:r w:rsidRPr="006155D3">
        <w:rPr>
          <w:rFonts w:ascii="Times New Roman" w:eastAsia="Times New Roman" w:hAnsi="Times New Roman" w:cs="Times New Roman"/>
          <w:sz w:val="24"/>
          <w:szCs w:val="24"/>
          <w:lang w:val="en-US"/>
        </w:rPr>
        <w:t xml:space="preserve"> to reach a finding on a superior’s actual knowledge.</w:t>
      </w:r>
      <w:r w:rsidRPr="006155D3">
        <w:rPr>
          <w:rFonts w:ascii="Times New Roman" w:eastAsia="Times New Roman" w:hAnsi="Times New Roman" w:cs="Times New Roman"/>
          <w:sz w:val="24"/>
          <w:szCs w:val="24"/>
          <w:lang w:val="en-US"/>
        </w:rPr>
        <w:br/>
        <w:t xml:space="preserve">431. These factors include the number of illegal acts, their scope, whether their occurrence is widespread, the time during which the prohibited acts took place, the type and number of forces involved, the means of available communication, the </w:t>
      </w:r>
      <w:r w:rsidRPr="006155D3">
        <w:rPr>
          <w:rFonts w:ascii="Times New Roman" w:eastAsia="Times New Roman" w:hAnsi="Times New Roman" w:cs="Times New Roman"/>
          <w:i/>
          <w:iCs/>
          <w:sz w:val="24"/>
          <w:szCs w:val="24"/>
          <w:lang w:val="en-US"/>
        </w:rPr>
        <w:t>modus operandi</w:t>
      </w:r>
      <w:r w:rsidRPr="006155D3">
        <w:rPr>
          <w:rFonts w:ascii="Times New Roman" w:eastAsia="Times New Roman" w:hAnsi="Times New Roman" w:cs="Times New Roman"/>
          <w:sz w:val="24"/>
          <w:szCs w:val="24"/>
          <w:lang w:val="en-US"/>
        </w:rPr>
        <w:t xml:space="preserve"> of similar acts, the scope and nature of the superior’s position and responsibility in the hierarchal structure, the location of the commander at the time and the geographical location of the acts. Actual knowledge may be also proven if, “</w:t>
      </w:r>
      <w:r w:rsidRPr="006155D3">
        <w:rPr>
          <w:rFonts w:ascii="Times New Roman" w:eastAsia="Times New Roman" w:hAnsi="Times New Roman" w:cs="Times New Roman"/>
          <w:i/>
          <w:iCs/>
          <w:sz w:val="24"/>
          <w:szCs w:val="24"/>
          <w:lang w:val="en-US"/>
        </w:rPr>
        <w:t>a priori</w:t>
      </w:r>
      <w:r w:rsidRPr="006155D3">
        <w:rPr>
          <w:rFonts w:ascii="Times New Roman" w:eastAsia="Times New Roman" w:hAnsi="Times New Roman" w:cs="Times New Roman"/>
          <w:sz w:val="24"/>
          <w:szCs w:val="24"/>
          <w:lang w:val="en-US"/>
        </w:rPr>
        <w:t xml:space="preserve">, [a military commander] is part of an organised structure with established reporting and monitoring systems”. [ICTY, </w:t>
      </w:r>
      <w:r w:rsidRPr="006155D3">
        <w:rPr>
          <w:rFonts w:ascii="Times New Roman" w:eastAsia="Times New Roman" w:hAnsi="Times New Roman" w:cs="Times New Roman"/>
          <w:i/>
          <w:iCs/>
          <w:sz w:val="24"/>
          <w:szCs w:val="24"/>
          <w:lang w:val="en-US"/>
        </w:rPr>
        <w:t>Hadžihasanović case</w:t>
      </w:r>
      <w:r w:rsidRPr="006155D3">
        <w:rPr>
          <w:rFonts w:ascii="Times New Roman" w:eastAsia="Times New Roman" w:hAnsi="Times New Roman" w:cs="Times New Roman"/>
          <w:sz w:val="24"/>
          <w:szCs w:val="24"/>
          <w:lang w:val="en-US"/>
        </w:rPr>
        <w:t>, Judgement, § 94] Thus, the Chamber considers that these factors are instructive in making a determination on a superior’s knowledge within the context of article 28 of the Statute.</w:t>
      </w:r>
      <w:r w:rsidRPr="006155D3">
        <w:rPr>
          <w:rFonts w:ascii="Times New Roman" w:eastAsia="Times New Roman" w:hAnsi="Times New Roman" w:cs="Times New Roman"/>
          <w:sz w:val="24"/>
          <w:szCs w:val="24"/>
          <w:lang w:val="en-US"/>
        </w:rPr>
        <w:br/>
        <w:t xml:space="preserve">432. The “should have known” standard requires the superior to “ha[ve] merely been negligent in failing to acquire knowledge” of his subordinates’ illegal conduct. In the </w:t>
      </w:r>
      <w:r w:rsidRPr="006155D3">
        <w:rPr>
          <w:rFonts w:ascii="Times New Roman" w:eastAsia="Times New Roman" w:hAnsi="Times New Roman" w:cs="Times New Roman"/>
          <w:i/>
          <w:iCs/>
          <w:sz w:val="24"/>
          <w:szCs w:val="24"/>
          <w:lang w:val="en-US"/>
        </w:rPr>
        <w:t>Blaškić</w:t>
      </w:r>
      <w:r w:rsidRPr="006155D3">
        <w:rPr>
          <w:rFonts w:ascii="Times New Roman" w:eastAsia="Times New Roman" w:hAnsi="Times New Roman" w:cs="Times New Roman"/>
          <w:sz w:val="24"/>
          <w:szCs w:val="24"/>
          <w:lang w:val="en-US"/>
        </w:rPr>
        <w:t xml:space="preserve"> case, the ICTY Trial Chamber, after having reviewed some post-Second World War jurisprudence and articles 86(2) and 87 of Additional Protocol I to the [1949] Geneva Conventions, supported the inclusion of the “should have known” standard into article 7(3) of the [1993] ICTY Statute. In defining this standard, the Chamber stated:</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 xml:space="preserve">In conclusion, the Trial Chamber finds that if a commander has exercised due diligence in the fulfillment of his duties yet lacks knowledge that crimes are about to be or have been committed, such lack of knowledge cannot be held against him. However, taking into account his particular position of command and the circumstances prevailing at the time, such ignorance cannot be a defence where the absence of knowledge is the result of negligence in the discharge of his duties […]. [ICTY, </w:t>
      </w:r>
      <w:r w:rsidRPr="006155D3">
        <w:rPr>
          <w:rFonts w:ascii="Times New Roman" w:eastAsia="Times New Roman" w:hAnsi="Times New Roman" w:cs="Times New Roman"/>
          <w:i/>
          <w:iCs/>
          <w:sz w:val="24"/>
          <w:szCs w:val="24"/>
          <w:lang w:val="en-US"/>
        </w:rPr>
        <w:t>Blaškić case</w:t>
      </w:r>
      <w:r w:rsidRPr="006155D3">
        <w:rPr>
          <w:rFonts w:ascii="Times New Roman" w:eastAsia="Times New Roman" w:hAnsi="Times New Roman" w:cs="Times New Roman"/>
          <w:sz w:val="24"/>
          <w:szCs w:val="24"/>
          <w:lang w:val="en-US"/>
        </w:rPr>
        <w:t>, Judgement, § 332]</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433. Thus, it is the Chamber’s view that the “should have known” standard requires more of an active duty on the part of the superior to take the necessary measures to secure knowledge of the conduct of his and to inquire, regardless of the availability of information at the time on the commission of the crime. The drafting history of this provision reveals that it was the intent of the drafters to take a more stringent approach towards commanders and military-like commanders compared to other superiors that fall within the parameters of article 28(b) of the Statute. This is justified by the nature and type of responsibility assigned to this category of superiors.</w:t>
      </w:r>
      <w:r w:rsidRPr="006155D3">
        <w:rPr>
          <w:rFonts w:ascii="Times New Roman" w:eastAsia="Times New Roman" w:hAnsi="Times New Roman" w:cs="Times New Roman"/>
          <w:sz w:val="24"/>
          <w:szCs w:val="24"/>
          <w:lang w:val="en-US"/>
        </w:rPr>
        <w:br/>
        <w:t xml:space="preserve">434. The Chamber is mindful of the fact that the “had reason to know” criterion embodied in the statutes of the ICTR, ICTY and SCSL sets a different standard to the “should have known” standard under article 28 (a) of the Statute. However, despite such a difference, which the Chamber does not deem necessary to address in the present decision, the criteria or </w:t>
      </w:r>
      <w:r w:rsidRPr="006155D3">
        <w:rPr>
          <w:rFonts w:ascii="Times New Roman" w:eastAsia="Times New Roman" w:hAnsi="Times New Roman" w:cs="Times New Roman"/>
          <w:i/>
          <w:iCs/>
          <w:sz w:val="24"/>
          <w:szCs w:val="24"/>
          <w:lang w:val="en-US"/>
        </w:rPr>
        <w:t>indicia</w:t>
      </w:r>
      <w:r w:rsidRPr="006155D3">
        <w:rPr>
          <w:rFonts w:ascii="Times New Roman" w:eastAsia="Times New Roman" w:hAnsi="Times New Roman" w:cs="Times New Roman"/>
          <w:sz w:val="24"/>
          <w:szCs w:val="24"/>
          <w:lang w:val="en-US"/>
        </w:rPr>
        <w:t xml:space="preserve"> developed by the </w:t>
      </w:r>
      <w:r w:rsidRPr="006155D3">
        <w:rPr>
          <w:rFonts w:ascii="Times New Roman" w:eastAsia="Times New Roman" w:hAnsi="Times New Roman" w:cs="Times New Roman"/>
          <w:i/>
          <w:iCs/>
          <w:sz w:val="24"/>
          <w:szCs w:val="24"/>
          <w:lang w:val="en-US"/>
        </w:rPr>
        <w:t>ad hoc</w:t>
      </w:r>
      <w:r w:rsidRPr="006155D3">
        <w:rPr>
          <w:rFonts w:ascii="Times New Roman" w:eastAsia="Times New Roman" w:hAnsi="Times New Roman" w:cs="Times New Roman"/>
          <w:sz w:val="24"/>
          <w:szCs w:val="24"/>
          <w:lang w:val="en-US"/>
        </w:rPr>
        <w:t xml:space="preserve"> tribunals to meet the standard of “had reason to know” may also be useful when applying the “should have known” requirement. Moreover, the factors referred to above in relation to the determination of actual knowledge are also relevant in the Chamber’s final assessment of whether a superior “should have known” of the commission of the crimes or the risk of their occurrence. In this respect, the suspect may be considered to have known, if </w:t>
      </w:r>
      <w:r w:rsidRPr="006155D3">
        <w:rPr>
          <w:rFonts w:ascii="Times New Roman" w:eastAsia="Times New Roman" w:hAnsi="Times New Roman" w:cs="Times New Roman"/>
          <w:i/>
          <w:iCs/>
          <w:sz w:val="24"/>
          <w:szCs w:val="24"/>
          <w:lang w:val="en-US"/>
        </w:rPr>
        <w:t>inter alia</w:t>
      </w:r>
      <w:r w:rsidRPr="006155D3">
        <w:rPr>
          <w:rFonts w:ascii="Times New Roman" w:eastAsia="Times New Roman" w:hAnsi="Times New Roman" w:cs="Times New Roman"/>
          <w:sz w:val="24"/>
          <w:szCs w:val="24"/>
          <w:lang w:val="en-US"/>
        </w:rPr>
        <w:t>, and depending on the circumstances of each case: (i) he had general information to put him on notice of crimes committed by subordinates or of the possibility of occurrence of the unlawful acts; and (ii) such available information was sufficient to justify further inquiry or investigation. The Chamber also believes that failure to punish past crimes committed by the same group of subordinates may be an indication of future risk.</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e) The suspect failed to take all the necessary and reasonable measures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435. In order to find the suspect responsible under command responsibility, once the </w:t>
      </w:r>
      <w:r w:rsidRPr="006155D3">
        <w:rPr>
          <w:rFonts w:ascii="Times New Roman" w:eastAsia="Times New Roman" w:hAnsi="Times New Roman" w:cs="Times New Roman"/>
          <w:sz w:val="24"/>
          <w:szCs w:val="24"/>
          <w:lang w:val="en-US"/>
        </w:rPr>
        <w:lastRenderedPageBreak/>
        <w:t>mental element is satisfied, it is necessary to prove that he or she failed at least to fulfil one of the three duties listed under article 28(a)(ii) of the Statute: the duty to prevent crimes, the duty to repress crimes or the duty to submit the matter to the competent authorities for investigation and prosecution.</w:t>
      </w:r>
      <w:r w:rsidRPr="006155D3">
        <w:rPr>
          <w:rFonts w:ascii="Times New Roman" w:eastAsia="Times New Roman" w:hAnsi="Times New Roman" w:cs="Times New Roman"/>
          <w:sz w:val="24"/>
          <w:szCs w:val="24"/>
          <w:lang w:val="en-US"/>
        </w:rPr>
        <w:br/>
        <w:t>436. The Chamber first wishes to underline that the three duties under article 28(a)(ii) of the Statute arise at three different stages in the commission of crimes: before, during and after. Thus, a failure to fulfil one of these duties is itself a separate crime under article 28(a) of the Statute. A military commander or a military-like commander can therefore be held criminally responsible for one or more breaches of duty under article 28(a) of the Statute in relation to the same underlying crimes. Consequently, a failure to prevent crimes which the commander knew or should have known about cannot be cured by fulfilling the duty to repress or submit the matter to the competent authorities.</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(i) The duty to prevent</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437. The Chamber notes that the duty to prevent arises when the commander or military-like commander knew or should have known that forces under his effective control and command/authority “were committing or about to commit” crimes. Thus, such a duty is triggered at any stage prior to the commission of crimes and before it has actually been committed by the superior’s forces.</w:t>
      </w:r>
      <w:r w:rsidRPr="006155D3">
        <w:rPr>
          <w:rFonts w:ascii="Times New Roman" w:eastAsia="Times New Roman" w:hAnsi="Times New Roman" w:cs="Times New Roman"/>
          <w:sz w:val="24"/>
          <w:szCs w:val="24"/>
          <w:lang w:val="en-US"/>
        </w:rPr>
        <w:br/>
        <w:t>438. Article 28 of the Statute does not define the specific measures required by the duty to prevent crimes. In this context, the Chamber considers it appropriate to be guided by relevant factors such as measures: (i) to ensure that superior’s forces are adequately trained in international humanitarian law; (ii) to secure reports that military actions were carried out in accordance with international law; (iii) to issue orders aiming at bringing the relevant practices into accord with the rules of war; (iv) to take disciplinary measures to prevent the commission of atrocities by the troops under the superior’s command.</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(ii) The duty to repress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439. The duty to “repress” encompasses two separate duties arising at two different stages of the commission of crimes. First, the duty to repress includes a duty to stop ongoing crimes from continuing to be committed. It is the obligation to “interrupt a possible chain effect, which may lead to other similar events”. Second, the duty to repress encompasses an obligation to punish forces after the commission of crimes.</w:t>
      </w:r>
      <w:r w:rsidRPr="006155D3">
        <w:rPr>
          <w:rFonts w:ascii="Times New Roman" w:eastAsia="Times New Roman" w:hAnsi="Times New Roman" w:cs="Times New Roman"/>
          <w:sz w:val="24"/>
          <w:szCs w:val="24"/>
          <w:lang w:val="en-US"/>
        </w:rPr>
        <w:br/>
        <w:t>440. The Chamber wishes to point out that the duty to punish requiring the superior to take the necessary measures to sanction the commission of crimes may be fulfilled in two different ways: either by the superior himself taking the necessary and reasonable measures to punish his forces, or, if he does not have the ability to do so, by referring the matter to the competent authorities. Thus, the duty to punish (as part of the duty to repress) constitutes an alternative to the third duty mentioned under article 28(a)(ii), namely the duty to submit the matter to the competent authorities, when the superior is not himself in a position to take necessary and reasonable measures to punish.</w:t>
      </w:r>
      <w:r w:rsidRPr="006155D3">
        <w:rPr>
          <w:rFonts w:ascii="Times New Roman" w:eastAsia="Times New Roman" w:hAnsi="Times New Roman" w:cs="Times New Roman"/>
          <w:sz w:val="24"/>
          <w:szCs w:val="24"/>
          <w:lang w:val="en-US"/>
        </w:rPr>
        <w:br/>
        <w:t>441. Moreover, as explained later, the power of a superior, and thus the punitive measures available to him, will vary according to the circumstances of the case and, in particular, to his position in the chain of command. Accordingly, whether the duty to punish requires exercising his power to take measures himself or to submit the matter to the competent authorities will therefore depend on the facts of the case.</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(iii) The duty to submit the matter to the competent authorities for investigation and prosecution</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442. The duty to submit the matter to the competent authorities, like the duty to punish, arises after the commission of the crimes. Such a duty requires that the commander takes active steps in order to ensure that the perpetrators are brought to justice. It </w:t>
      </w:r>
      <w:r w:rsidRPr="006155D3">
        <w:rPr>
          <w:rFonts w:ascii="Times New Roman" w:eastAsia="Times New Roman" w:hAnsi="Times New Roman" w:cs="Times New Roman"/>
          <w:sz w:val="24"/>
          <w:szCs w:val="24"/>
          <w:lang w:val="en-US"/>
        </w:rPr>
        <w:lastRenderedPageBreak/>
        <w:t>remedies a situation where commanders do not have the ability to sanction their forces. This includes circumstances where the superior has the ability to take measures, yet those measures do not seem to be adequate.</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i/>
          <w:iCs/>
          <w:sz w:val="24"/>
          <w:szCs w:val="24"/>
          <w:lang w:val="en-US"/>
        </w:rPr>
        <w:t>(iv) Necessary and Reasonable Measures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sz w:val="24"/>
          <w:szCs w:val="24"/>
          <w:lang w:val="en-US"/>
        </w:rPr>
        <w:t xml:space="preserve">443. The Chamber considers that what constitutes “necessary and reasonable measures” must be addressed </w:t>
      </w:r>
      <w:r w:rsidRPr="006155D3">
        <w:rPr>
          <w:rFonts w:ascii="Times New Roman" w:eastAsia="Times New Roman" w:hAnsi="Times New Roman" w:cs="Times New Roman"/>
          <w:i/>
          <w:iCs/>
          <w:sz w:val="24"/>
          <w:szCs w:val="24"/>
          <w:lang w:val="en-US"/>
        </w:rPr>
        <w:t>in concreto</w:t>
      </w:r>
      <w:r w:rsidRPr="006155D3">
        <w:rPr>
          <w:rFonts w:ascii="Times New Roman" w:eastAsia="Times New Roman" w:hAnsi="Times New Roman" w:cs="Times New Roman"/>
          <w:sz w:val="24"/>
          <w:szCs w:val="24"/>
          <w:lang w:val="en-US"/>
        </w:rPr>
        <w:t xml:space="preserve">. A commander or military-like commander will only be responsible under article 28(a) of the Statute for failing to take measures “within his material possibility”. The Chamber’s assessment of what may be materially possible will depend on the superior’s degree of effective control over his forces at the time his duty arises. This suggests that what constitutes a reasonable and necessary measure will be assessed on the basis of the commander’s </w:t>
      </w:r>
      <w:r w:rsidRPr="006155D3">
        <w:rPr>
          <w:rFonts w:ascii="Times New Roman" w:eastAsia="Times New Roman" w:hAnsi="Times New Roman" w:cs="Times New Roman"/>
          <w:i/>
          <w:iCs/>
          <w:sz w:val="24"/>
          <w:szCs w:val="24"/>
          <w:lang w:val="en-US"/>
        </w:rPr>
        <w:t>de jure</w:t>
      </w:r>
      <w:r w:rsidRPr="006155D3">
        <w:rPr>
          <w:rFonts w:ascii="Times New Roman" w:eastAsia="Times New Roman" w:hAnsi="Times New Roman" w:cs="Times New Roman"/>
          <w:sz w:val="24"/>
          <w:szCs w:val="24"/>
          <w:lang w:val="en-US"/>
        </w:rPr>
        <w:t xml:space="preserve"> power as well as his </w:t>
      </w:r>
      <w:r w:rsidRPr="006155D3">
        <w:rPr>
          <w:rFonts w:ascii="Times New Roman" w:eastAsia="Times New Roman" w:hAnsi="Times New Roman" w:cs="Times New Roman"/>
          <w:i/>
          <w:iCs/>
          <w:sz w:val="24"/>
          <w:szCs w:val="24"/>
          <w:lang w:val="en-US"/>
        </w:rPr>
        <w:t>de facto</w:t>
      </w:r>
      <w:r w:rsidRPr="006155D3">
        <w:rPr>
          <w:rFonts w:ascii="Times New Roman" w:eastAsia="Times New Roman" w:hAnsi="Times New Roman" w:cs="Times New Roman"/>
          <w:sz w:val="24"/>
          <w:szCs w:val="24"/>
          <w:lang w:val="en-US"/>
        </w:rPr>
        <w:t xml:space="preserve"> ability to take such measures.</w:t>
      </w:r>
      <w:r>
        <w:rPr>
          <w:rFonts w:ascii="Times New Roman" w:eastAsia="Times New Roman" w:hAnsi="Times New Roman" w:cs="Times New Roman"/>
          <w:noProof/>
          <w:sz w:val="24"/>
          <w:szCs w:val="24"/>
        </w:rPr>
        <w:drawing>
          <wp:inline distT="0" distB="0" distL="0" distR="0">
            <wp:extent cx="151130" cy="142875"/>
            <wp:effectExtent l="19050" t="0" r="1270" b="0"/>
            <wp:docPr id="296" name="Imagen 2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[footnotes in original omitted; emphasis in original]</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sz w:val="24"/>
          <w:szCs w:val="24"/>
          <w:lang w:val="en-US"/>
        </w:rPr>
        <w:t>International Criminal Tribunal for Rwanda</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sz w:val="24"/>
          <w:szCs w:val="24"/>
          <w:lang w:val="en-US"/>
        </w:rPr>
        <w:t>In its judgment in the</w:t>
      </w:r>
      <w:r w:rsidRPr="006155D3">
        <w:rPr>
          <w:rFonts w:ascii="Times New Roman" w:eastAsia="Times New Roman" w:hAnsi="Times New Roman" w:cs="Times New Roman"/>
          <w:i/>
          <w:iCs/>
          <w:sz w:val="24"/>
          <w:szCs w:val="24"/>
          <w:lang w:val="en-US"/>
        </w:rPr>
        <w:t xml:space="preserve"> Akayesu case</w:t>
      </w:r>
      <w:r w:rsidRPr="006155D3">
        <w:rPr>
          <w:rFonts w:ascii="Times New Roman" w:eastAsia="Times New Roman" w:hAnsi="Times New Roman" w:cs="Times New Roman"/>
          <w:sz w:val="24"/>
          <w:szCs w:val="24"/>
          <w:lang w:val="en-US"/>
        </w:rPr>
        <w:t xml:space="preserve"> in 1998, the ICTR Trial Chamber stated:</w:t>
      </w:r>
      <w:r w:rsidRPr="006155D3">
        <w:rPr>
          <w:rFonts w:ascii="Times New Roman" w:eastAsia="Times New Roman" w:hAnsi="Times New Roman" w:cs="Times New Roman"/>
          <w:sz w:val="24"/>
          <w:szCs w:val="24"/>
          <w:lang w:val="en-US"/>
        </w:rPr>
        <w:br/>
        <w:t>Article 6 (3) [of the 1994 ICTR Statute] … does not necessarily require that the superior acted knowingly to render him criminally liable; it suffices that he had reason to know that his subordinates were about to commit or had committed a crime and failed to take the necessary or reasonable measures to prevent such acts or punish the perpetrators thereof. In a way, this is liability by omission or abstention.</w:t>
      </w:r>
      <w:r>
        <w:rPr>
          <w:rFonts w:ascii="Times New Roman" w:eastAsia="Times New Roman" w:hAnsi="Times New Roman" w:cs="Times New Roman"/>
          <w:noProof/>
          <w:sz w:val="24"/>
          <w:szCs w:val="24"/>
        </w:rPr>
        <w:drawing>
          <wp:inline distT="0" distB="0" distL="0" distR="0">
            <wp:extent cx="151130" cy="142875"/>
            <wp:effectExtent l="19050" t="0" r="1270" b="0"/>
            <wp:docPr id="297" name="Imagen 2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Article 6 (3) of the [1994 ICTR] Statute deals with the responsibility of the superior, or command responsibility. This principle, which derives from the principle of individual criminal responsibility as applied in the Nuremberg and Tokyo trials, was subsequently codified in Article 86 of the Additional Protocol I to the Geneva Conventions of 8 June 1977.</w:t>
      </w:r>
      <w:r>
        <w:rPr>
          <w:rFonts w:ascii="Times New Roman" w:eastAsia="Times New Roman" w:hAnsi="Times New Roman" w:cs="Times New Roman"/>
          <w:noProof/>
          <w:sz w:val="24"/>
          <w:szCs w:val="24"/>
        </w:rPr>
        <w:drawing>
          <wp:inline distT="0" distB="0" distL="0" distR="0">
            <wp:extent cx="151130" cy="142875"/>
            <wp:effectExtent l="19050" t="0" r="1270" b="0"/>
            <wp:docPr id="298" name="Imagen 2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488. There are varying views regarding the </w:t>
      </w:r>
      <w:r w:rsidRPr="006155D3">
        <w:rPr>
          <w:rFonts w:ascii="Times New Roman" w:eastAsia="Times New Roman" w:hAnsi="Times New Roman" w:cs="Times New Roman"/>
          <w:i/>
          <w:iCs/>
          <w:sz w:val="24"/>
          <w:szCs w:val="24"/>
          <w:lang w:val="en-US"/>
        </w:rPr>
        <w:t>Mens rea</w:t>
      </w:r>
      <w:r w:rsidRPr="006155D3">
        <w:rPr>
          <w:rFonts w:ascii="Times New Roman" w:eastAsia="Times New Roman" w:hAnsi="Times New Roman" w:cs="Times New Roman"/>
          <w:sz w:val="24"/>
          <w:szCs w:val="24"/>
          <w:lang w:val="en-US"/>
        </w:rPr>
        <w:t xml:space="preserve"> required for command responsibility. According to one view it derives from a legal rule of strict liability, that is, the superior is criminally responsible for acts committed by his subordinate, without it being necessary to prove the criminal intent of the superior. Another view holds that negligence which is so serious as to be tantamount to consent or criminal intent, is a lesser requirement …</w:t>
      </w:r>
      <w:r w:rsidRPr="006155D3">
        <w:rPr>
          <w:rFonts w:ascii="Times New Roman" w:eastAsia="Times New Roman" w:hAnsi="Times New Roman" w:cs="Times New Roman"/>
          <w:sz w:val="24"/>
          <w:szCs w:val="24"/>
          <w:lang w:val="en-US"/>
        </w:rPr>
        <w:br/>
        <w:t>489. The Chamber holds that it is necessary to recall that criminal intent is the moral element required for any crime and that, where the objective is to ascertain the individual criminal responsibility of a person accused of crimes falling within the jurisdiction of the Chamber, such as genocide, crimes against humanity and violations of Article 3 Common to the Geneva Conventions and of Additional Protocol II thereto, it is certainly proper to ensure that there has been malicious intent, or, at least, ensure that negligence was so serious as to be tantamount to acquiescence or even malicious intent.</w:t>
      </w:r>
      <w:r w:rsidRPr="006155D3">
        <w:rPr>
          <w:rFonts w:ascii="Times New Roman" w:eastAsia="Times New Roman" w:hAnsi="Times New Roman" w:cs="Times New Roman"/>
          <w:sz w:val="24"/>
          <w:szCs w:val="24"/>
          <w:lang w:val="en-US"/>
        </w:rPr>
        <w:br/>
        <w:t>490. As to whether the form of individual criminal responsibility referred to [in] Article 6 (3) of the Statute applies to persons in positions of both military and civilian authority, it should be noted that during the Tokyo trials, certain civilian authorities were convicted of war crimes under this principle. …</w:t>
      </w:r>
      <w:r w:rsidRPr="006155D3">
        <w:rPr>
          <w:rFonts w:ascii="Times New Roman" w:eastAsia="Times New Roman" w:hAnsi="Times New Roman" w:cs="Times New Roman"/>
          <w:sz w:val="24"/>
          <w:szCs w:val="24"/>
          <w:lang w:val="en-US"/>
        </w:rPr>
        <w:br/>
        <w:t>491. The Chamber … finds that in the case of civilians, the application of the principle of individual criminal responsibility, enshrined in Article 6 (3), to civilians remains contentious. Against this background, the Chamber holds that it is appropriate to assess on a case by case basis the power of authority actually devolved upon the Accused in order to determine whether or not he had the power to take all necessary and reasonable measures to prevent the commission of the alleged crimes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299" name="Imagen 2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In its judgment in the </w:t>
      </w:r>
      <w:r w:rsidRPr="006155D3">
        <w:rPr>
          <w:rFonts w:ascii="Times New Roman" w:eastAsia="Times New Roman" w:hAnsi="Times New Roman" w:cs="Times New Roman"/>
          <w:i/>
          <w:iCs/>
          <w:sz w:val="24"/>
          <w:szCs w:val="24"/>
          <w:lang w:val="en-US"/>
        </w:rPr>
        <w:t>Kayishema and Ruzindana case</w:t>
      </w:r>
      <w:r w:rsidRPr="006155D3">
        <w:rPr>
          <w:rFonts w:ascii="Times New Roman" w:eastAsia="Times New Roman" w:hAnsi="Times New Roman" w:cs="Times New Roman"/>
          <w:sz w:val="24"/>
          <w:szCs w:val="24"/>
          <w:lang w:val="en-US"/>
        </w:rPr>
        <w:t xml:space="preserve"> in 1999, the ICTR Trial Chamber </w:t>
      </w:r>
      <w:r w:rsidRPr="006155D3">
        <w:rPr>
          <w:rFonts w:ascii="Times New Roman" w:eastAsia="Times New Roman" w:hAnsi="Times New Roman" w:cs="Times New Roman"/>
          <w:sz w:val="24"/>
          <w:szCs w:val="24"/>
          <w:lang w:val="en-US"/>
        </w:rPr>
        <w:lastRenderedPageBreak/>
        <w:t>stated:</w:t>
      </w:r>
      <w:r w:rsidRPr="006155D3">
        <w:rPr>
          <w:rFonts w:ascii="Times New Roman" w:eastAsia="Times New Roman" w:hAnsi="Times New Roman" w:cs="Times New Roman"/>
          <w:sz w:val="24"/>
          <w:szCs w:val="24"/>
          <w:lang w:val="en-US"/>
        </w:rPr>
        <w:br/>
        <w:t>The question of responsibility arising from a duty to act, and any corresponding failure to execute such a duty is a question that is inextricably linked with the issue of command responsibility. This is because under Article 6(3) [of the 1994 ICTR Statute] a clear duty is imposed upon those in authority, with the requisite means at their disposal, to prevent or punish the commission of a crime.</w:t>
      </w:r>
      <w:r>
        <w:rPr>
          <w:rFonts w:ascii="Times New Roman" w:eastAsia="Times New Roman" w:hAnsi="Times New Roman" w:cs="Times New Roman"/>
          <w:noProof/>
          <w:sz w:val="24"/>
          <w:szCs w:val="24"/>
        </w:rPr>
        <w:drawing>
          <wp:inline distT="0" distB="0" distL="0" distR="0">
            <wp:extent cx="151130" cy="142875"/>
            <wp:effectExtent l="19050" t="0" r="1270" b="0"/>
            <wp:docPr id="300" name="Imagen 3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sz w:val="24"/>
          <w:szCs w:val="24"/>
          <w:lang w:val="en-US"/>
        </w:rPr>
        <w:t> </w:t>
      </w:r>
      <w:r w:rsidRPr="006155D3">
        <w:rPr>
          <w:rFonts w:ascii="Times New Roman" w:eastAsia="Times New Roman" w:hAnsi="Times New Roman" w:cs="Times New Roman"/>
          <w:sz w:val="24"/>
          <w:szCs w:val="24"/>
          <w:lang w:val="en-US"/>
        </w:rPr>
        <w:br/>
        <w:t xml:space="preserve">209. The principle of command responsibility is firmly established in international law, and its position as a principle of customary international law has recently been delineated by the ICTY [International Criminal Tribunal for the former Yugoslavia] in the [Judgement of 16 November 1998 in the </w:t>
      </w:r>
      <w:r w:rsidRPr="006155D3">
        <w:rPr>
          <w:rFonts w:ascii="Times New Roman" w:eastAsia="Times New Roman" w:hAnsi="Times New Roman" w:cs="Times New Roman"/>
          <w:i/>
          <w:iCs/>
          <w:sz w:val="24"/>
          <w:szCs w:val="24"/>
          <w:lang w:val="en-US"/>
        </w:rPr>
        <w:t>Mucić case</w:t>
      </w:r>
      <w:r w:rsidRPr="006155D3">
        <w:rPr>
          <w:rFonts w:ascii="Times New Roman" w:eastAsia="Times New Roman" w:hAnsi="Times New Roman" w:cs="Times New Roman"/>
          <w:sz w:val="24"/>
          <w:szCs w:val="24"/>
          <w:lang w:val="en-US"/>
        </w:rPr>
        <w:t>]. The clear recognition of this doctrine is now reflected in Article 28 of the [1998 ICC Statute].</w:t>
      </w:r>
      <w:r w:rsidRPr="006155D3">
        <w:rPr>
          <w:rFonts w:ascii="Times New Roman" w:eastAsia="Times New Roman" w:hAnsi="Times New Roman" w:cs="Times New Roman"/>
          <w:sz w:val="24"/>
          <w:szCs w:val="24"/>
          <w:lang w:val="en-US"/>
        </w:rPr>
        <w:br/>
        <w:t>210. The finding of responsibility under Article 6(1) of the [1994 ICTR] Statute does not prevent the Chamber from finding responsibility additionally, or in the alternative, under Article 6(3). The two forms of responsibility are not mutually exclusive …</w:t>
      </w:r>
      <w:r w:rsidRPr="006155D3">
        <w:rPr>
          <w:rFonts w:ascii="Times New Roman" w:eastAsia="Times New Roman" w:hAnsi="Times New Roman" w:cs="Times New Roman"/>
          <w:sz w:val="24"/>
          <w:szCs w:val="24"/>
          <w:lang w:val="en-US"/>
        </w:rPr>
        <w:br/>
      </w:r>
      <w:r w:rsidRPr="006155D3">
        <w:rPr>
          <w:rFonts w:ascii="Times New Roman" w:eastAsia="Times New Roman" w:hAnsi="Times New Roman" w:cs="Times New Roman"/>
          <w:b/>
          <w:bCs/>
          <w:i/>
          <w:iCs/>
          <w:sz w:val="24"/>
          <w:szCs w:val="24"/>
          <w:lang w:val="en-US"/>
        </w:rPr>
        <w:t>Responsibility of a Non-Military Commander</w:t>
      </w:r>
      <w:r w:rsidRPr="006155D3">
        <w:rPr>
          <w:rFonts w:ascii="Times New Roman" w:eastAsia="Times New Roman" w:hAnsi="Times New Roman" w:cs="Times New Roman"/>
          <w:b/>
          <w:bCs/>
          <w:i/>
          <w:iCs/>
          <w:sz w:val="24"/>
          <w:szCs w:val="24"/>
          <w:lang w:val="en-US"/>
        </w:rPr>
        <w:br/>
      </w:r>
      <w:r w:rsidRPr="006155D3">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t>216. … The Chamber accepts the submission made by the Prosecution that a civilian in a position of authority may be liable under the doctrine of command responsibility. The Chamber will turn, therefore, to consider in what instances a civilian can be considered a superior for the purposes of Article 6(3), and the requisite “degree of authority” necessary to establish individual criminal culpability pursuant to this doctrine of superior responsibility.</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b/>
          <w:bCs/>
          <w:i/>
          <w:iCs/>
          <w:sz w:val="24"/>
          <w:szCs w:val="24"/>
          <w:lang w:val="en-US"/>
        </w:rPr>
        <w:t>Concept of Superior: de Jure and de Facto Control</w:t>
      </w:r>
      <w:r w:rsidRPr="006155D3">
        <w:rPr>
          <w:rFonts w:ascii="Times New Roman" w:eastAsia="Times New Roman" w:hAnsi="Times New Roman" w:cs="Times New Roman"/>
          <w:b/>
          <w:bCs/>
          <w:i/>
          <w:iCs/>
          <w:sz w:val="24"/>
          <w:szCs w:val="24"/>
          <w:lang w:val="en-US"/>
        </w:rPr>
        <w:br/>
      </w:r>
      <w:r w:rsidRPr="006155D3">
        <w:rPr>
          <w:rFonts w:ascii="Times New Roman" w:eastAsia="Times New Roman" w:hAnsi="Times New Roman" w:cs="Times New Roman"/>
          <w:i/>
          <w:iCs/>
          <w:sz w:val="24"/>
          <w:szCs w:val="24"/>
          <w:lang w:val="en-US"/>
        </w:rPr>
        <w:t>217. This superior-subordinate relationship lies at the heart of the concept of command responsibility. The basis under which he assumes responsibility is that, if he knew or had reason to know that a crime may or had been committed, then he must take all measures necessary to prevent the crime or punish the perpetrators. If he does not take such actions that are within his power then, accordingly, he is culpable for those crimes committed …</w:t>
      </w:r>
      <w:r w:rsidRPr="006155D3">
        <w:rPr>
          <w:rFonts w:ascii="Times New Roman" w:eastAsia="Times New Roman" w:hAnsi="Times New Roman" w:cs="Times New Roman"/>
          <w:i/>
          <w:iCs/>
          <w:sz w:val="24"/>
          <w:szCs w:val="24"/>
          <w:lang w:val="en-US"/>
        </w:rPr>
        <w:br/>
        <w:t>218. In order to “pierce the veils of formalism” therefore, the Chamber must be prepared to look beyond the de jure powers enjoyed by the accused and consider the de facto authority he exercised within Kibuye during April to July 1994. The position expounded by the ILC [International Law Commission] that an individual should only be responsible for those crimes that were within his legitimate legal powers to prevent, does not assist the Trial Chamber in tackling the “realities of any given situation”. Therefore, in view of the chaotic situation that which prevailed in Rwanda in these pivotal months of 1994, the Chamber must be free to consider whether Kayishema had the requisite control over those committing the atrocities to establish individual criminal liability under Article 6(3), whether by de jure or de facto command.</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222. Article 6 of this Tribunal’s Statute is formulated in a broad manner. By including responsibility of all government officials, all superiors and all those acting pursuant to orders, it is clearly designed to ensure that those who are culpable for the commission of a crime under Articles 2 to 4 of the Statute cannot escape responsibility through legalistic formalities. Therefore, the Chamber is under a duty, pursuant to Article 6(3), to consider the responsibility of all individuals who exercised effective control, whether that control be de jure or de facto.</w:t>
      </w:r>
      <w:r w:rsidRPr="006155D3">
        <w:rPr>
          <w:rFonts w:ascii="Times New Roman" w:eastAsia="Times New Roman" w:hAnsi="Times New Roman" w:cs="Times New Roman"/>
          <w:i/>
          <w:iCs/>
          <w:sz w:val="24"/>
          <w:szCs w:val="24"/>
          <w:lang w:val="en-US"/>
        </w:rPr>
        <w:br/>
        <w:t xml:space="preserve">223. Where it can be shown that the accused was the de jure or de facto superior and that pursuant to his orders the atrocities were committed, then the Chamber considers that this must suffice to found command responsibility. The Chamber need only consider </w:t>
      </w:r>
      <w:r w:rsidRPr="006155D3">
        <w:rPr>
          <w:rFonts w:ascii="Times New Roman" w:eastAsia="Times New Roman" w:hAnsi="Times New Roman" w:cs="Times New Roman"/>
          <w:i/>
          <w:iCs/>
          <w:sz w:val="24"/>
          <w:szCs w:val="24"/>
          <w:lang w:val="en-US"/>
        </w:rPr>
        <w:lastRenderedPageBreak/>
        <w:t>whether he knew or had reason to know and failed to prevent or punish the commission of the crimes if he did not in fact order them. If the Chamber is satisfied beyond a reasonable doubt that the accused ordered the alleged atrocities then it becomes unnecessary to consider whether he tried to prevent; and irrelevant whether he tried to punish.</w:t>
      </w:r>
      <w:r w:rsidRPr="006155D3">
        <w:rPr>
          <w:rFonts w:ascii="Times New Roman" w:eastAsia="Times New Roman" w:hAnsi="Times New Roman" w:cs="Times New Roman"/>
          <w:i/>
          <w:iCs/>
          <w:sz w:val="24"/>
          <w:szCs w:val="24"/>
          <w:lang w:val="en-US"/>
        </w:rPr>
        <w:br/>
        <w:t>224. However, in all other circumstances, the Chamber must give full consideration to the elements of “knowledge” and “failure to prevent and punish” that are set out in Article 6(3) of the Statute.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b/>
          <w:bCs/>
          <w:i/>
          <w:iCs/>
          <w:sz w:val="24"/>
          <w:szCs w:val="24"/>
          <w:lang w:val="en-US"/>
        </w:rPr>
        <w:t>Knowledge of Subordinates’ Actions</w:t>
      </w:r>
      <w:r w:rsidRPr="006155D3">
        <w:rPr>
          <w:rFonts w:ascii="Times New Roman" w:eastAsia="Times New Roman" w:hAnsi="Times New Roman" w:cs="Times New Roman"/>
          <w:b/>
          <w:bCs/>
          <w:i/>
          <w:iCs/>
          <w:sz w:val="24"/>
          <w:szCs w:val="24"/>
          <w:lang w:val="en-US"/>
        </w:rPr>
        <w:br/>
      </w:r>
      <w:r w:rsidRPr="006155D3">
        <w:rPr>
          <w:rFonts w:ascii="Times New Roman" w:eastAsia="Times New Roman" w:hAnsi="Times New Roman" w:cs="Times New Roman"/>
          <w:i/>
          <w:iCs/>
          <w:sz w:val="24"/>
          <w:szCs w:val="24"/>
          <w:lang w:val="en-US"/>
        </w:rPr>
        <w:t>225. The mens rea in Article 6(3) requires that for a superior to be held criminally responsible for the conduct of his subordinates he must have known, or had reason to know, of their criminal activities …</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228. The Trial Chamber agrees with this view insofar that it does not demand a prima facie duty upon a non-military commander to be seized of every activity of all persons under his or her control. In light of the objective of Article 6(3) which is to ascertain the individual criminal responsibility for crimes as serious as genocide, crimes against humanity and violations of Common Article 3 to the Geneva Conventions and [the 1977 Additional Protocol II], the Chamber finds that the Prosecution must prove that the accused in this case either knew, or consciously disregarded information which clearly indicated or put him on notice that his subordinates had committed, or were about to commit acts in breach of Articles 2 to 4 of this Tribunal’s Statute.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b/>
          <w:bCs/>
          <w:i/>
          <w:iCs/>
          <w:sz w:val="24"/>
          <w:szCs w:val="24"/>
          <w:lang w:val="en-US"/>
        </w:rPr>
        <w:t>Effective Control: Failure to Prevent or Punish a Crime</w:t>
      </w:r>
      <w:r w:rsidRPr="006155D3">
        <w:rPr>
          <w:rFonts w:ascii="Times New Roman" w:eastAsia="Times New Roman" w:hAnsi="Times New Roman" w:cs="Times New Roman"/>
          <w:b/>
          <w:bCs/>
          <w:i/>
          <w:iCs/>
          <w:sz w:val="24"/>
          <w:szCs w:val="24"/>
          <w:lang w:val="en-US"/>
        </w:rPr>
        <w:br/>
      </w:r>
      <w:r w:rsidRPr="006155D3">
        <w:rPr>
          <w:rFonts w:ascii="Times New Roman" w:eastAsia="Times New Roman" w:hAnsi="Times New Roman" w:cs="Times New Roman"/>
          <w:i/>
          <w:iCs/>
          <w:sz w:val="24"/>
          <w:szCs w:val="24"/>
          <w:lang w:val="en-US"/>
        </w:rPr>
        <w:t>229. The principle of command responsibility must only apply to those superiors who exercise effective control over their subordinates. This material ability to control the actions of subordinates is the touchstone of individual responsibility under Article 6(3). …</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231. … The ability to prevent and punish a crime is a question that is inherently linked with the given factual situation. Thus, only in light of the findings which follow and an examination of the overall conditions in which Kayishema had to operate as Prefect, can the Chamber consider who were the subordinates to Kayishema from April to July 1994 and whether he exercised the requisite degree of control over them in order to conclude whether he is individually criminally responsible for the atrocities committed by them.</w:t>
      </w:r>
      <w:r>
        <w:rPr>
          <w:rFonts w:ascii="Times New Roman" w:eastAsia="Times New Roman" w:hAnsi="Times New Roman" w:cs="Times New Roman"/>
          <w:i/>
          <w:iCs/>
          <w:noProof/>
          <w:sz w:val="24"/>
          <w:szCs w:val="24"/>
        </w:rPr>
        <w:drawing>
          <wp:inline distT="0" distB="0" distL="0" distR="0">
            <wp:extent cx="151130" cy="142875"/>
            <wp:effectExtent l="19050" t="0" r="1270" b="0"/>
            <wp:docPr id="301" name="Imagen 3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its judgment in 2001, the Appeals Chamber stated regarding the responsibility of superiors for the crimes of subordinates:</w:t>
      </w:r>
      <w:r w:rsidRPr="006155D3">
        <w:rPr>
          <w:rFonts w:ascii="Times New Roman" w:eastAsia="Times New Roman" w:hAnsi="Times New Roman" w:cs="Times New Roman"/>
          <w:i/>
          <w:iCs/>
          <w:sz w:val="24"/>
          <w:szCs w:val="24"/>
          <w:lang w:val="en-US"/>
        </w:rPr>
        <w:br/>
        <w:t xml:space="preserve">Article 6(3) of the [1994 ICTR] Statute on “Individual criminal responsibility”, provides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failed to take the necessary and reasonable measures to prevent such acts or to punish the perpetrators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With respect to the nature of the superior-subordinate relationship, the Appeals Chamber refers to the relevant principles expressed in the Čelebići Appeal Judgement in relation to the identical provision in Article 7(3) of ICTY Statute, as follows: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 [A] superior is “one who possesses the power or authority in either a de jure or a de facto form to prevent a subordinate’s crime or to punish the perpetrators of the crime </w:t>
      </w:r>
      <w:r w:rsidRPr="006155D3">
        <w:rPr>
          <w:rFonts w:ascii="Times New Roman" w:eastAsia="Times New Roman" w:hAnsi="Times New Roman" w:cs="Times New Roman"/>
          <w:i/>
          <w:iCs/>
          <w:sz w:val="24"/>
          <w:szCs w:val="24"/>
          <w:lang w:val="en-US"/>
        </w:rPr>
        <w:lastRenderedPageBreak/>
        <w:t xml:space="preserve">after the crime is committed”. Thus, “[t]he power or authority to prevent or to punish does not solely arise from de jure authority conferred through official appointment.”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 “In determining questions of responsibility it is necessary to look to effective exercise of power or control and not to formal titles. […]. In general the possession of de jure power in itself may not suffice for the finding of command responsibility if it does not manifest in effective control, although a court may presume that possession of such power prima facie results in effective control unless proof to the contrary is produced. [T]he ability to exercise effective control is necessary for the establishment of de facto command or superior responsibility and […] the absence of formal appointment is not fatal to a finding of criminal responsibility, provided certain conditions are met.”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(iii) “The showing of effective control is required in cases involving both de jure and de facto superiors.”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This Appeals Chamber accepts these statements and notes that the Trial Chamber, in its Judgement, applied a similar approach when it found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[E]ven where a clear hierarchy based upon de jure authority is not present, this does not prevent the finding of command responsibility. Equally, as we shall examine below, the mere existence of de jure power does not always necessitate the imposition of command responsibility. The culpability that this doctrine gives rise to must ultimately be predicated upon the power that the superior exercises over his subordinates in a given situation.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Thus, “as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 . . This question turns on whether the superior had effective control over the persons committing the alleged crimes. The existence of effective control may be related to the question whether the accused had de jure authority. However, it need not be; such control or authority can have a de facto or a de jure character.</w:t>
      </w:r>
      <w:r>
        <w:rPr>
          <w:rFonts w:ascii="Times New Roman" w:eastAsia="Times New Roman" w:hAnsi="Times New Roman" w:cs="Times New Roman"/>
          <w:i/>
          <w:iCs/>
          <w:noProof/>
          <w:sz w:val="24"/>
          <w:szCs w:val="24"/>
        </w:rPr>
        <w:drawing>
          <wp:inline distT="0" distB="0" distL="0" distR="0">
            <wp:extent cx="151130" cy="142875"/>
            <wp:effectExtent l="19050" t="0" r="1270" b="0"/>
            <wp:docPr id="302" name="Imagen 3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its judgment in the Semanza case in 2003, the ICTR Trial Chamber considered the Tribunal’s jurisprudence with regard to superior criminal responsibility under Article 6(3) of the 1994 ICTR Statute:</w:t>
      </w:r>
      <w:r w:rsidRPr="006155D3">
        <w:rPr>
          <w:rFonts w:ascii="Times New Roman" w:eastAsia="Times New Roman" w:hAnsi="Times New Roman" w:cs="Times New Roman"/>
          <w:i/>
          <w:iCs/>
          <w:sz w:val="24"/>
          <w:szCs w:val="24"/>
          <w:lang w:val="en-US"/>
        </w:rPr>
        <w:br/>
        <w:t>399. Article 6(3) of the Statute concerns the criminal responsibility of a superior for failure to prevent or punish the criminal acts of his subordinates and is broadly applicable to all three crimes. Article 6(3) provides as follows: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failed to take the necessary and reasonable measures to prevent such acts or to punish the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400. Under Article 6(3), a civilian or military superior, with or without official status, may be held criminally responsible for crimes committed by subordinates under his effective control. The following three elements must be satisfied to establish this form of criminal responsibility: (a) the existence of a superior-subordinate relationship; (b) the superior’s knowledge or reason to know that the criminal act was about to be or had been committed; and (c) the superior’s failure to take necessary and reasonable measures to prevent the criminal act or punish the perpetrator. </w:t>
      </w:r>
      <w:r w:rsidRPr="006155D3">
        <w:rPr>
          <w:rFonts w:ascii="Times New Roman" w:eastAsia="Times New Roman" w:hAnsi="Times New Roman" w:cs="Times New Roman"/>
          <w:i/>
          <w:iCs/>
          <w:sz w:val="24"/>
          <w:szCs w:val="24"/>
          <w:lang w:val="en-US"/>
        </w:rPr>
        <w:br/>
        <w:t>a. Superior-Subordinate Relationship</w:t>
      </w:r>
      <w:r w:rsidRPr="006155D3">
        <w:rPr>
          <w:rFonts w:ascii="Times New Roman" w:eastAsia="Times New Roman" w:hAnsi="Times New Roman" w:cs="Times New Roman"/>
          <w:i/>
          <w:iCs/>
          <w:sz w:val="24"/>
          <w:szCs w:val="24"/>
          <w:lang w:val="en-US"/>
        </w:rPr>
        <w:br/>
        <w:t xml:space="preserve">401. A superior-subordinate relationship requires a formal or informal hierarchical relationship where a superior is senior to a subordinate. The relationship is not limited </w:t>
      </w:r>
      <w:r w:rsidRPr="006155D3">
        <w:rPr>
          <w:rFonts w:ascii="Times New Roman" w:eastAsia="Times New Roman" w:hAnsi="Times New Roman" w:cs="Times New Roman"/>
          <w:i/>
          <w:iCs/>
          <w:sz w:val="24"/>
          <w:szCs w:val="24"/>
          <w:lang w:val="en-US"/>
        </w:rPr>
        <w:lastRenderedPageBreak/>
        <w:t>to a strict military command style structure.</w:t>
      </w:r>
      <w:r w:rsidRPr="006155D3">
        <w:rPr>
          <w:rFonts w:ascii="Times New Roman" w:eastAsia="Times New Roman" w:hAnsi="Times New Roman" w:cs="Times New Roman"/>
          <w:i/>
          <w:iCs/>
          <w:sz w:val="24"/>
          <w:szCs w:val="24"/>
          <w:u w:val="single"/>
          <w:lang w:val="en-US"/>
        </w:rPr>
        <w:t xml:space="preserve"> </w:t>
      </w:r>
      <w:r w:rsidRPr="006155D3">
        <w:rPr>
          <w:rFonts w:ascii="Times New Roman" w:eastAsia="Times New Roman" w:hAnsi="Times New Roman" w:cs="Times New Roman"/>
          <w:i/>
          <w:iCs/>
          <w:sz w:val="24"/>
          <w:szCs w:val="24"/>
          <w:lang w:val="en-US"/>
        </w:rPr>
        <w:br/>
        <w:t>402. The superior must possess the power or authority, either de jure or de facto, to prevent or punish an offence committed by his subordinates. The Trial Chamber must be satisfied that the superior had effective control over the subordinates at the time the offence was committed. Effective control means the material ability to prevent the commission of the offence or to punish the principal offenders. This requirement is not satisfied by a simple showing of an accused individual’s general influence.</w:t>
      </w:r>
      <w:r w:rsidRPr="006155D3">
        <w:rPr>
          <w:rFonts w:ascii="Times New Roman" w:eastAsia="Times New Roman" w:hAnsi="Times New Roman" w:cs="Times New Roman"/>
          <w:i/>
          <w:iCs/>
          <w:sz w:val="24"/>
          <w:szCs w:val="24"/>
          <w:u w:val="single"/>
          <w:lang w:val="en-US"/>
        </w:rPr>
        <w:t xml:space="preserve"> </w:t>
      </w:r>
      <w:r w:rsidRPr="006155D3">
        <w:rPr>
          <w:rFonts w:ascii="Times New Roman" w:eastAsia="Times New Roman" w:hAnsi="Times New Roman" w:cs="Times New Roman"/>
          <w:i/>
          <w:iCs/>
          <w:sz w:val="24"/>
          <w:szCs w:val="24"/>
          <w:lang w:val="en-US"/>
        </w:rPr>
        <w:br/>
        <w:t>b. Mens Rea: Knowing or Having Reason to Know</w:t>
      </w:r>
      <w:r w:rsidRPr="006155D3">
        <w:rPr>
          <w:rFonts w:ascii="Times New Roman" w:eastAsia="Times New Roman" w:hAnsi="Times New Roman" w:cs="Times New Roman"/>
          <w:i/>
          <w:iCs/>
          <w:sz w:val="24"/>
          <w:szCs w:val="24"/>
          <w:lang w:val="en-US"/>
        </w:rPr>
        <w:br/>
        <w:t xml:space="preserve">403. The imposition of criminal responsibility under Article 6(3) requires proof that the superior knew or had reason to know that his subordinates were committing or had committed a crime within the jurisdiction of the Tribunal. </w:t>
      </w:r>
      <w:r w:rsidRPr="006155D3">
        <w:rPr>
          <w:rFonts w:ascii="Times New Roman" w:eastAsia="Times New Roman" w:hAnsi="Times New Roman" w:cs="Times New Roman"/>
          <w:i/>
          <w:iCs/>
          <w:sz w:val="24"/>
          <w:szCs w:val="24"/>
          <w:lang w:val="en-US"/>
        </w:rPr>
        <w:br/>
        <w:t xml:space="preserve">404. Criminal liability based on superior responsibility will not attach on the basis of strict liability simply because an individual is in a chain of command with authority over a given geographic area. While the individual’s position in the command hierarchy is considered a significant indicator that the superior knew or had reason to know about the actions of his subordinates, knowledge will not be presumed from the status alone. </w:t>
      </w:r>
      <w:r w:rsidRPr="006155D3">
        <w:rPr>
          <w:rFonts w:ascii="Times New Roman" w:eastAsia="Times New Roman" w:hAnsi="Times New Roman" w:cs="Times New Roman"/>
          <w:i/>
          <w:iCs/>
          <w:sz w:val="24"/>
          <w:szCs w:val="24"/>
          <w:lang w:val="en-US"/>
        </w:rPr>
        <w:br/>
        <w:t xml:space="preserve">405. A superior will be found to possess or will be imputed with the requisite mens rea sufficient to incur criminal responsibility where: (i) the superior had actual knowledge, established through direct or circumstantial evidence, that his subordinates were about to commit, were committing, or had committed, a crime under the Statute; or (ii) the superior possessed information providing notice of the risk of such offences by indicating the need for additional investigation in order to ascertain whether such offences were about to be committed, were being committed, or had been committed, by subordinates. </w:t>
      </w:r>
      <w:r w:rsidRPr="006155D3">
        <w:rPr>
          <w:rFonts w:ascii="Times New Roman" w:eastAsia="Times New Roman" w:hAnsi="Times New Roman" w:cs="Times New Roman"/>
          <w:i/>
          <w:iCs/>
          <w:sz w:val="24"/>
          <w:szCs w:val="24"/>
          <w:lang w:val="en-US"/>
        </w:rPr>
        <w:br/>
        <w:t>c. Failing to Prevent or Punish</w:t>
      </w:r>
      <w:r w:rsidRPr="006155D3">
        <w:rPr>
          <w:rFonts w:ascii="Times New Roman" w:eastAsia="Times New Roman" w:hAnsi="Times New Roman" w:cs="Times New Roman"/>
          <w:i/>
          <w:iCs/>
          <w:sz w:val="24"/>
          <w:szCs w:val="24"/>
          <w:lang w:val="en-US"/>
        </w:rPr>
        <w:br/>
        <w:t xml:space="preserve">406. A superior incurs criminal responsibility only for failing to take “necessary and reasonable measures” to prevent or punish crimes under the Statute committed by subordinates. These measures have been described as those that are within a superior’s “material possibility” even if the superior lacks the “formal legal competence” to take such measures. The degree of the superior’s effective control guides the assessment of whether the individual took reasonable measures to prevent, stop, or punish a subordinate’s crimes. </w:t>
      </w:r>
      <w:r w:rsidRPr="006155D3">
        <w:rPr>
          <w:rFonts w:ascii="Times New Roman" w:eastAsia="Times New Roman" w:hAnsi="Times New Roman" w:cs="Times New Roman"/>
          <w:i/>
          <w:iCs/>
          <w:sz w:val="24"/>
          <w:szCs w:val="24"/>
          <w:lang w:val="en-US"/>
        </w:rPr>
        <w:br/>
        <w:t>407. The obligation to prevent or punish is not a set of alternative options. If a superior is aware of the impending or on-going commission of a crime, necessary and reasonable measures must be taken to stop or prevent it. A superior with such knowledge and the material ability to prevent the commission of the crime does not discharge his responsibility by opting simply to punish his subordinates in the aftermath.</w:t>
      </w:r>
      <w:r>
        <w:rPr>
          <w:rFonts w:ascii="Times New Roman" w:eastAsia="Times New Roman" w:hAnsi="Times New Roman" w:cs="Times New Roman"/>
          <w:i/>
          <w:iCs/>
          <w:noProof/>
          <w:sz w:val="24"/>
          <w:szCs w:val="24"/>
        </w:rPr>
        <w:drawing>
          <wp:inline distT="0" distB="0" distL="0" distR="0">
            <wp:extent cx="151130" cy="142875"/>
            <wp:effectExtent l="19050" t="0" r="1270" b="0"/>
            <wp:docPr id="303" name="Imagen 3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its judgment in the Kajelijeli case in 2003, the ICTR Trial Chamber considered the matter of the accused’s individual criminal responsibility as a superior under Article 6(3) of the 1994 ICTR Statute:</w:t>
      </w:r>
      <w:r w:rsidRPr="006155D3">
        <w:rPr>
          <w:rFonts w:ascii="Times New Roman" w:eastAsia="Times New Roman" w:hAnsi="Times New Roman" w:cs="Times New Roman"/>
          <w:i/>
          <w:iCs/>
          <w:sz w:val="24"/>
          <w:szCs w:val="24"/>
          <w:lang w:val="en-US"/>
        </w:rPr>
        <w:br/>
        <w:t xml:space="preserve">770. Article 6(3) of the ICTR Statute addresses the criminal responsibility of a superior by virtue of his or her knowledge of the acts and omissions of subordinates and for failure to prevent, discipline, or punish the criminal acts of his or her subordinates in the preparation and execution of the crimes charged. The principle of superior responsibility, which derives from the principle of individual criminal responsibility as applied in the Nuremberg and Tokyo trials, was subsequently codified in Article 86 of the Additional Protocol I to the Geneva Conventions in 1977. Article 6(3) of the Statute, which is applicable to genocide, crimes against humanity, and serious violations of </w:t>
      </w:r>
      <w:r w:rsidRPr="006155D3">
        <w:rPr>
          <w:rFonts w:ascii="Times New Roman" w:eastAsia="Times New Roman" w:hAnsi="Times New Roman" w:cs="Times New Roman"/>
          <w:i/>
          <w:iCs/>
          <w:sz w:val="24"/>
          <w:szCs w:val="24"/>
          <w:lang w:val="en-US"/>
        </w:rPr>
        <w:lastRenderedPageBreak/>
        <w:t>Article 3 Common to the Geneva Conventions and Additional Protocol II, provides as follows: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failed to take the necessary and reasonable measures to prevent such acts or to punish the perpetrators thereof. [ICTR Statute, Article 6(3)].</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771. The jurisprudence of both the ICTR and the ICTY [International Criminal Tribunal for the former Yugoslavia] has recognised that a civilian or a military superior, with or without official status, may be held criminally responsible for offences committed by subordinates who are under his or her effective control. The chain of command between a superior and subordinates may be either direct or indirect.</w:t>
      </w:r>
      <w:r w:rsidRPr="006155D3">
        <w:rPr>
          <w:rFonts w:ascii="Times New Roman" w:eastAsia="Times New Roman" w:hAnsi="Times New Roman" w:cs="Times New Roman"/>
          <w:i/>
          <w:iCs/>
          <w:sz w:val="24"/>
          <w:szCs w:val="24"/>
          <w:lang w:val="en-US"/>
        </w:rPr>
        <w:br/>
        <w:t>772. The following three concurrent conditions must be satisfied before a superior may be held criminally responsible for the acts of his or her subordinates: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There existed a superior-subordinate relationship between the person against whom the charge is directed and the perpetrators of the offence;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failed to exercise effective control to prevent the criminal act or to punish the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Existence of a Superior-Subordinate Relationship</w:t>
      </w:r>
      <w:r w:rsidRPr="006155D3">
        <w:rPr>
          <w:rFonts w:ascii="Times New Roman" w:eastAsia="Times New Roman" w:hAnsi="Times New Roman" w:cs="Times New Roman"/>
          <w:i/>
          <w:iCs/>
          <w:sz w:val="24"/>
          <w:szCs w:val="24"/>
          <w:lang w:val="en-US"/>
        </w:rPr>
        <w:br/>
        <w:t>773. The test for assessing a superior-subordinate relationship, pursuant to Article 6(3), is the existence of a de jure or de facto hierarchical chain of authority, where the accused exercised effective control over his or her subordinates as of the time of the commission of the offence. The cognisable relationship is not restricted to military hierarchies, but may apply to civilian authorities as well.</w:t>
      </w:r>
      <w:r w:rsidRPr="006155D3">
        <w:rPr>
          <w:rFonts w:ascii="Times New Roman" w:eastAsia="Times New Roman" w:hAnsi="Times New Roman" w:cs="Times New Roman"/>
          <w:i/>
          <w:iCs/>
          <w:sz w:val="24"/>
          <w:szCs w:val="24"/>
          <w:lang w:val="en-US"/>
        </w:rPr>
        <w:br/>
        <w:t>774. By effective control, it is meant that the superior, whether a military commander or a civilian leader, must have possessed the material ability, either de jure or de facto, to prevent or to punish offences committed by subordinates. The test to assess a superior-subordinate relationship, in the words of the Appeals Chamber in Bagilishema[,] is: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Whether the accused exercised effective control over his or her subordinates; this is not limited to asking whether he or she had de jure authority. The ICTY Appeals Chamber held in the Čelebići Appeal Judgment that “[a]s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 [Bagilishema case, Judgment on Appeal, §. 61].</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Mens Rea Requirement That the Superior Knew or had Reason to Know</w:t>
      </w:r>
      <w:r w:rsidRPr="006155D3">
        <w:rPr>
          <w:rFonts w:ascii="Times New Roman" w:eastAsia="Times New Roman" w:hAnsi="Times New Roman" w:cs="Times New Roman"/>
          <w:i/>
          <w:iCs/>
          <w:sz w:val="24"/>
          <w:szCs w:val="24"/>
          <w:lang w:val="en-US"/>
        </w:rPr>
        <w:br/>
        <w:t>775. To hold a superior responsible for the criminal conduct of subordinates, the Chamber must be satisfied that the superior possessed the requisite mens rea, namely that he or she knew or had reason to know of such conduct.</w:t>
      </w:r>
      <w:r w:rsidRPr="006155D3">
        <w:rPr>
          <w:rFonts w:ascii="Times New Roman" w:eastAsia="Times New Roman" w:hAnsi="Times New Roman" w:cs="Times New Roman"/>
          <w:i/>
          <w:iCs/>
          <w:sz w:val="24"/>
          <w:szCs w:val="24"/>
          <w:lang w:val="en-US"/>
        </w:rPr>
        <w:br/>
        <w:t>776. A superior in a chain of hierarchical command with authority over a given geographical area will not be held strictly liable for subordinates’ crimes. While an individual’s hierarchical position may be a significant indicium that he or she knew or had reason to know about subordinates’ criminal acts, knowledge will not be presumed from status alone.</w:t>
      </w:r>
      <w:r w:rsidRPr="006155D3">
        <w:rPr>
          <w:rFonts w:ascii="Times New Roman" w:eastAsia="Times New Roman" w:hAnsi="Times New Roman" w:cs="Times New Roman"/>
          <w:i/>
          <w:iCs/>
          <w:sz w:val="24"/>
          <w:szCs w:val="24"/>
          <w:lang w:val="en-US"/>
        </w:rPr>
        <w:br/>
        <w:t>777. A superior is under a duty to act where he or she knew or had reason to know that subordinates had committed or were about to commit offences covered by Articles 2, 3, and 4 of the Statute.</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i/>
          <w:iCs/>
          <w:sz w:val="24"/>
          <w:szCs w:val="24"/>
          <w:lang w:val="en-US"/>
        </w:rPr>
        <w:lastRenderedPageBreak/>
        <w:t>778. In according with current jurisprudence on Article 6(3), a superior will be found to possess, or will be imputed with, the requisite mens rea sufficient to incur criminal liability, where, after weighing a number of indicia, the Chamber is satisfied that (1) the superior had actual knowledge, established through direct or circumstantial evidence, that his or her subordinates were committing or were about to commit, or had committed an offence under the jurisdiction of the Statute or (2) information was available to the superior which would have put him or her on notice of offences committed by subordinates.</w:t>
      </w:r>
      <w:r w:rsidRPr="006155D3">
        <w:rPr>
          <w:rFonts w:ascii="Times New Roman" w:eastAsia="Times New Roman" w:hAnsi="Times New Roman" w:cs="Times New Roman"/>
          <w:i/>
          <w:iCs/>
          <w:sz w:val="24"/>
          <w:szCs w:val="24"/>
          <w:lang w:val="en-US"/>
        </w:rPr>
        <w:br/>
        <w:t>Effective Control of Subordinates to Prevent or Punish Their Criminal Acts</w:t>
      </w:r>
      <w:r w:rsidRPr="006155D3">
        <w:rPr>
          <w:rFonts w:ascii="Times New Roman" w:eastAsia="Times New Roman" w:hAnsi="Times New Roman" w:cs="Times New Roman"/>
          <w:i/>
          <w:iCs/>
          <w:sz w:val="24"/>
          <w:szCs w:val="24"/>
          <w:lang w:val="en-US"/>
        </w:rPr>
        <w:br/>
        <w:t>779. Where it is demonstrated that an individual is a superior, pursuant to Article 6(3), with the requisite knowledge, then he or she will incur criminal responsibility only for failure to take “necessary and reasonable measures” to prevent or punish crimes subject to the Tribunal’s jurisdiction committed by subordinates. Such measures have been described as those within the “material possibility” of the superior, even should the superior lack the “formal legal competence” to take the measures. Thus a superior has a positive duty to act in those circumstances in which he or she has effective control over the subordinates, and the extent of an individual’s effective control, under the circumstances, will guide the assessment of whether he or she took reasonable measures to prevent, stop, or punish a subordinate’s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304" name="Imagen 3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84. The Appeals Chamber notes that the Trial Chamber applied the following test for establishing that a superior-subordinate relationship existed between the Appellant and the Interahamwe: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test for assessing a superior-subordinate relationship, pursuant to Article 6(3), is the existence of a de jure or de facto hierarchical chain of authority, where the accused exercised effective control over his or her subordinates as of the time of the commission of the offence. The cognisable relationship is not restricted to military hierarchies, but may apply to civilian authorities as well. [Trial Judgement, § 773]</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85. The Appeals Chamber recalls that a superior is one who possesses power or authority over subordinates either de jure or de facto; it is not necessary for that power or authority to arise from official appointment. </w:t>
      </w:r>
      <w:r w:rsidRPr="004D74E4">
        <w:rPr>
          <w:rFonts w:ascii="Times New Roman" w:eastAsia="Times New Roman" w:hAnsi="Times New Roman" w:cs="Times New Roman"/>
          <w:i/>
          <w:iCs/>
          <w:sz w:val="24"/>
          <w:szCs w:val="24"/>
          <w:lang w:val="en-US"/>
        </w:rPr>
        <w:t>Furthermore, it is settled both in ICTR and ICTY jurisprudence that the definition of a superior is not limited to military superiors; it also may extend to de jure or de facto civilian superiors. The Appeals Chamber finds that the Trial Chamber correctly incorporated these elements into its definition of a superior.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86. Furthermore, the Appeals Chamber recalls that a superior-subordinate relationship requires that it be found beyond reasonable doubt that the accused was able to exercise effective control over his or her subordinates. Under the effective control test, superiors, whether military or civilian, must have the material ability to prevent or punish criminal conduct. The Appeals Chamber further finds that the Trial Chamber correctly articulated this effective control test in its definition of the 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87. The Appeals Chamber rejects the Appellant’s argument that in order to establish “effective control” by a de facto civilian superior it is required that there be an additional finding that the superior exercised the trappings of de jure authority or that he or she exercised authority comparable to that applied in a military context. The Appeals Chamber recalls its holding in Bagilishema that under the “effective control” test, there is no requirement that the “control exercised by a civilian superior must be of the same nature as that exercised by a military commander.” Rather, “it is sufficient that, for one reason or another, the accused exercises the required “degree” of control over his subordinates, namely that of effective control.” Likewise, the Appeals Chamber </w:t>
      </w:r>
      <w:r w:rsidRPr="004D74E4">
        <w:rPr>
          <w:rFonts w:ascii="Times New Roman" w:eastAsia="Times New Roman" w:hAnsi="Times New Roman" w:cs="Times New Roman"/>
          <w:i/>
          <w:iCs/>
          <w:sz w:val="24"/>
          <w:szCs w:val="24"/>
          <w:lang w:val="en-US"/>
        </w:rPr>
        <w:lastRenderedPageBreak/>
        <w:t>finds that there is no requirement of a finding that a de facto civilian superior exercised the trappings of de jure authority generally. What is essential is that the de facto civilian superior possessed the requisite degree of effective control. Of course, evidence that a de facto civilian superior exercised control in a military fashion or similar in form to that exercised by de jure authorities may strengthen a finding that he or she exercised the requisite degree of effective control. However, the Appeals Chamber concludes that neither is necessary for establishing effective control.</w:t>
      </w:r>
      <w:r>
        <w:rPr>
          <w:rFonts w:ascii="Times New Roman" w:eastAsia="Times New Roman" w:hAnsi="Times New Roman" w:cs="Times New Roman"/>
          <w:i/>
          <w:iCs/>
          <w:noProof/>
          <w:sz w:val="24"/>
          <w:szCs w:val="24"/>
        </w:rPr>
        <w:drawing>
          <wp:inline distT="0" distB="0" distL="0" distR="0">
            <wp:extent cx="151130" cy="142875"/>
            <wp:effectExtent l="19050" t="0" r="1270" b="0"/>
            <wp:docPr id="305" name="Imagen 3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Bagilishema case in 2001, the ICTR Trial Chamber noted: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27. Article 6 defines the modalities of participation that give rise to individual responsibility for crimes under the [1994 ICTR]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 Responsibility under Article 6(3)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 Article 6(3) incorporates the customary law doctrine of command responsibility. This doctrine is predicated upon the power of the superior to control or influence the acts of subordinates. Failure by the superior to prevent, suppress, or punish crimes committed by subordinates is a dereliction of duty that may invoke individual criminal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38. The Chamber will now consider, in turn, the three essential elements of command responsibility, namely:</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 of effective control between the accused and the perpetrator of the crime;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knowledge, or constructive knowledge, of the accused that the crime was about to be, was being,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failure of the accused to take the necessary and reasonable measures to prevent or stop the crime, or to punish the perpetrator.</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1.2.1 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 A position of command is a necessary condition for the imposition of command responsibility, but the existence of such a position cannot be determined by reference to formal status alone. The factor that determines liability is the actual possession, or non-possession, of a position of command over subordinates. Therefore, although a person’s de jure position as a commander in certain circumstances may be sufficient to invoke responsibility under Article 6(3), ultimately it is the actual relationship of command (whether de jure or de facto) that is required for command responsibility. The decisive criterion in determining who is a superior [in] his or her ability, as demonstrated by duties and competence, to effectively control his or her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Command Responsibility of Civilian Superiors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40. Although the doctrine of command responsibility was applied originally in a military context, Article 6(3) contains no express limitation restricting the scope of this type of responsibility to military commanders or to situations arising under military command. However, the broadening of the case-law of command responsibility to include civilians, has proceeded with caution. In Akayesu, the Chamber stated that “the application of the principle of individual criminal responsibility, enshrined in Article 6(3), to civilians remains contentious.”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41. The first guilty verdict by an International Tribunal under the doctrine of command responsibility was entered in the ICTY’s Celebici case. Mucic, a civilian warden of a prison-camp, was held responsible for the ill-treatment of prisoners by camp guards. Although the accused held his post without a formal appointment, he manifested, according to the Trial Chamber, all the powers and functions of a formal appointment as commander. Since the Celebici judgement, the ICTY has found another civilian </w:t>
      </w:r>
      <w:r w:rsidRPr="004D74E4">
        <w:rPr>
          <w:rFonts w:ascii="Times New Roman" w:eastAsia="Times New Roman" w:hAnsi="Times New Roman" w:cs="Times New Roman"/>
          <w:i/>
          <w:iCs/>
          <w:sz w:val="24"/>
          <w:szCs w:val="24"/>
          <w:lang w:val="en-US"/>
        </w:rPr>
        <w:lastRenderedPageBreak/>
        <w:t>prison-camp warden guilty on the grounds of superior responsibility, and the ICTR has found two civilians, a préfet and a tea factory director, responsible as commanders for atrocities committed in Rwanda.</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42. While there can be no doubt, therefore, that the doctrine of command responsibility extends beyond the responsibility of military commanders to encompass civilian superiors in positions of authority, the Chamber agrees with the approach articulated by the International Law Commission, and, more recently, in Celebici, namely that the doctrine of command responsibility “extends to civilian superiors only to the extent that they exercise a degree of control over their subordinates which is similar to that of military commanders.”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43. According to the Trial Chamber in Celebici, for a civilian superior’s degree of control to be “similar to” that of a military commander, the control over subordinates must be “effective”, and the superior must, have the “material ability” to prevent and punish any offences. Furthermore, the exercise of de facto authority must be accompanied by “the trappings of the exercise of de jure authority”. The present Chamber concurs. The Chamber is of the view that these trappings of authority include, for example, awareness of a chain of command, the practice of issuing and obeying orders, and the expectation that insubordination may lead to disciplinary action. It is by these trappings that the law distinguishes civilian superiors from mere rabble-rousers or other persons of influence.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1.2.2 Knowing or Having Reason to Know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44. As to the mens rea, the standard that the doctrine of command responsibility establishes for superiors who fail to prevent or punish crimes committed by their subordinates is not one of strict liability. The U.S. Military Tribunal in the “High Command case” held: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“Criminality does not attach to every individual in this chain of command from that fact alone. There must be a personal dereliction. That can occur only where the act is directly traceable to him or where his failure to properly supervise his subordinates constitutes criminal negligence on his part.”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45. It follows that the essential element is not whether a superior had authority over a certain geographical area, but whether he or she had effective control over the individuals who committed the crimes, and whether he or she knew or had reason to know that the subordinates were committing or had committed a crime under the Statutes. Although an individual’s command position may be a significant indicator that he or she knew about the crimes, such knowledge may not be presumed on the basis of his or her position alone.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 It is the Chamber’s view that a superior possesses or will be imputed the mens rea required to incur criminal liability where: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he or she had actual knowledge, established through direct or circumstantial evidence, that his or her subordinates were about to commit, were committing, or had committed, a crime under the Statutes; or,</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he or she had information which put him or her on notice of the risk of such offences by indicating the need for additional investigation in order to ascertain whether such offences were about to be committed, were being committed, or had been committed, by subordinates; or,</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absence of knowledge is the result of negligence in the discharge of the superior’s duties; that is, where the superior failed to exercise the means available to him or her to learn of the offences, and under the circumstances he or she should have known.</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1.2.3 Failing to Prevent or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47. Article 6(3) states that a superior is expected to take “necessary and reasonable </w:t>
      </w:r>
      <w:r w:rsidRPr="004D74E4">
        <w:rPr>
          <w:rFonts w:ascii="Times New Roman" w:eastAsia="Times New Roman" w:hAnsi="Times New Roman" w:cs="Times New Roman"/>
          <w:i/>
          <w:iCs/>
          <w:sz w:val="24"/>
          <w:szCs w:val="24"/>
          <w:lang w:val="en-US"/>
        </w:rPr>
        <w:lastRenderedPageBreak/>
        <w:t>measures” to prevent or punish crimes under the Statutes. The Chamber understands “necessary” to be those measures required to discharge the obligation to prevent or punish in the circumstances prevailing at the time; and, “reasonable” to be those measures which the commander was in a position to take in the circumstances.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48. A superior may be held responsible for failing to take only such measures that were within his or her powers. Indeed, it is the commander’s degree of effective control – his or her material ability to control subordinates – which will guide the Chamber in determining whether he or she took reasonable measures to prevent, stop, or punish the subordinates’ crimes. Such a material ability must not be considered abstractly, but must be evaluated on a case-by-case basis, considering all the circumstances.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49. In this connection, the Chamber notes that the obligation to prevent or punish does not provide the Accused with alternative options. For example, where the Accused knew or had reason to know that his or her subordinates were about to commit crimes and failed to prevent them, the Accused cannot make up for the failure to act by punishing the subordinates afterwards.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50. The Chamber is of the view that, in the case of failure to punish, a superior’s responsibility may arise from his or her failure to create or sustain among the persons under his or her control, an environment of discipline and respect for the law. For example, in Celebici, the Trial Chamber cited evidence that Mucic, the accused prison warden, never punished guards, was frequently absent from the camp at night, and failed to enforce any instructions he did happen to give out. In Blaskic, the accused had led his subordinates to understand that certain types of illegal conduct were acceptable and would not result in punishment. Both Mucic and Blaskic tolerated indiscipline among their subordinates, causing them to believe that acts in disregard of the dictates of humanitarian law would go unpunished. It follows that command responsibility for failure to punish may be triggered by a broadly based pattern of conduct by a superior, which in effect encourages the commission of atrocities by his or her subordinates.</w:t>
      </w:r>
      <w:r>
        <w:rPr>
          <w:rFonts w:ascii="Times New Roman" w:eastAsia="Times New Roman" w:hAnsi="Times New Roman" w:cs="Times New Roman"/>
          <w:i/>
          <w:iCs/>
          <w:noProof/>
          <w:sz w:val="24"/>
          <w:szCs w:val="24"/>
        </w:rPr>
        <w:drawing>
          <wp:inline distT="0" distB="0" distL="0" distR="0">
            <wp:extent cx="151130" cy="142875"/>
            <wp:effectExtent l="19050" t="0" r="1270" b="0"/>
            <wp:docPr id="306" name="Imagen 3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50. Under Article 6(3), a commander or superior is the one who possesses the power or authority in either a de jure or a de facto form to prevent a subordinate’s crime or to punish the commission of a crime by a subordinate after the crime is committed”. The power or authority to prevent or to punish does not arise solely from a de jure authority conferred through official appointment. Hence, “as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 The effective control test applies to all superiors, whether de jure or de facto, military or civilian.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51. Indeed, it emerges from international case-law that the doctrine of superior responsibility is not limited to military superiors, but also extends to civilian superiors. In the Čelebići case, it was held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doctrine of superior responsibility extends to civilian superiors only to the extent that they exercise a degree of control over their subordinates which is similar to that of military commanders.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this respect, the Appeals Chamber notes that the Musema Trial Judgement, which took into consideration the Rwandan situation, pointed out that “it is appropriate to assess on a case-by-case basis the power of authority actually devolved on an accused to determine whether or not he possessed the power to take all necessary and reasonable measures to prevent the commission of the alleged crimes or to punish their perpetration.”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52. Hence, the establishment of civilian superior responsibility requires proof beyond reasonable doubt that the accused exercised effective control over his subordinates, in the sense that he exercised a degree of control over them which is similar to the degree of control of military commanders. It is not suggested that “effective control” will necessarily be exercised by a civilian superior and by a military commander in the same way, or that it may necessarily be established in the same way in relation to both a civilian superior and a military commander.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53. In the instant case, the Trial Chamber relied on the Čelebići Trial Judgement, which was affirmed by the ICTY Appeals Chamber, in holding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for a civilian superior’s degree of control to be “similar to” that of a military commander, the control over subordinates must be “effective”, and the superior must have the “material ability” to prevent and punish any offences. Furthermore, the exercise of de facto authority must be accompanied by the “the trappings of the exercise of de jure authority”. The present Chamber concurs. The Chamber is of the view that these trappings of authority include, for example, awareness of a chain of command, the practice of issuing and obeying orders, and the expectation that insubordination may lead to disciplinary action. It is by these trappings that the law distinguishes civilian superiors from mere rabble-rousers or other persons of influence.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54. The Trial Chamber also reiterated that a civilian superior will have exercised effective control over his or her subordinates in the concrete circumstances if both de facto control and the trappings of de jure authority are present and similar to those found in a military context. The Trial Chamber went further to point out that its approach was to consider the character of the de jure or de jure-like relationships (in French, “quasi-de jure”) between the Accused and his supposed subordinates, and then to determine if the Accused’s authority (whether real or contrived) was comparable to that exercised in a military context.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55. The Appeals Chamber holds the view that the Trial Chamber’s approach to the notion of “effective control” in relation to civilian superior was erroneous in law, to the extent that it suggested that the control exercised by a civilian superior must be of the same nature as that exercised by a military commander. As the Appeals Chamber has already stated, this is not the case. It is sufficient that, for one reason or another, the accused exercises the required “degree” of control over his subordinates, namely, that of effective control. However, as conceded by the Prosecution, this error did not affect the verdict as the Appeals Chamber is satisfied that the Accused did not possess the required mens rea. The Appeals Chamber therefore concludes that this error does not render the decision invalid.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 The Appeals Chamber notes the ambiguity of the expression a contrived de jure-like authority (in French, “autorité quasi-de jure factice”) and acknowledges that it is difficult to grasp the meaning thereof. In the context of paragraph 152 of the Judgement, the concept seems to form part of the reasoning used by the Trial Chamber in examining the de jure authority exercised by the Accused, but it can be interpreted in different ways. The Appeals Chamber reiterates that the case law of the International Tribunals makes it mandatory to use the effective control test for both de jure and de facto superiors. Creating intermediate levels of authority is unnecessary and it would impair the legal analysis of the criminal liability of a superior under Article 6(3) of the Statute, as well as heighten the confusion in identifying the various forms of authority and instituting effective control. Although this wording is inappropriate, the Appeals Chamber considers that it is of no consequence to the Judgement, given that it was not unreasonable to conclude from the evidence presented that the Accused was not liable under Article 6(3) of the Statute for the killings at the Trafipro roadblock.</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61. The Appeals Chamber is of the view that, when the Trial Chamber came to apply the test of “effective control” to the facts of the case, it made little allowance for the possibility that the Accused could be considered as a superior on the basis of a de facto power or authority over his or her subordinates. Furthermore, in paragraph 151 of the Judgement, the Trial Chamber wrongly held that both de facto and de jure authority need to be established before a superior can be found to exercise effective control over his or her subordinates. The Appeals Chamber reiterates that the test in all cases is whether the accused exercised effective control over his or her subordinates; this is not limited to asking whether he or she had de jure authority. The ICTY Appeals Chamber held in the Čelebići Appeal Judgement that “[a]s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w:t>
      </w:r>
      <w:r>
        <w:rPr>
          <w:rFonts w:ascii="Times New Roman" w:eastAsia="Times New Roman" w:hAnsi="Times New Roman" w:cs="Times New Roman"/>
          <w:i/>
          <w:iCs/>
          <w:noProof/>
          <w:sz w:val="24"/>
          <w:szCs w:val="24"/>
        </w:rPr>
        <w:drawing>
          <wp:inline distT="0" distB="0" distL="0" distR="0">
            <wp:extent cx="151130" cy="142875"/>
            <wp:effectExtent l="19050" t="0" r="1270" b="0"/>
            <wp:docPr id="307" name="Imagen 3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Niyitegeka case in 2003, the ICTR Trial Chamber considered the matter of the accused’s individual criminal responsibility as a superior under Article 6(3) of the 1994 ICTR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471. Article 6(3) provides that “[t]he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failed to take the necessary and reasonable measures to prevent such acts or to punish the perpetrators thereof.”</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472. In Musema, it was held that “a civilian superior may be charged with superior responsibility only where he has effective control, be it de jure or merely de facto, over the persons committing violations of international humanitarian law.” The Appeals Chamber in Delalic held that “[a]s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w:t>
      </w:r>
      <w:r>
        <w:rPr>
          <w:rFonts w:ascii="Times New Roman" w:eastAsia="Times New Roman" w:hAnsi="Times New Roman" w:cs="Times New Roman"/>
          <w:i/>
          <w:iCs/>
          <w:noProof/>
          <w:sz w:val="24"/>
          <w:szCs w:val="24"/>
        </w:rPr>
        <w:drawing>
          <wp:inline distT="0" distB="0" distL="0" distR="0">
            <wp:extent cx="151130" cy="142875"/>
            <wp:effectExtent l="19050" t="0" r="1270" b="0"/>
            <wp:docPr id="308" name="Imagen 3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Ntakirutimana case in 2003, the ICTR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Article 6(3) [of the 1994 ICTR Statute] provides that civilian leaders may incur criminal responsibility for acts committed by their subordinates or others under their “effective control”, although the control exercised need not be of the same nature as that exercised by a military commander.</w:t>
      </w:r>
      <w:r>
        <w:rPr>
          <w:rFonts w:ascii="Times New Roman" w:eastAsia="Times New Roman" w:hAnsi="Times New Roman" w:cs="Times New Roman"/>
          <w:i/>
          <w:iCs/>
          <w:noProof/>
          <w:sz w:val="24"/>
          <w:szCs w:val="24"/>
        </w:rPr>
        <w:drawing>
          <wp:inline distT="0" distB="0" distL="0" distR="0">
            <wp:extent cx="151130" cy="142875"/>
            <wp:effectExtent l="19050" t="0" r="1270" b="0"/>
            <wp:docPr id="309" name="Imagen 3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International Criminal Tribunal for Rwanda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Kamuhanda case in 2004, the ICTR Trial Chamber stated regarding individual criminal responsibility of superiors under Article 6(3) of the 1994 ICTR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601. Article 6(3) of the ICTR Statute addresses the criminal responsibility of a superior by virtue of his or her knowledge of the acts and omissions of subordinates and for failure to prevent, discipline, or punish the criminal acts of his or her subordinates in the preparation and execution of the crimes charged. The principle of superior responsibility, which derives from the principle of individual criminal responsibility as applied in the Nuremberg and Tokyo trials, was subsequently codified in Article 86 of the Additional Protocol I to the Geneva Conventions in 1977. Article 6(3) of the Statute, which is applicable to genocide, Crimes against Humanity, and serious violations of Article 3 Common to the Geneva Conventions and Additional Protocol II, provides as follows: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failed to take the necessary and reasonable measures to prevent such acts or to punish the perpetrators thereof.</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602. The jurisprudence of both the ICTR and the ICTY [International Criminal Tribunal for the former Yugoslavia] has recognised that a civilian or a military superior, with or without official status, may be held criminally responsible for offences committed by subordinates who are under his or her effective control. The chain of command between a superior and subordinates may be either direct or indirect.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603. The following three concurrent conditions must be satisfied before a superior may be held criminally responsible for the acts of his or her subordinates: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There existed a superior-subordinate relationship between the person against whom the charge is directed and the perpetrators of the offence;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failed to exercise effective control to prevent the criminal act or to punish the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604. The test for assessing a superior-subordinate relationship, pursuant to Article 6(3), is the existence of a de jure or de facto hierarchical chain of authority, where the accused exercised effective control over his or her subordinates as of the time of the commission of the offence. The cognisable relationship is not restricted to military hierarchies, but may apply to civilian authorities as well.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605. By effective control, it is meant that the superior, whether a military commander or a civilian leader, must have possessed the material ability, either de jure or de facto, to prevent or to punish offences committed by subordinates. The test to assess a superior-subordinate relationship, in the words of the Appeals Chamber in Bagilishema, is: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whether the accused exercised effective control over his or her subordinates; this is not limited to asking whether he or she had de jure authority. The ICTY Appeals Chamber held in the Celebici Appeal Judgment that “[a]s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606. To hold a superior responsible for the criminal conduct of subordinates, the Chamber must be satisfied that the superior possessed the requisite mens rea, namely, that he or she knew or had reason to know of such conduct.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607. A superior in a chain of hierarchical command with authority over a given geographical area will not be held strictly liable for subordinates’ crimes. While an individual’s hierarchical position may be a significant indicium that he or she knew or had reason to know about subordinates’ criminal acts, knowledge will not be presumed from status alone.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608. A superior is under a duty to act where he or she knew or had reason to know that subordinates had committed or were about to commit offences covered by Articles 2, 3, and 4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609. In accordance with current jurisprudence related to Article 6(3), a superior will be has found to possess, or will be imputed with, the requisite mens rea sufficient to incur criminal liability, where, after weighing a number of indicia, the Chamber is satisfied </w:t>
      </w:r>
      <w:r w:rsidRPr="004D74E4">
        <w:rPr>
          <w:rFonts w:ascii="Times New Roman" w:eastAsia="Times New Roman" w:hAnsi="Times New Roman" w:cs="Times New Roman"/>
          <w:i/>
          <w:iCs/>
          <w:sz w:val="24"/>
          <w:szCs w:val="24"/>
          <w:lang w:val="en-US"/>
        </w:rPr>
        <w:lastRenderedPageBreak/>
        <w:t>that (1) the superior had actual knowledge, established through direct or circumstantial evidence, that his or her subordinates were committing or were about to commit, or had committed, an offence under the jurisdiction of the Statute, or, (2) information was available to the superior which would have put him or her on notice of offences committed by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610. Where it is demonstrated that an individual is a superior, pursuant to Article 6(3), with the requisite knowledge, then he or she will incur criminal responsibility only for failure to take “necessary and reasonable measures” to prevent or punish crimes subject to the Tribunal’s jurisdiction committed by subordinates. Such measures have been described as those within the “material possibility” of the superior, even though the superior lacked the “formal legal competence” to take these measures. Thus a superior has a duty to act in those circumstances in which he or she has effective control over subordinates, and the extent of an individual’s effective control, under the circumstances, will guide the assessment of whether he or she took reasonable measures to prevent, stop, or punish a subordinate’s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310" name="Imagen 3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Appeals Chamber notes that superior responsibility under Article 6(3) of the Statute is a distinct mode of responsibility from individual responsibility for ordering a crime under Article 6(1) of the Statute. Superior responsibility under Article 6(3) of the Statute requires that the accused exercise “effective control” over his subordinates to the extent that he can prevent them from committing crimes or punish them after they committed the crimes. To be held responsible under Article 6(1) of the Statute for ordering a crime, on the contrary, it is sufficient that the accused have authority over the perpetrator of the crime, and that his order have a direct and substantial effect on the commission of the illegal act. In the Semanza Appeal Judgement, the Appeals Chamber made clear that no formal superior-subordinate relationship is required.</w:t>
      </w:r>
      <w:r>
        <w:rPr>
          <w:rFonts w:ascii="Times New Roman" w:eastAsia="Times New Roman" w:hAnsi="Times New Roman" w:cs="Times New Roman"/>
          <w:i/>
          <w:iCs/>
          <w:noProof/>
          <w:sz w:val="24"/>
          <w:szCs w:val="24"/>
        </w:rPr>
        <w:drawing>
          <wp:inline distT="0" distB="0" distL="0" distR="0">
            <wp:extent cx="151130" cy="142875"/>
            <wp:effectExtent l="19050" t="0" r="1270" b="0"/>
            <wp:docPr id="311" name="Imagen 3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International Criminal Tribunal for Rwanda</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Imanishimwe case in 2004, the ICTR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627. The following three elements must be proven to hold a civilian or a military superior criminally responsible pursuant to Article 6(3) [of the 1994 ICTR Statute] for crimes committed by subordinates: (a) the existence of a superior-subordinate relationship; (b) the superior’s knowledge or reason to know that the criminal acts were about to be or had been committed by his subordinates; and (c) the superior’s failure to take necessary and reasonable measures to prevent such criminal acts or to punish the perpetrator.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628. The Chamber stated in the Semanza Judgement that a superior-subordinate relationship is established by showing a formal or informal hierarchical relationship. The superior must have possessed the power or the authority, de jure or de facto, to prevent or punish an offence committed by his subordinates. The superior must have had effective control over the subordinates at the time the offence was committed. Effective control means the material ability to prevent the commission of the offence or to punish the principal offenders. This requirement is not satisfied by a showing of general influence on the part of the accused.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629. A superior will be found to have possessed or will be imputed with the requisite mens rea sufficient to incur criminal responsibility provided that: (i) the superior had actual knowledge, established through direct or circumstantial evidence, that his subordinates were about to commit, were committing, or had committed, a crime under the statute; or (ii) the superior possessed information providing notice of the risk of such offences by indicating the need for additional investigations in order to ascertain whether such offences were about to be committed, were being committed, or had been </w:t>
      </w:r>
      <w:r w:rsidRPr="004D74E4">
        <w:rPr>
          <w:rFonts w:ascii="Times New Roman" w:eastAsia="Times New Roman" w:hAnsi="Times New Roman" w:cs="Times New Roman"/>
          <w:i/>
          <w:iCs/>
          <w:sz w:val="24"/>
          <w:szCs w:val="24"/>
          <w:lang w:val="en-US"/>
        </w:rPr>
        <w:lastRenderedPageBreak/>
        <w:t>committed by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630. A superior may incur responsibility only for having failed to take “necessary and reasonable measures” to prevent or punish a crime under the Statute committed by subordinates. The degree of the superior’s effective control guides the assessment of whether the individual took reasonable measures to prevent, stop, or punish a subordinates’ crime.</w:t>
      </w:r>
      <w:r>
        <w:rPr>
          <w:rFonts w:ascii="Times New Roman" w:eastAsia="Times New Roman" w:hAnsi="Times New Roman" w:cs="Times New Roman"/>
          <w:i/>
          <w:iCs/>
          <w:noProof/>
          <w:sz w:val="24"/>
          <w:szCs w:val="24"/>
        </w:rPr>
        <w:drawing>
          <wp:inline distT="0" distB="0" distL="0" distR="0">
            <wp:extent cx="151130" cy="142875"/>
            <wp:effectExtent l="19050" t="0" r="1270" b="0"/>
            <wp:docPr id="312" name="Imagen 3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[W]here an accused is charged with responsibility pursuant to Article 6(3) of the [1994 ICTR] Statute, the material facts which must be pleaded in the indictment are: (1) that the accused is the superior of subordinates sufficiently identified over whom he had effective control – in the sense of a material ability to prevent or punish criminal conduct – and for whose acts he is alleged to be responsible; (2) the criminal conduct of those others for whom he is alleged to be responsible; (3) the conduct of the accused by which he may be found to have known or had reason to know that the crimes were about to be committed or had been committed by his subordinate; and (4) the conduct of the accused by which he may be found to have failed to take the necessary and reasonable measures to prevent such acts or to punish the persons who committed them.</w:t>
      </w:r>
      <w:r>
        <w:rPr>
          <w:rFonts w:ascii="Times New Roman" w:eastAsia="Times New Roman" w:hAnsi="Times New Roman" w:cs="Times New Roman"/>
          <w:i/>
          <w:iCs/>
          <w:noProof/>
          <w:sz w:val="24"/>
          <w:szCs w:val="24"/>
        </w:rPr>
        <w:drawing>
          <wp:inline distT="0" distB="0" distL="0" distR="0">
            <wp:extent cx="151130" cy="142875"/>
            <wp:effectExtent l="19050" t="0" r="1270" b="0"/>
            <wp:docPr id="313" name="Imagen 3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Ndindiliyimana case before the ICTR in 2004, the accused, senior members of the Forces armées rwandaises (FAR), were charged, inter alia, with murder as a violation of Article 3 common to the 1949 Geneva Conventions and the 1977 Additional Protocol II, punishable under Article 4(a) of the 1994 ICTR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14" name="Imagen 3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Karemera case before the ICTR in 2005, the accused, Édouard Karemera, Mathieu Ngirumpatse and Joseph Nzirorera, three senior members of the Mouvement républicain national pour le développement et la démocratie (MRND), were charged, inter alia, with genocide (punishable under Article 2 of the 1994 ICTR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15" name="Imagen 3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crimes against humanity, (punishable under Article 3 of the 1994 ICTR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16" name="Imagen 3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and serious violations of common Article 3 of the 1949 Geneva Conventions and of the 1977 Additional Protocol II (punishable under Article 4 of the 1994 ICTR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17" name="Imagen 3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for their role in a campaign to destroy the Tutsi population in Rwanda.</w:t>
      </w:r>
      <w:r>
        <w:rPr>
          <w:rFonts w:ascii="Times New Roman" w:eastAsia="Times New Roman" w:hAnsi="Times New Roman" w:cs="Times New Roman"/>
          <w:i/>
          <w:iCs/>
          <w:noProof/>
          <w:sz w:val="24"/>
          <w:szCs w:val="24"/>
        </w:rPr>
        <w:drawing>
          <wp:inline distT="0" distB="0" distL="0" distR="0">
            <wp:extent cx="151130" cy="142875"/>
            <wp:effectExtent l="19050" t="0" r="1270" b="0"/>
            <wp:docPr id="318" name="Imagen 3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17. [The accused] while holding positions of superior authority, are … individually criminally responsible under Article 6(3) of the [1994 ICTR Statute] for the acts of their subordinates in the crimes charged in this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19. [The accused] knew or had reason to know that their subordinates were about to commit or had committed the crimes charged in this indictment. …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20. [The accused] had the material capacity to halt or prevent the crimes or to punish or sanction the subordinates that committed them. …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21. [The accused] failed to take the necessary and reasonable measures to prevent the crimes committed by their subordinates or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319" name="Imagen 3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Gacumbitsi case in 2006, the ICTR Appeals Chamber clarified with regard to the requirements of individual criminal responsibility of superiors under Article 6(3) of the 1994 ICTR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 superior “possesses power or authority over subordinates either de jure or de facto; it is not necessary for that power or authority to arise from official appointment.” To establish liability under Article 6(3) of the Statute, the following must be shown:</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A crime over which the Tribunal has jurisdiction was committed;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accused had effective control over the perpetrators of the crime (i.e., the material ability to prevent or punish the commission of crimes);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accused knew or had reason to know that the crime was going to be committed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 The accused did not take necessary and reasonable measures to prevent or punish the commission of the crime by a subordinate.</w:t>
      </w:r>
      <w:r>
        <w:rPr>
          <w:rFonts w:ascii="Times New Roman" w:eastAsia="Times New Roman" w:hAnsi="Times New Roman" w:cs="Times New Roman"/>
          <w:i/>
          <w:iCs/>
          <w:noProof/>
          <w:sz w:val="24"/>
          <w:szCs w:val="24"/>
        </w:rPr>
        <w:drawing>
          <wp:inline distT="0" distB="0" distL="0" distR="0">
            <wp:extent cx="151130" cy="142875"/>
            <wp:effectExtent l="19050" t="0" r="1270" b="0"/>
            <wp:docPr id="320" name="Imagen 3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Muvunyi case in 2006, the ICTR Trial Chamber noted: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As stated by the Appeals Chamber in the Celebici Judgement, the absence of a formal appointment is not fatal to a finding of criminal responsibility, provided it can be shown that the superior exercised effective control over the actions of his subordinates. [ICTY, Mucić case, Judgement on Appeal, 20 February 2001, § 196] For this purpose, effective control reflects the superior’s material ability to prevent or punish the commission of offences by his subordinates and it could arise from both a de jure and a de facto position of authority. Where de jure authority is proved, a court may presume the existence of effective control on a prima facie basis. Such a presumption can, however, be rebutted by showing that the superior had ceased to possess the necessary powers of control over subordinates who actually committed the crimes. [ICTY, Mucić case, Judgement on Appeal, 20 February 2001, § 197].</w:t>
      </w:r>
      <w:r>
        <w:rPr>
          <w:rFonts w:ascii="Times New Roman" w:eastAsia="Times New Roman" w:hAnsi="Times New Roman" w:cs="Times New Roman"/>
          <w:i/>
          <w:iCs/>
          <w:noProof/>
          <w:sz w:val="24"/>
          <w:szCs w:val="24"/>
        </w:rPr>
        <w:drawing>
          <wp:inline distT="0" distB="0" distL="0" distR="0">
            <wp:extent cx="151130" cy="142875"/>
            <wp:effectExtent l="19050" t="0" r="1270" b="0"/>
            <wp:docPr id="321" name="Imagen 3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459. The principle of individual responsibility for serious violations of international criminal law is one of the key indicators of a paradigm shift from a view of international law as law exclusively made for and by States, to a body of rules with potential application to individuals. It is now recognized that the principle of individual responsibility for serious violations of international law, affirmed in Article 6(1) of the [1994 ICTR] Statute, is reflective of customary international law. [ICTY, Mucić case, Judgement, 16 November 1998, § 321 and sources cited therein] Indeed, it has been established since the Versailles Treaty and especially the Nuremberg and Tokyo trials, that crimes under international law are physically committed by individuals and that irrespective of their official status, only by punishing such individuals for their criminal conduct, can the fundamental values of international law have meaning and efficacy.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Article 6(3)</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473. Article 6(3) of the Statute lays down the principle of superior or command responsibility which is well established in customary international law and specifically mentioned in the Geneva Conventions on international humanitarian law. While the principle was initially applied to the responsibility of military commanders for the criminal actions of their subordinates during war (hence the term “command responsibility”), it is now clearly established that both civilian and military superiors may, under appropriate circumstances, be held responsible for the actions of those under their authority or command. [Footnote 673: “Akayesu, Judgement (TC), para. 491 suggesting that the application of superior responsibility to civilians is contentious. However, in Kayishema and Ruzindana, Musema, and Kajelijeli, the ICTR held civilian superiors responsible for the actions of their subordinates under Article 6(3). See also the Celebici Case, para. 378 where the ICTY Trial Chamber stated that “… the doctrine of superior responsibility extends to civilian superiors only to the extent that they exercise a degree of control over their subordinates which is similar to that of military commander.’”] In Kayishema and Ruzindana, the Trial Chamber concurred with the distinction drawn in the Rome Statute of the International Criminal Court (the “ICC”) with respect to the mental element required for superior responsibility of military commanders vis-à-vis other superiors. The Chamber in that case noted that Article 28 of the Statute of the ICC imposes a more active duty on military superiors to control the activities of subordinates under their effective command and control where they “knew, or owing to the circumstances at the time, should have known that the forces were committing or about to commit such crimes.” Under such circumstances, the military commander is under an obligation to take all necessary and reasonable measures to </w:t>
      </w:r>
      <w:r w:rsidRPr="004D74E4">
        <w:rPr>
          <w:rFonts w:ascii="Times New Roman" w:eastAsia="Times New Roman" w:hAnsi="Times New Roman" w:cs="Times New Roman"/>
          <w:i/>
          <w:iCs/>
          <w:sz w:val="24"/>
          <w:szCs w:val="24"/>
          <w:lang w:val="en-US"/>
        </w:rPr>
        <w:lastRenderedPageBreak/>
        <w:t>prevent or punish criminal acts committed by his subordinates. On the other hand, non-military superiors are only expected to have known or consciously disregarded information which clearly indicated that their subordinates were committing or about to commit crimes. The Chamber agrees with this distinction and notes that the nature of military service and discipline is consistent with the expectation that superior military officers have a more active duty to inquire about the possible criminal behaviour of men under their command and to prevent or punish such behaviour when it occurs.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474. Irrespective of the civilian or military status of the Accused, the Prosecution must prove four essential elements in order to establish liability under Article 6(3). It must lead evidence that proves beyond reasonable doubt that the Accused was the superior of the actual perpetrators of an offence punishable under the Statute; that he knew or had reason to know that a criminal act was about to be or had been committed; that he had effective control over the perpetrators in the sense of the material ability to prevent or punish their crimes; and that he did not take necessary and reasonable measures to prevent or punish the commission of the crime.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475. While the formal legal status of the Accused may be relevant to the determination of effective control, the power to prevent or punish cannot be inferred solely on the basis of the existence of formal status. Indeed, as stated by the Appeals Chamber in the Kajelijeli Judgement, power or authority for the purposes of Article 6(3) responsibility can be attributed to superiors who hold their positions either on a de jure or a de facto basis. For this purpose, effective control reflects the superior’s material ability to prevent or punish the commission of offences by his subordinates. Where de jure authority is proved, a court may presume the existence of effective control on a prima facie basis. Such a presumption can, however, be rebutted by showing that the superior had ceased to possess the necessary powers of control over subordinates who actually committed the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322" name="Imagen 3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Bagaragaza case before the ICTR in 2006, the accused was a senior public official, who was director general of the government office controlling the Rwandan tea industry, a member of the prefectural committee of the political party Mouvement républicain national pour la démocratie et le développement (MRND) in Gisenyi prefecture, and honorary president of the Interahamwe (MRND youth wing) militia in Kabuga in Kigali-rural prefecture.</w:t>
      </w:r>
      <w:r>
        <w:rPr>
          <w:rFonts w:ascii="Times New Roman" w:eastAsia="Times New Roman" w:hAnsi="Times New Roman" w:cs="Times New Roman"/>
          <w:i/>
          <w:iCs/>
          <w:noProof/>
          <w:sz w:val="24"/>
          <w:szCs w:val="24"/>
        </w:rPr>
        <w:drawing>
          <wp:inline distT="0" distB="0" distL="0" distR="0">
            <wp:extent cx="151130" cy="142875"/>
            <wp:effectExtent l="19050" t="0" r="1270" b="0"/>
            <wp:docPr id="323" name="Imagen 3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Pursuant to Article 6(3) of the Statute, the Accused …</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is responsible for killings and causing violence to health and physical or mental</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well-being as serious violations of Article 3 common to the Geneva Conventions</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of 1949 and Additional Protocol II of 1977 thereto because specific criminal acts</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were committed by subordinates under the effective control of the Accused and</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the Accused knew or had reason to know that such subordinates were about to</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commit such acts before they were committed or that such subordinates had</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committed such acts and the Accused failed to take necessary or reasonable</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measures to prevent such acts or to punish the perpetrators thereof. These</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subordinates included directors and other employees of the OCIR/Thé factories,</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 xml:space="preserve">including the director of the Rubaya tea factory … </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employees</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 the chief of the tea</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plantation at the Nyabihu tea factory …; members of the Interahamwe; and other unknown persons …</w:t>
      </w:r>
      <w:r>
        <w:rPr>
          <w:rFonts w:ascii="Times New Roman" w:eastAsia="Times New Roman" w:hAnsi="Times New Roman" w:cs="Times New Roman"/>
          <w:i/>
          <w:iCs/>
          <w:noProof/>
          <w:sz w:val="24"/>
          <w:szCs w:val="24"/>
        </w:rPr>
        <w:drawing>
          <wp:inline distT="0" distB="0" distL="0" distR="0">
            <wp:extent cx="151130" cy="142875"/>
            <wp:effectExtent l="19050" t="0" r="1270" b="0"/>
            <wp:docPr id="324" name="Imagen 3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on appeal in the Nahimana case in 2007, the ICTR Appeals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484. The Appeals Chamber recalls that, for the liability of an accused to be established under Article 6(3) of the [1994 ICTR] Statute, the Prosecutor has to show that: (1) a crime over which the Tribunal has jurisdiction was committed; (2) the accused was a de jure or de facto superior of the perpetrator of the crime and had effective control over </w:t>
      </w:r>
      <w:r w:rsidRPr="004D74E4">
        <w:rPr>
          <w:rFonts w:ascii="Times New Roman" w:eastAsia="Times New Roman" w:hAnsi="Times New Roman" w:cs="Times New Roman"/>
          <w:i/>
          <w:iCs/>
          <w:sz w:val="24"/>
          <w:szCs w:val="24"/>
          <w:lang w:val="en-US"/>
        </w:rPr>
        <w:lastRenderedPageBreak/>
        <w:t>this subordinate ( i.e., he had the material ability to prevent or punish commission of the crime by his subordinate); (3) the accused knew or had reason to know that the crime was going to be committed or had been committed; and (4) the accused did not take necessary and reasonable measures to prevent or punish the commission of the crime by a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485. The Appeals Chamber adds that, for the purposes of Article 6(3) of the Statute, the “commission” of a crime by a subordinate must be understood in a broad sense. In the Blagojević and Jokić Appeal Judgement, the ICTY Appeals Chamber confirmed that an accused may be held responsible as a superior not only where a subordinate committed a crime referred to in the Statute of ICTY, but also where a subordinate planned, instigated or otherwise aided and abetted in the planning, preparation or execution of such a crime: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As a threshold matter, the Appeals Chamber confirms that superior responsibility under Article 7(3) of the Statute encompasses all forms of criminal conduct by subordinates, not only the “committing” of crimes in the restricted sense of the term, but all other modes of participation under Article 7(1). The Appeals Chamber notes that the term “commit” is used throughout the Statute in a broad sense, encompassing all modes of responsibility covered by Article 7(1) and that such a construction is clearly manifest in Article 29 (cooperation and judicial assistance) of the Statute, referring to States’ obligation to cooperate with the International Tribunal “in the investigation and prosecution of persons accused of committing serious violations of international humanitarian law.”</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Appeals Chamber has previously determined that criminal responsibility under Article 7(3) is based primarily on Article 86(2) of Protocol I. Accordingly, the meaning of “commit”, as used in Article 7(3) of the Statute, necessarily tracks the term’s broader and more ordinary meaning, as employed in Protocol I. The object and purpose of Protocol I, as reflected in its preamble, is to “reaffirm and develop the provisions protecting the victims of armed conflicts and to supplement measures intended to reinforce their application”. The preamble of Protocol I adds further that “the provisions of the Geneva Conventions of 12 August 1949 and of this Protocol must be fully applied in all circumstances to all persons who are protected by those instruments.” The purpose of superior responsibility, as evidenced in Articles 86(1) and 87 of Protocol I, is to ensure compliance with international humanitarian law. Furthermore, one of the purposes of establishing the International Tribunal, as reflected in Security Council Resolution 808, is to “put an end to [widespread violations of international humanitarian law] and to take effective measures to bring to justice the persons who are responsible for them”. And, more particularly, the purpose of superior responsibility in Article 7(3) is to hold superiors “responsible for failure to prevent a crime or to deter the unlawful behaviour of [their] subordinates.”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this context, the Appeals Chamber cannot accept that the drafters of Protocol I and the Statute intended to limit a superior’s obligation to prevent or punish violations of international humanitarian law to only those individuals physically committing the material elements of a crime and to somehow exclude subordinates who as accomplices substantially contributed to the completion of the crime. Accordingly, “commit” as used in Article 7(3) of the Statute must be understood as it is in Protocol I, in its ordinary and broad sense.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486. The Appeals Chamber endorses this reasoning and holds that an accused may be held responsible as a superior under Article 6(3) of the Statute where a subordinate “planned, instigated, ordered, committed or otherwise aided and abetted in the planning, preparation or execution of a crime referred to in Articles 2 to 4 of the </w:t>
      </w:r>
      <w:r w:rsidRPr="004D74E4">
        <w:rPr>
          <w:rFonts w:ascii="Times New Roman" w:eastAsia="Times New Roman" w:hAnsi="Times New Roman" w:cs="Times New Roman"/>
          <w:i/>
          <w:iCs/>
          <w:sz w:val="24"/>
          <w:szCs w:val="24"/>
          <w:lang w:val="en-US"/>
        </w:rPr>
        <w:lastRenderedPageBreak/>
        <w:t>present Statute”, provided, of course, that all the other elements of such responsibility have been established.</w:t>
      </w:r>
      <w:r>
        <w:rPr>
          <w:rFonts w:ascii="Times New Roman" w:eastAsia="Times New Roman" w:hAnsi="Times New Roman" w:cs="Times New Roman"/>
          <w:i/>
          <w:iCs/>
          <w:noProof/>
          <w:sz w:val="24"/>
          <w:szCs w:val="24"/>
        </w:rPr>
        <w:drawing>
          <wp:inline distT="0" distB="0" distL="0" distR="0">
            <wp:extent cx="151130" cy="142875"/>
            <wp:effectExtent l="19050" t="0" r="1270" b="0"/>
            <wp:docPr id="325" name="Imagen 3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its judgment and sentence in the Karera case in 2007, the ICTR Trial Chamber stated: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563. … The following three elements must be proven to hold a civilian or a military superior criminally responsible pursuant to Article 6(3) [of the 1994 ICTR Statute] for crimes committed by subordinates: (a) the existence of a superior-subordinate relationship; (b) the superior’s knowledge or reason to know that the criminal acts were about to be or had been committed by his subordinates; and (c) the superior’s failure to take necessary and reasonable measures to prevent such criminal acts or to punish the perpetrator.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564. With respect to the first element, a superior-subordinate relationship is established by showing a formal or informal hierarchical relationship. The superior must have possessed the power or the authority, de jure or de facto, to prevent or punish an offence committed by his subordinates. The superior must have had effective control over the subordinates at the time the offence was committed. Effective control means the material ability to prevent the commission of the offence or to punish the principal offenders. This requirement is not satisfied by a simple showing of an accused individual’s general influence.</w:t>
      </w:r>
      <w:r>
        <w:rPr>
          <w:rFonts w:ascii="Times New Roman" w:eastAsia="Times New Roman" w:hAnsi="Times New Roman" w:cs="Times New Roman"/>
          <w:i/>
          <w:iCs/>
          <w:noProof/>
          <w:sz w:val="24"/>
          <w:szCs w:val="24"/>
        </w:rPr>
        <w:drawing>
          <wp:inline distT="0" distB="0" distL="0" distR="0">
            <wp:extent cx="151130" cy="142875"/>
            <wp:effectExtent l="19050" t="0" r="1270" b="0"/>
            <wp:docPr id="326" name="Imagen 3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International Criminal Tribunal for the former Yugoslavia</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indictment in the Mrkšić case before the ICTY in 1995, the Prosecutor stated, with respect to the responsibility of the accused for the killing of 260 persons: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Each of the accused is also or alternatively criminally responsible as a commander for the acts of his subordinates pursuant to Article 7(3) of the [1993 ICTY] Statute. Command criminal responsibility is the responsibility of a superior officer for the acts of his subordinate if he knew or had reason to know that his subordinate was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327" name="Imagen 3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the review of the indictment in the Martić case in 1996, the ICTY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Tribunal has particularly valid grounds for exercising its jurisdiction over persons who, through their position of political or military authority, are able to order the commission of crimes falling within its competence ratione materiae or who knowingly refrain from preventing or punishing the perpetrators of such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328" name="Imagen 3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the review of the indictments in the Karadžić and Mladić case in 1996, the ICTY Trial Chamber found, in the light of the analysis of the institutional functions and the effective exercise of power by the two accused: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conditions for the responsibility of superiors under Article 7(3) of the [1993 ICTY] Statute, that is those constituting criminal negligence of superiors, have unquestionably been fulfilled: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Bosnian Serb military and police forces committing the offences alleged were under the control, command and direction of Radovan KARADŽIĆ and Ratko MLADIĆ during the whole period covered in the indictment;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through their position in the Bosnian Serb Administration, Radovan KARADŽIĆ and Ratko MLADIĆ knew or had reasons to know that their subordinates committed or were about to commit the offences in question;</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lastly, it has established that Radovan KARADŽIĆ and Ratko MLADIĆ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329" name="Imagen 3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lastRenderedPageBreak/>
        <w:t>In its judgment in the Mucić case in 1998, the ICTY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333. Military commanders and other persons occupying positions of superior authority may be held criminally responsible for the unlawful conduct of their subordinates is a well-established norm of customary and conventional international law. This criminal liability may arise either out of the positive acts of the superior (sometimes referred to as “direct” command responsibility) or from his culpable omissions (“indirect” command responsibility or command responsibility strictu sensu). Thus, a superior may be held criminally responsible … also for failing to take measures to prevent or repress the unlawful conduct of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334. The distinct legal character of the two types of superior responsibility must be noted. While the criminal liability of a superior for positive acts follows from general principles of accomplice liability, as set out in the discussion of Article 7(1) above, the criminal responsibility of superiors for failing to take measures to prevent or repress the unlawful conduct of their subordinates is best understood when seen against the principle that criminal responsibility for omissions is incurred only where there exists a legal obligation to act. As is most clearly evidenced in the case of military commanders by article 87 [of the 1977 Additional Protocol I], international law imposes an affirmative duty on superiors to prevent persons under their control from committing violations of international humanitarian law, and it is ultimately this duty that provides the basis for, and defines the contours of, the imputed criminal responsibility under Article 7(3) of the [1993 ICTY]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335. Although historically not without recognition in domestic military law, it is often suggested that the roots of the modern doctrine of command responsibility may be found in the Hague Conventions of 1907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340. In the period following the Second World War until the present time, the doctrine of command responsibility has not been applied by any international judicial organ. Nonetheless, there can be no doubt that the concept of the individual criminal responsibility of superiors for failure to act is today firmly placed within the corpus of international humanitarian law. Through the adoption of Additional Protocol I, the principle has now been codified and given a clear expression in international conventional law. Thus, article 87 [of the 1977 Additional Protocol I] gives expression to the duty of commanders to control the acts of their subordinates and to prevent or, where necessary, to repress violations of the Geneva Conventions or the Protocol. The concomitant principle under which a superior may be held criminally responsible for the crimes committed by his subordinates where the superior has failed to properly exercise this duty is formulated in article 86 [of the 1977 Additional Protocol I]. A survey of the travaux préparatoires of these provisions reveals that, while their inclusion was not uncontested during the drafting of the Protocol, a number of delegations clearly expressed the view that the principles expressed therein were in conformity with pre-existing law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343. On the basis of the foregoing, the Trial Chamber concludes that the principle of individual criminal responsibility of superiors for failure to prevent or repress the crimes committed by subordinates forms part of customary international law.</w:t>
      </w:r>
      <w:r>
        <w:rPr>
          <w:rFonts w:ascii="Times New Roman" w:eastAsia="Times New Roman" w:hAnsi="Times New Roman" w:cs="Times New Roman"/>
          <w:i/>
          <w:iCs/>
          <w:noProof/>
          <w:sz w:val="24"/>
          <w:szCs w:val="24"/>
        </w:rPr>
        <w:drawing>
          <wp:inline distT="0" distB="0" distL="0" distR="0">
            <wp:extent cx="151130" cy="142875"/>
            <wp:effectExtent l="19050" t="0" r="1270" b="0"/>
            <wp:docPr id="330" name="Imagen 3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From the text of Article 7(3) it is thus possible to identify the essential elements of command responsibility for failure to act as follows: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(iii) the superior failed to take the necessary and reasonable measures to prevent the criminal act or punish the perpetrator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331" name="Imagen 3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357. This interpretation of the scope of Article 7(3) is in accordance with the customary law doctrine of command responsibility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363. Thus, it must be concluded that the applicability of the principle of superior responsibility in Article 7(3) extends not only to military commanders but also to individuals in non-military positions of superior authority.</w:t>
      </w:r>
      <w:r>
        <w:rPr>
          <w:rFonts w:ascii="Times New Roman" w:eastAsia="Times New Roman" w:hAnsi="Times New Roman" w:cs="Times New Roman"/>
          <w:i/>
          <w:iCs/>
          <w:noProof/>
          <w:sz w:val="24"/>
          <w:szCs w:val="24"/>
        </w:rPr>
        <w:drawing>
          <wp:inline distT="0" distB="0" distL="0" distR="0">
            <wp:extent cx="151130" cy="142875"/>
            <wp:effectExtent l="19050" t="0" r="1270" b="0"/>
            <wp:docPr id="332" name="Imagen 3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370. While the matter is, thus, not undisputed, it is the Trial Chamber’s opinion that a position of command is indeed a necessary precondition for the imposition of command responsibility. However, this statement must be qualified by the recognition that the existence of such a position cannot be determined by reference to formal status alone. Instead, the factor that determines liability for this type of criminal responsibility is the actual possession, or non-possession, of powers of control over the actions of subordinates. Accordingly, formal designation as a commander should not be considered to be a necessary prerequisite for command responsibility to attach, as such responsibility may be imposed by virtue of a person’s de facto, as well as de jure, position as a commander.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371. … It is clear that the term “superior” is sufficiently broad to encompass a position of authority based on the existence of de facto powers of control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377. While it is, therefore, the Trial Chamber’s conclusion that a superior, whether military or civilian, may be held liable under the principle of superior responsibility on the basis of his de facto position of authority, the fundamental considerations underlying the imposition of such responsibility must be borne in mind. The doctrine of command responsibility is ultimately predicated upon the power of the superior to control the acts of his subordinates. A duty is placed upon the superior to exercise this power so as to prevent and repress the crimes committed by his subordinates, and a failure by him to do so in a diligent manner is sanctioned by the imposition of individual criminal responsibility in accordance with the doctrine. It follows that there is a threshold at which persons cease to possess the necessary powers of control over the actual perpetrators of offences and, accordingly, cannot properly be considered their “superiors” within the meaning of Article 7(3) of the [1993 ICTY] Statute … [However,] great care must be taken lest an injustice be committed in holding individuals responsible for the acts of others in situations where the link of control is absent or too remote.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378. Accordingly, it is the Trial Chamber’s view that, in order for the principle of superior responsibility to be applicable, it is necessary that the superior have effective control over the persons committing the underlying violations of international humanitarian law, in the sense of having the material ability to prevent and punish the commission of these offences. With the caveat that such authority can have a de facto as well as a de jure character, the Trial Chamber accordingly shares the view expressed by the International Law Commission that the doctrine of superior responsibility extends to civilian superiors only to the extent that they exercise a degree of control over their subordinates which is similar to that of military commanders.</w:t>
      </w:r>
      <w:r>
        <w:rPr>
          <w:rFonts w:ascii="Times New Roman" w:eastAsia="Times New Roman" w:hAnsi="Times New Roman" w:cs="Times New Roman"/>
          <w:i/>
          <w:iCs/>
          <w:noProof/>
          <w:sz w:val="24"/>
          <w:szCs w:val="24"/>
        </w:rPr>
        <w:drawing>
          <wp:inline distT="0" distB="0" distL="0" distR="0">
            <wp:extent cx="151130" cy="142875"/>
            <wp:effectExtent l="19050" t="0" r="1270" b="0"/>
            <wp:docPr id="333" name="Imagen 3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383. The doctrine of superior responsibility does not establish a standard of strict liability for superiors for failing to prevent or punish the crimes committed by their subordinates. Instead, Article 7(3) [of the 1993 ICTY Statute] provides that a superior may be held responsible only where he knew or had reason to know that his subordinates were about to or had committed the acts referred to under Articles 2 to 5 </w:t>
      </w:r>
      <w:r w:rsidRPr="004D74E4">
        <w:rPr>
          <w:rFonts w:ascii="Times New Roman" w:eastAsia="Times New Roman" w:hAnsi="Times New Roman" w:cs="Times New Roman"/>
          <w:i/>
          <w:iCs/>
          <w:sz w:val="24"/>
          <w:szCs w:val="24"/>
          <w:lang w:val="en-US"/>
        </w:rPr>
        <w:lastRenderedPageBreak/>
        <w:t>of the Statute. A construction of this provision in light of the content of the doctrine under customary law leads the Trial Chamber to conclude that a superior may possess the mens rea required to incur criminal liability where: (1) he had actual knowledge, established through direct or circumstantial evidence, that his subordinates were committing or about to commit crimes referred to under Article 2 to 5 of the Statute, or (2) where he had in his possession information of a nature, which at the least, would put him on notice of the risk of such offences by indicating the need for additional investigation in order to ascertain whether such crimes were committed or were about to be committed by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393. An interpretation of the terms of [Article 86 of the 1977 Additional Protocol I] in accordance with their ordinary meaning thus leads to the conclusion, confirmed by the travaux préparatoires, that a superior can be held criminally responsible only if some specific information was in fact available to him which would provide notice of offences committed by his subordinates. This information need not be such that it by itself was sufficient to compel the conclusion of the existence of such crimes. It is sufficient that the superior was put on further inquiry by the information, or, in other words, that it indicated the need for additional investigation in order to ascertain whether offences were being committed or about to be committed by his subordinates. This standard, which must be considered to reflect the position of customary law at the time of the offences alleged in the Indictment, is accordingly controlling for the construction of the mens rea standard established in Article 7(3).</w:t>
      </w:r>
      <w:r>
        <w:rPr>
          <w:rFonts w:ascii="Times New Roman" w:eastAsia="Times New Roman" w:hAnsi="Times New Roman" w:cs="Times New Roman"/>
          <w:i/>
          <w:iCs/>
          <w:noProof/>
          <w:sz w:val="24"/>
          <w:szCs w:val="24"/>
        </w:rPr>
        <w:drawing>
          <wp:inline distT="0" distB="0" distL="0" distR="0">
            <wp:extent cx="151130" cy="142875"/>
            <wp:effectExtent l="19050" t="0" r="1270" b="0"/>
            <wp:docPr id="334" name="Imagen 3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394. The legal duty which rests upon all individuals in positions of superior authority requires them to take all necessary and reasonable measures to prevent the commission of offences by their subordinates or, if such crimes have been committed, to punish the perpetrators thereof. It is the view of the Trial Chamber that any evaluation of the action taken by a superior to determine whether this duty has been met is so inextricably linked to the facts of each particular situation that any attempt to formulate a general standard in abstracto would not be meaningful.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395. It must, however, be recognised that international law cannot oblige a superior to perform the impossible. Hence, a superior may only be held criminally responsible for failing to take such measures that are within his powers. The question then arises of what actions are to be considered to be within the superior’s powers in this sense. As the corollary to the standard adopted by the Trial Chamber with respect to the concept of superior, we conclude that a superior should be held responsible for failing to take such measures that are within his material possibility. The Trial Chamber accordingly does not adopt the position taken by the ILC on this point, and finds that the lack of formal legal competence to take the necessary measures to prevent or repress the crime in question does not necessarily preclude the criminal responsibility of the superior.</w:t>
      </w:r>
      <w:r>
        <w:rPr>
          <w:rFonts w:ascii="Times New Roman" w:eastAsia="Times New Roman" w:hAnsi="Times New Roman" w:cs="Times New Roman"/>
          <w:i/>
          <w:iCs/>
          <w:noProof/>
          <w:sz w:val="24"/>
          <w:szCs w:val="24"/>
        </w:rPr>
        <w:drawing>
          <wp:inline distT="0" distB="0" distL="0" distR="0">
            <wp:extent cx="151130" cy="142875"/>
            <wp:effectExtent l="19050" t="0" r="1270" b="0"/>
            <wp:docPr id="335" name="Imagen 3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Galić case before the ICTY in 1999, the accused, a senior officer in the Army of the Republika Srpska (VRS), was charged with violations of the laws or customs of war and with crimes against humanity for his alleged role in events in Sarajevo in 1992–1994.</w:t>
      </w:r>
      <w:r>
        <w:rPr>
          <w:rFonts w:ascii="Times New Roman" w:eastAsia="Times New Roman" w:hAnsi="Times New Roman" w:cs="Times New Roman"/>
          <w:i/>
          <w:iCs/>
          <w:noProof/>
          <w:sz w:val="24"/>
          <w:szCs w:val="24"/>
        </w:rPr>
        <w:drawing>
          <wp:inline distT="0" distB="0" distL="0" distR="0">
            <wp:extent cx="151130" cy="142875"/>
            <wp:effectExtent l="19050" t="0" r="1270" b="0"/>
            <wp:docPr id="336" name="Imagen 3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accused] also</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 xml:space="preserve">bears individual criminal responsibility as a Commander of the Sarajevo Romanija Corps, responsible for the conduct of subordinates in respect of whom he was in a position of superior authority. [He] is responsible for the acts and omissions of his subordinates, knowing, or having reason to know, that the subordinates were about to commit such acts, or had done so, failing to take reasonable steps to prevent such acts, or to punish the perpetrators thereof. By failing to take the actions required of a person in superior authority, [the accused] is responsible for the acts and </w:t>
      </w:r>
      <w:r w:rsidRPr="004D74E4">
        <w:rPr>
          <w:rFonts w:ascii="Times New Roman" w:eastAsia="Times New Roman" w:hAnsi="Times New Roman" w:cs="Times New Roman"/>
          <w:i/>
          <w:iCs/>
          <w:sz w:val="24"/>
          <w:szCs w:val="24"/>
          <w:lang w:val="en-US"/>
        </w:rPr>
        <w:lastRenderedPageBreak/>
        <w:t>omissions set forth below pursuant to Article 7(3)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37" name="Imagen 3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173. The case-law of the International Tribunal establishes that the following three conditions must be met before a person can be held responsible for the criminal acts of another under Article 7(3) of the Statute: (1) a superior-subordinate relationship existed between the former and the latter; (2) the superior knew or had reason to know that the crime was about to be committed or had been committed; and (3) the superior failed to take the necessary and reasonable measures to prevent the criminal act or punish the perpetrator. The Appeals Chamber has said that control must be effective for there to be a relevant relationship of superior to subordinate. Control is established if the commander had “the power or authority in either a de jure or a de facto form to prevent a subordinate’s crime or to punish the perpetrators of the crime after the crime is committed.” The Appeals Chamber emphasised that “in general, the possession of de jure power in itself may not suffice for the finding of command responsibility if it does not manifest in effective control, although a Court may presume that possession of such power prima facie results in effective control unless proof to the contrary is produced.”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174. In the absence of direct evidence of the superior’s actual knowledge of the offences committed by his or her subordinates, this knowledge may [be] established through circumstantial evidence … The Trial Chamber also takes into consideration the fact that the evidence required to prove such knowledge for a commander operating within a highly disciplined and formalized chain of command with established reporting and monitoring systems is not as high as for those persons exercising more informal types of authority.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175. In relation to the superior’s “having reason to know” that subordinates were about to commit or had committed offences, “a showing that a superior had some general information in his possession which would put him on notice of possible unlawful acts by his subordinates would be sufficient to prove that he had “reason to know’.” The information available to the superior may be in written or oral form. It need not to be explicit or specific. For instance, past behaviour of subordinates or a history of abuses might suggest the need to inquire further. It is not required that the superior had actually acquainted himself or herself with the information in his or her possession.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176. The evaluation of the action taken by individuals in positions of superior authority who have a legal duty to take all necessary and reasonable measures to prevent the commission of offences by their subordinates or, if such crimes have been committed, to punish the perpetrators, must be done on a case-by-case basis. Furthermore, it must be kept in mind that the superior is not obliged to perform the impossible; “a superior should only be held responsible for failing to take such measures that are within his material possibility”.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177. Finally, in cases where concurrent application of Articles 7(1) and 7(3) is possible because the requirements of the latter form of responsibility are satisfied alongside those of the former, the Trial Chamber has the discretion to choose the head of responsibility most appropriate to describe the criminal responsibility of the accused.</w:t>
      </w:r>
      <w:r>
        <w:rPr>
          <w:rFonts w:ascii="Times New Roman" w:eastAsia="Times New Roman" w:hAnsi="Times New Roman" w:cs="Times New Roman"/>
          <w:i/>
          <w:iCs/>
          <w:noProof/>
          <w:sz w:val="24"/>
          <w:szCs w:val="24"/>
        </w:rPr>
        <w:drawing>
          <wp:inline distT="0" distB="0" distL="0" distR="0">
            <wp:extent cx="151130" cy="142875"/>
            <wp:effectExtent l="19050" t="0" r="1270" b="0"/>
            <wp:docPr id="338" name="Imagen 3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[T]he Appeals Chamber notes that the jurisprudence of the International Tribunal indicates that the “had reason to know” standard will only be satisfied if information was available to the superior which would have put him on notice of offences committed by his subordinates [Čelebići Appeal Judgement, § 241]. The information in question need not, however, “have the form of specific reports submitted pursuant to a monitoring system” and “does not need to provide specific information about unlawful acts committed or about to be committed” [Čelebići Appeal Judgement, § 238].</w:t>
      </w:r>
      <w:r>
        <w:rPr>
          <w:rFonts w:ascii="Times New Roman" w:eastAsia="Times New Roman" w:hAnsi="Times New Roman" w:cs="Times New Roman"/>
          <w:i/>
          <w:iCs/>
          <w:noProof/>
          <w:sz w:val="24"/>
          <w:szCs w:val="24"/>
        </w:rPr>
        <w:drawing>
          <wp:inline distT="0" distB="0" distL="0" distR="0">
            <wp:extent cx="151130" cy="142875"/>
            <wp:effectExtent l="19050" t="0" r="1270" b="0"/>
            <wp:docPr id="339" name="Imagen 3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 [T]he Trial Chamber did not hold that concurrent convictions under Articles 7(1) and 7(3) of the Statute are possible, but rather that the facts of any given case may satisfy both articles, in which case a Trial Chamber may then choose between them. As noted in the Blaškić Appeal Judgement, a conviction should be entered under Article 7(1) of the Statute only, while treating the accused’s superior position as an aggravating factor in sentencing. Accordingly, there was no error on the part of the Trial Chamber.</w:t>
      </w:r>
      <w:r>
        <w:rPr>
          <w:rFonts w:ascii="Times New Roman" w:eastAsia="Times New Roman" w:hAnsi="Times New Roman" w:cs="Times New Roman"/>
          <w:i/>
          <w:iCs/>
          <w:noProof/>
          <w:sz w:val="24"/>
          <w:szCs w:val="24"/>
        </w:rPr>
        <w:drawing>
          <wp:inline distT="0" distB="0" distL="0" distR="0">
            <wp:extent cx="151130" cy="142875"/>
            <wp:effectExtent l="19050" t="0" r="1270" b="0"/>
            <wp:docPr id="340" name="Imagen 3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its judgment in the Aleksovski case in 1999, the ICTY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67. The doctrine of superior responsibility makes a superior responsible not for his acts sanctioned by Article 7(1) of the [1993 ICTY] Statute but for his failure to act. A superior is held responsible for the acts of his subordinates if he did not prevent the perpetration of the crimes of his subordinates or punish them for the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68. The responsibility for failure to act, sometimes known as “indirect superior responsibility” is provided for in Article 7(3) of the [1993 ICTY] Statute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69. Article 7 makes clear that superior responsibility may be invoked if three concurrent elements are proved: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a superior-subordinate relationship between the person against whom the claim is directed and the perpetrators of the offence;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a crime was about to be committed or had been committed;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did not take all the necessary and reasonable measures to prevent the crime or to punish the perpetrator or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70. The three constituent elements which are evident from the wording of Article 7(3) clearly draw from Article 86, paragraph 2, of [the 1977 Additional Protocol I] and Article 6 of the [1996 ILC Draft Code of Crimes against the Peace and Security of Mankind]. They are repeated in Article 28 of the [1998 ICC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72. … Superior responsibility covered in Article 7(3) of the [1993 ICTY] Statute must not be seen as responsibility for the act of another person. Superior responsibility derives directly from the failure of the person against whom the complaint is directed to honour an obligation … Within the meaning of Article 7(3), a person is obliged to act only if it has been established that he was a superior of the perpetrators of the offence and also knew or had reasons to know that a crime was about to be committed or had been committed. Should such be the case, the person against whom the claim is directed is obliged to take all the necessary and reasonable measures to prevent the crime or to punish the perpetrator or perpetrators thereof.</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The superior-subordinate relationship</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75. … The generic term “superior” in Article 7(3) of the [1993 ICTY] Statute can be interpreted only to mean that superior responsibility is not limited to military commanders but may apply to the civilian authorities as well.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76. Superior responsibility is thus not reserved for official authorities. Any person acting de facto as a superior may be held responsible under Article 7(3). The decisive criterion in determining who is a superior according to customary international law is not only the accused’s formal legal status but also his ability, as demonstrated by his duties and competence, to exercise control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78. … Hierarchical power constitutes the very foundation of responsibility under the terms of Article 7(3) of the [1993 ICTY] Statute. In order to entail his responsibility under Article 7(3), whatever his status, the accused must first have superior authority … </w:t>
      </w:r>
      <w:r w:rsidRPr="004D74E4">
        <w:rPr>
          <w:rFonts w:ascii="Times New Roman" w:eastAsia="Times New Roman" w:hAnsi="Times New Roman" w:cs="Times New Roman"/>
          <w:i/>
          <w:iCs/>
          <w:sz w:val="24"/>
          <w:szCs w:val="24"/>
          <w:lang w:val="en-US"/>
        </w:rPr>
        <w:lastRenderedPageBreak/>
        <w:t>In the opinion of the Trial Chamber, a civilian must be characterised as a superior pursuant to Article 7(3) if he has the ability de jure or de facto to issue orders to prevent an offence and to sanction the perpetrators thereof. A civilian’s sanctioning power must however be interpreted broadly. It should be stated that the doctrine of superior responsibility was originally intended only for the military authorities. Although the power to sanction is the indissociable corollary of the power to issue orders within the military hierarchy, it does not apply to the civilian authorities. It cannot be expected that a civilian authority will have disciplinary power over his subordinate equivalent to that of the military authorities in an analogous command position. To require a civilian authority to have sanctioning powers similar to those of a member of the military would so limit the scope of the doctrine of superior authority that it would hardly be applicable to civilian authorities. The Trial Chamber therefore considers that the superior’s ability de jure or de facto to impose sanctions is not essential. The possibility of transmitting reports to the appropriate authorities suffices once the civilian authority, through its position in the hierarchy, is expected to report whenever crimes are committed, and that, in the light of this position, the likelihood that those reports will trigger an investigation or initiate disciplinary or even criminal measures is extant.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The superior knew or had reason to know that a crime was about to be committed or had been committed</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80. … Admittedly, as regards “indirect” responsibility, the Trial Chamber is reluctant to consider that a “presumption” of knowledge about a superior exists which would somehow automatically entail his guilt whenever a crime was allegedly committed. The Trial Chamber deems however that an individual’s superior position per se is a significant indicium that he had knowledge of the crimes committed by his subordinates. The weight to be given to that indicium however depends inter alia on the geographical and temporal circumstances. This means that the more physically distant the commission of the acts was, the more difficult it will be, in the absence of other indicia, to establish that the superior had knowledge of them. Conversely, the commission of a crime in the immediate proximity of the place where the superior ordinarily carried out his duties would suffice to establish a significant indicium that he had knowledge of the crime, a fortiori if the crimes were repeatedly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(c) </w:t>
      </w:r>
      <w:r w:rsidRPr="004D74E4">
        <w:rPr>
          <w:rFonts w:ascii="Times New Roman" w:eastAsia="Times New Roman" w:hAnsi="Times New Roman" w:cs="Times New Roman"/>
          <w:i/>
          <w:iCs/>
          <w:sz w:val="24"/>
          <w:szCs w:val="24"/>
          <w:u w:val="single"/>
          <w:lang w:val="en-US"/>
        </w:rPr>
        <w:t>Necessary and reasonable measures</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81. The [ICRC] Commentary on Additional Protocol I and the [1996 ILC Draft Code of Crimes against the Peace and Security of Mankind] limit the notion of “necessary and reasonable measures” to the measures which the superior can actually take … Such a material possibility must not be considered abstractly but must be evaluated on a case by case basis depending on the circumstances.</w:t>
      </w:r>
      <w:r>
        <w:rPr>
          <w:rFonts w:ascii="Times New Roman" w:eastAsia="Times New Roman" w:hAnsi="Times New Roman" w:cs="Times New Roman"/>
          <w:i/>
          <w:iCs/>
          <w:noProof/>
          <w:sz w:val="24"/>
          <w:szCs w:val="24"/>
        </w:rPr>
        <w:drawing>
          <wp:inline distT="0" distB="0" distL="0" distR="0">
            <wp:extent cx="151130" cy="142875"/>
            <wp:effectExtent l="19050" t="0" r="1270" b="0"/>
            <wp:docPr id="341" name="Imagen 3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its judgment in the Blaškić case in 2000, the ICTY Trial Chamber drew a clear distinction between Article 7(1) and Article 7(3) of the 1993 ICTY Statute, noting: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Whilst Article 7(1) deals with the commander’s participation in the commission of a crime, Article 7(3) enshrines the principle of command responsibility in the strict sense which entails the commander’s individual criminal responsibility if he did not prevent crimes from being committed by his subordinates or, where applicable, punish them.</w:t>
      </w:r>
      <w:r>
        <w:rPr>
          <w:rFonts w:ascii="Times New Roman" w:eastAsia="Times New Roman" w:hAnsi="Times New Roman" w:cs="Times New Roman"/>
          <w:i/>
          <w:iCs/>
          <w:noProof/>
          <w:sz w:val="24"/>
          <w:szCs w:val="24"/>
        </w:rPr>
        <w:drawing>
          <wp:inline distT="0" distB="0" distL="0" distR="0">
            <wp:extent cx="151130" cy="142875"/>
            <wp:effectExtent l="19050" t="0" r="1270" b="0"/>
            <wp:docPr id="342" name="Imagen 3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294. … For a conviction under Article 7(3) of the [1993 ICTY] Statute in the present case, proof is required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(1) there existed a superior-subordinate relationship between the commander (the accused) and the perpetrator of the crime;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(2) the accused knew or had reason to know that the crime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(3) the accused failed to take the necessary and reasonable measures to prevent the crime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300. … This principle [that in order for Article 7(3) of the 1993 ICTY Statute to apply, the accused must be in a position of command] is not limited to individuals formally designated commander but also encompasses both de facto and de jure command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301. … A commander may incur criminal responsibility for crimes committed by persons who are not formally his (direct) subordinates, insofar as he exercises effective control over them.</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302. … The commander need not have any legal authority to prevent or punish acts of his subordinates. What counts is his material ability, which instead of issuing orders or taking disciplinary action may entail, for instance, submitting reports to the competent authorities in order for proper measures to be taken.</w:t>
      </w:r>
      <w:r>
        <w:rPr>
          <w:rFonts w:ascii="Times New Roman" w:eastAsia="Times New Roman" w:hAnsi="Times New Roman" w:cs="Times New Roman"/>
          <w:i/>
          <w:iCs/>
          <w:noProof/>
          <w:sz w:val="24"/>
          <w:szCs w:val="24"/>
        </w:rPr>
        <w:drawing>
          <wp:inline distT="0" distB="0" distL="0" distR="0">
            <wp:extent cx="151130" cy="142875"/>
            <wp:effectExtent l="19050" t="0" r="1270" b="0"/>
            <wp:docPr id="343" name="Imagen 3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determining whether in fact a superior must have had the requisite knowledge it may consider inter alia the following indicia enumerated by the Commission of Experts in its Final Report: the number, type and scope of the illegal acts; the time during which the illegal acts occurred; the number and type of troops involved; the logistics involved, if any; the geographical location of the acts; the widespread occurrence of the acts; the speed of the operations; the modus operandi of similar illegal acts; the officers and staff involved; and the location of the commander at the time.</w:t>
      </w:r>
      <w:r>
        <w:rPr>
          <w:rFonts w:ascii="Times New Roman" w:eastAsia="Times New Roman" w:hAnsi="Times New Roman" w:cs="Times New Roman"/>
          <w:i/>
          <w:iCs/>
          <w:noProof/>
          <w:sz w:val="24"/>
          <w:szCs w:val="24"/>
        </w:rPr>
        <w:drawing>
          <wp:inline distT="0" distB="0" distL="0" distR="0">
            <wp:extent cx="151130" cy="142875"/>
            <wp:effectExtent l="19050" t="0" r="1270" b="0"/>
            <wp:docPr id="344" name="Imagen 3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322. From this analysis of jurisprudence, the Trial Chamber concludes that after World War II, a standard was established according to which a commander may be liable for crimes by his subordinates if “he failed to exercise the means available to him to learn of the offence and, under the circumstances, he should have known and such failure to know constitutes criminal dereliction”.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324. The Trial Chamber now turns to codification at the international level, namely the adoption of Additional Protocol I in 1977. The pertinent question is this: was customary international law altered with the adoption of Additional Protocol I, in the sense that a commander can be held accountable for failure to act in response to crimes by his subordinates only if some specific information was in fact available to him which would provide notice of such offences? Based on the following analysis, the Trial Chamber is of the view that this is not so.</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328. In the Trial Chamber’s view, the words “had information” in Article 86(2) [of the 1977 Additional Protocol I] must be interpreted broadly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329. … Given the essential responsibilities of military commanders under international humanitarian law, the Trial Chamber holds, … in the words of the [ICRC Commentary on the Additional Protocols], that “their role obliges them to be constantly informed of the way in which their subordinates carry out the tasks entrusted them, and to take the necessary measures for this purpose”.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332. … In conclusion, the Trial Chamber finds that if a commander has exercised due diligence in the fulfilment of his duties yet lacks knowledge that crimes are about to be or have been committed, such lack of knowledge cannot be held against him. However, taking into account his particular position of command and the circumstances prevailing at the time, such ignorance cannot be a defence where the absence of knowledge is the result of negligence in the discharge of his duties: this commander had </w:t>
      </w:r>
      <w:r w:rsidRPr="004D74E4">
        <w:rPr>
          <w:rFonts w:ascii="Times New Roman" w:eastAsia="Times New Roman" w:hAnsi="Times New Roman" w:cs="Times New Roman"/>
          <w:i/>
          <w:iCs/>
          <w:sz w:val="24"/>
          <w:szCs w:val="24"/>
          <w:lang w:val="en-US"/>
        </w:rPr>
        <w:lastRenderedPageBreak/>
        <w:t>reason to know within the meaning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45" name="Imagen 3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335. The Trial Chamber has already characterised a “superior” as a person exercising “effective control” over his subordinates. In other words, the Trial Chamber holds that where a person has the material ability to prevent or punish crimes committed by others, that person must be considered a superior. Accordingly, it is a commander’s degree of effective control, his material ability, which will guide the Trial Chamber in determining whether he reasonably took the measures required either to prevent the crime or to punish the perpetrator. As stated above in the discussion of the definition of “superior”, this implies that, under some circumstances, a commander may discharge his obligation to prevent or punish by reporting the matter to the competent authorities.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336. Lastly, the Trial Chamber stresses that the obligation to “prevent or punish” does not provide the accused with two alternative and equally satisfying options. Obviously, where the accused knew or had reason to know that subordinates were about to commit crimes and failed to prevent them, he cannot make up for the failure to act by punishing the subordinates afterwards.</w:t>
      </w:r>
      <w:r>
        <w:rPr>
          <w:rFonts w:ascii="Times New Roman" w:eastAsia="Times New Roman" w:hAnsi="Times New Roman" w:cs="Times New Roman"/>
          <w:i/>
          <w:iCs/>
          <w:noProof/>
          <w:sz w:val="24"/>
          <w:szCs w:val="24"/>
        </w:rPr>
        <w:drawing>
          <wp:inline distT="0" distB="0" distL="0" distR="0">
            <wp:extent cx="151130" cy="142875"/>
            <wp:effectExtent l="19050" t="0" r="1270" b="0"/>
            <wp:docPr id="346" name="Imagen 3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337. It would be illogical to hold a commander criminally responsible for planning, instigating or ordering the commission of crimes and, at the same time, reproach him for not preventing or punishing them. However, as submitted by the Prosecution, the failure to punish past crimes, which entails the commander’s responsibility under Article 7(3), may, pursuant to Article 7(1) and subject to the fulfilment of the respective mens rea and actus reus requirements, also be the basis for his liability for either aiding and abetting or instigating the commission of further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339. As stated earlier in this Judgement, in the case of instigation, proof is required of a causal connection between the instigation, which may entail an omission, and the perpetration of the act. In the scenario under discussion, this means it must be proved that the subordinates would not have committed the subsequent crimes if the commander had not failed to punish the earlier ones. However, with respect to the Defence’s submission that under Article 7(3) of the [1993 ICTY] Statute proof is required that the commander’s omission caused the commission of the crime by the subordinate, the Trial Chamber is of the view that such a causal link may be considered inherent in the requirement that the superior failed to prevent the crimes which were committed by the subordinate.</w:t>
      </w:r>
      <w:r>
        <w:rPr>
          <w:rFonts w:ascii="Times New Roman" w:eastAsia="Times New Roman" w:hAnsi="Times New Roman" w:cs="Times New Roman"/>
          <w:i/>
          <w:iCs/>
          <w:noProof/>
          <w:sz w:val="24"/>
          <w:szCs w:val="24"/>
        </w:rPr>
        <w:drawing>
          <wp:inline distT="0" distB="0" distL="0" distR="0">
            <wp:extent cx="151130" cy="142875"/>
            <wp:effectExtent l="19050" t="0" r="1270" b="0"/>
            <wp:docPr id="347" name="Imagen 3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2004, the ICTY Appeals Chamber considered alleged errors of law concerning Article 7(3) of the 1993 ICTY Statute. On the question of whether the Trial Chamber erred in its interpretation of the knowledge requirement under Article 7(3) regarding superior criminal responsibility, the Appeals Chamber found the Trial Chamber had erred in stating that the “had reason to know” standard of Article 7(3) encompassed a “should have known” standard: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The Appeals Chamber considers that the Celebici Appeal Judgement [Mucić, Judgement on Appeal, §§ 226 and 241] has settled the issue of the interpretation of the standard of “had reason to know.” In that judgement, the Appeals Chamber stated that “a superior will be criminally responsible through the principles of superior responsibility only if information was available to him which would have put him on notice of offences committed by subordinates.” Further, the Appeals Chamber stated that “[n]eglect of a duty to acquire such knowledge, however, does not feature in the provision [Article 7(3)] as a separate offence, and a superior is not therefore liable under the provision for such failures but only for failing to take necessary and reasonable measures to prevent or to punish.” There is no reason for the Appeals Chamber to depart from that position. The Trial Judgement’s interpretation of the </w:t>
      </w:r>
      <w:r w:rsidRPr="004D74E4">
        <w:rPr>
          <w:rFonts w:ascii="Times New Roman" w:eastAsia="Times New Roman" w:hAnsi="Times New Roman" w:cs="Times New Roman"/>
          <w:i/>
          <w:iCs/>
          <w:sz w:val="24"/>
          <w:szCs w:val="24"/>
          <w:lang w:val="en-US"/>
        </w:rPr>
        <w:lastRenderedPageBreak/>
        <w:t>standard is not consistent with the jurisprudence of the Appeals Chamber in this regard and must be corrected accordingly.</w:t>
      </w:r>
      <w:r>
        <w:rPr>
          <w:rFonts w:ascii="Times New Roman" w:eastAsia="Times New Roman" w:hAnsi="Times New Roman" w:cs="Times New Roman"/>
          <w:i/>
          <w:iCs/>
          <w:noProof/>
          <w:sz w:val="24"/>
          <w:szCs w:val="24"/>
        </w:rPr>
        <w:drawing>
          <wp:inline distT="0" distB="0" distL="0" distR="0">
            <wp:extent cx="151130" cy="142875"/>
            <wp:effectExtent l="19050" t="0" r="1270" b="0"/>
            <wp:docPr id="348" name="Imagen 3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mental element “had reason to know” as articulated in the Statute, does not automatically imply a duty to obtain information. The Appeals Chamber emphasizes that responsibility can be imposed for deliberately refraining from finding out but not for negligently failing to find out.</w:t>
      </w:r>
      <w:r>
        <w:rPr>
          <w:rFonts w:ascii="Times New Roman" w:eastAsia="Times New Roman" w:hAnsi="Times New Roman" w:cs="Times New Roman"/>
          <w:i/>
          <w:iCs/>
          <w:noProof/>
          <w:sz w:val="24"/>
          <w:szCs w:val="24"/>
        </w:rPr>
        <w:drawing>
          <wp:inline distT="0" distB="0" distL="0" distR="0">
            <wp:extent cx="151130" cy="142875"/>
            <wp:effectExtent l="19050" t="0" r="1270" b="0"/>
            <wp:docPr id="349" name="Imagen 3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Appeals Chamber considers that the provisions of Article 7(1) and Article 7(3) of the [1993 ICTY] Statute connote distinct categories of criminal responsibility. However, the Appeals Chamber considers that, in relation to a particular count, it is not appropriate to convict under both Article 7(1) and Article 7(3) of the Statute. Where both Article 7(1) and Article 7(3) responsibility are alleged under the same count, and where the legal requirements pertaining to both of these heads of responsibility are met, a Trial Chamber should enter a conviction on the basis of Article 7(1) only, and consider the accused’s superior position as an aggravating factor in sentencing.</w:t>
      </w:r>
      <w:r>
        <w:rPr>
          <w:rFonts w:ascii="Times New Roman" w:eastAsia="Times New Roman" w:hAnsi="Times New Roman" w:cs="Times New Roman"/>
          <w:i/>
          <w:iCs/>
          <w:noProof/>
          <w:sz w:val="24"/>
          <w:szCs w:val="24"/>
        </w:rPr>
        <w:drawing>
          <wp:inline distT="0" distB="0" distL="0" distR="0">
            <wp:extent cx="151130" cy="142875"/>
            <wp:effectExtent l="19050" t="0" r="1270" b="0"/>
            <wp:docPr id="350" name="Imagen 3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(i) that the accused is the superior of (ii) subordinates sufficiently identified, (iii) over whom he had effective control – in the sense of a material ability to prevent or punish criminal conduct – and (iv) for whose acts he is alleged to be responsible;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the conduct of the accused by which he may be found to (i) have known or had reason to know that the crimes were about to be committed or had been committed by his subordinates, and (ii) the related conduct of those others for whom he is alleged to be responsible. The facts relevant to the acts of those others for whose acts the accused is alleged to be responsible as a superior, although the Prosecution remains obliged to give all the particulars which it is able to give, will usually be stated with less precision, because the detail of those acts are often unknown, and because the acts themselves are often not very much in issue; and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(c) the conduct of the accused by which he may be found to have failed to take the necessary and reasonable measures to prevent such acts or to punish the persons who committed them.</w:t>
      </w:r>
      <w:r>
        <w:rPr>
          <w:rFonts w:ascii="Times New Roman" w:eastAsia="Times New Roman" w:hAnsi="Times New Roman" w:cs="Times New Roman"/>
          <w:i/>
          <w:iCs/>
          <w:noProof/>
          <w:sz w:val="24"/>
          <w:szCs w:val="24"/>
        </w:rPr>
        <w:drawing>
          <wp:inline distT="0" distB="0" distL="0" distR="0">
            <wp:extent cx="151130" cy="142875"/>
            <wp:effectExtent l="19050" t="0" r="1270" b="0"/>
            <wp:docPr id="351" name="Imagen 3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[E]ven though a determination of the necessary and reasonable measures that a commander is required to take in order to prevent or punish the commission of crimes, is dependent on the circumstances surrounding each particular situation, it generally concurs with the Celebici Trial Chamber which held: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[i]t must, however, be recognised that international law cannot oblige a superior to perform the impossible. Hence, a superior may only be held criminally responsible for failing to take such measures that are within his powers. The question then arises of what actions are to be considered to be within the superior’s powers in this sense. As the corollary to the standard adopted by the Trial Chamber with respect to the concept of superior, we conclude that a superior should be held responsible for failing to take such measures that are within his material possibility.</w:t>
      </w:r>
      <w:r>
        <w:rPr>
          <w:rFonts w:ascii="Times New Roman" w:eastAsia="Times New Roman" w:hAnsi="Times New Roman" w:cs="Times New Roman"/>
          <w:i/>
          <w:iCs/>
          <w:noProof/>
          <w:sz w:val="24"/>
          <w:szCs w:val="24"/>
        </w:rPr>
        <w:drawing>
          <wp:inline distT="0" distB="0" distL="0" distR="0">
            <wp:extent cx="151130" cy="142875"/>
            <wp:effectExtent l="19050" t="0" r="1270" b="0"/>
            <wp:docPr id="352" name="Imagen 3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[U]nder Article 7(3) of the Statute, effective control means the possession by the superior or commander of the material ability to prevent and punish the commission of crimes subject to the jurisdiction of the International Tribunal. The Appeals Chamber also recalls that to establish superior responsibility, three elements of that responsibility must be proved beyond reasonable doubt: the existence of a superior-subordinate relationship; the fact that the superior knew or had reason to know that the criminal act was about to be or had been committed; and the fact that the superior failed to take the necessary and reasonable measures to prevent the criminal act or punish the perpetrator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353" name="Imagen 3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[I]t has been established that superior responsibility may entail inter alia the submission of reports to the competent authorities in order to constitute a reasonable </w:t>
      </w:r>
      <w:r w:rsidRPr="004D74E4">
        <w:rPr>
          <w:rFonts w:ascii="Times New Roman" w:eastAsia="Times New Roman" w:hAnsi="Times New Roman" w:cs="Times New Roman"/>
          <w:i/>
          <w:iCs/>
          <w:sz w:val="24"/>
          <w:szCs w:val="24"/>
          <w:lang w:val="en-US"/>
        </w:rPr>
        <w:lastRenderedPageBreak/>
        <w:t>and necessary measure aimed at preventing or repressing the infraction. Commanders are under a duty to report infractions to the competent authorities as is specifically provided for both by the SFRY [Socialist Federal Republic of Yugoslavia] regulations concerning the application of the international law of war, and by Article 87(1) of Additional Protocol I, and by Article 86(2) of Additional Protocol I. Notably, this duty is present even in circumstances where the commander may not exercise effective control over the perpetrators of the infractions concerned such that he can punish them.</w:t>
      </w:r>
      <w:r>
        <w:rPr>
          <w:rFonts w:ascii="Times New Roman" w:eastAsia="Times New Roman" w:hAnsi="Times New Roman" w:cs="Times New Roman"/>
          <w:i/>
          <w:iCs/>
          <w:noProof/>
          <w:sz w:val="24"/>
          <w:szCs w:val="24"/>
        </w:rPr>
        <w:drawing>
          <wp:inline distT="0" distB="0" distL="0" distR="0">
            <wp:extent cx="151130" cy="142875"/>
            <wp:effectExtent l="19050" t="0" r="1270" b="0"/>
            <wp:docPr id="354" name="Imagen 3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In its judgment on appeal in the Mucić case in 2001, the ICTY Appeals Chamber upheld the interpretation of Article 7(3) of the 1993 ICTY Statute given by the Trial Chamber to the standard “had reason to know” and stated: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 superior will be criminally responsible through the principles of superior responsibility only if information was available to him which would have put him on notice of offences committed by subordinates. This is consistent with the customary law standard of mens rea as existing at the time of the offences charged in the indictment.</w:t>
      </w:r>
      <w:r>
        <w:rPr>
          <w:rFonts w:ascii="Times New Roman" w:eastAsia="Times New Roman" w:hAnsi="Times New Roman" w:cs="Times New Roman"/>
          <w:i/>
          <w:iCs/>
          <w:noProof/>
          <w:sz w:val="24"/>
          <w:szCs w:val="24"/>
        </w:rPr>
        <w:drawing>
          <wp:inline distT="0" distB="0" distL="0" distR="0">
            <wp:extent cx="151130" cy="142875"/>
            <wp:effectExtent l="19050" t="0" r="1270" b="0"/>
            <wp:docPr id="355" name="Imagen 3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its judgment in the Kunarac case in 2001, the ICTY Trial Chamber, under the heading “Command responsibility under Article 7(3) of the [1993 ICTY] Statute”,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395. … The following three conditions must be met before a commander can be held responsible for the acts of his or her subordinates: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failed to take the necessary and reasonable measures to prevent the criminal act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396. Because of the findings of the Trial Chamber, it need only deal with the first of those elements. A superior-subordinate relationship must exist for the recognition of this kind of responsibility. However, such a relationship cannot be determined by reference to formal status alone. Accordingly, formal designation as a commander is not necessary for establishing command responsibility, as such responsibility may be recognised by virtue of a person’s de facto, as well as de jure, position as a commander. What must be established is that the superior had effective control over subordinates. That means that he must have had the material ability to exercise his powers to prevent and punish the commission of the subordinates’ offences.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397. The relationship between the commander and his subordinates need not have been formalized; a tacit or implicit understanding between them as to their positioning vis-à-vis one another is sufficient. The giving of orders or the exercise of powers generally attached to a military command are strong indications that an individual is indeed a commander. But these are not the sole relevant factors.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398. Depending on the circumstances, a commander with superior responsibility under Article 7(3) may be a colonel commanding a brigade, a corporal commanding a platoon or even a rankless individual commanding a small group of men. The Commentary to the two Additional Protocols of 1977 to the Geneva Conventions of 1949 states: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As there is no part of the army which is not subordinated to a military commander at whatever level, this [command] responsibility applies from the highest to the lowest level of the hierarchy, from the Commander-in-Chief down to the common soldier who takes over as head of the platoon.</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lastRenderedPageBreak/>
        <w:t>This conclusion is also supported by the legislation in force at the time in the relevant area, namely, the former SFRY [Socialist Federal Republic of Yugoslavia] and later the Republika Srpska.</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399. Both those permanently under an individual’s command and those who are so only temporarily or on an ad hoc basis can be regarded as being under the effective control of that particular individual. The temporary nature of a military unit is not, in itself, sufficient to exclude a relationship of subordination between the members of a unit and its commander. To be held liable for the acts of men who operated under him on an ad hoc or temporary basis, it must be shown that, at the time when the acts charged in the Indictment were committed, these persons were under the effective control of that particular individual.</w:t>
      </w:r>
      <w:r>
        <w:rPr>
          <w:rFonts w:ascii="Times New Roman" w:eastAsia="Times New Roman" w:hAnsi="Times New Roman" w:cs="Times New Roman"/>
          <w:i/>
          <w:iCs/>
          <w:noProof/>
          <w:sz w:val="24"/>
          <w:szCs w:val="24"/>
        </w:rPr>
        <w:drawing>
          <wp:inline distT="0" distB="0" distL="0" distR="0">
            <wp:extent cx="151130" cy="142875"/>
            <wp:effectExtent l="19050" t="0" r="1270" b="0"/>
            <wp:docPr id="356" name="Imagen 3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its judgment in the Kordić and Čerkez case in 2001, the ICTY Trial Chamber held: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Article 7 [of the 1993 ICTY Statute] is clearly intended to assign individual criminal responsibility at different levels, both subordinate and superior, for the commission of crimes listed in Articles 2 to 5 of the Statute. Article 7 gives effect to a general principle of criminal law that an individual is responsible for his acts and omissions. It provides that an individual may be held criminally responsible for the direct commission of a crime, whether as an individual or jointly, or through his omissions for the crimes of his subordinates when under an obligation to act. Article 7(3) of the Statute sets forth the principle governing the responsibility of superiors commonly referred to as “command responsibility”.</w:t>
      </w:r>
      <w:r>
        <w:rPr>
          <w:rFonts w:ascii="Times New Roman" w:eastAsia="Times New Roman" w:hAnsi="Times New Roman" w:cs="Times New Roman"/>
          <w:i/>
          <w:iCs/>
          <w:noProof/>
          <w:sz w:val="24"/>
          <w:szCs w:val="24"/>
        </w:rPr>
        <w:drawing>
          <wp:inline distT="0" distB="0" distL="0" distR="0">
            <wp:extent cx="151130" cy="142875"/>
            <wp:effectExtent l="19050" t="0" r="1270" b="0"/>
            <wp:docPr id="357" name="Imagen 3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369. The type of responsibility provided for in Article 7(3) [of the 1993 ICTY Statute] may be described as “indirect” as it does not stem from a “direct” involvement by the superior in the commission of a crime but rather from his omission to prevent or punish such offence, i.e., of his failure to act in spite of knowledge. This responsibility arises only where the superior is under a legal obligation to act … The duty that rests on military commanders properly to supervise their subordinates is for instance expressed in Article 87 of Additional Protocol I, entitled “Duty of commanders”, which imposes an affirmative duty on them to prevent persons under their control from committing violations of international humanitarian law, and to punish the perpetrators if violations occur. Liability under Article 7(3) is based on an omission as opposed to positive conduct. It should be emphasised that the doctrine of command responsibility does not hold a superior responsible merely because he is in a position of authority as, for a superior to be held liable, it is necessary to prove that he “knew or had reason to know” of the offences and failed to act to prevent or punish their occurrence. Superior responsibility, which is a type of imputed responsibility, is therefore not a form of strict liability.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371. The Trial Chamber is of the view that in cases where the evidence presented demonstrates that a superior would not only have been informed of subordinates’ crimes committed under his authority, but also exercised his powers to plan, instigate or otherwise aid and abet in the planning, preparation or execution of these crimes, the type of criminal responsibility incurred may be better characterised by Article 7(1) [of the 1993 ICTY Statute]. Where the omissions of an accused in a position of superior authority contribute (for instance by encouraging the perpetrator) to the commission of a crime by a subordinate, the conduct of the superior may constitute a basis for liability under Article 7(1).</w:t>
      </w:r>
      <w:r>
        <w:rPr>
          <w:rFonts w:ascii="Times New Roman" w:eastAsia="Times New Roman" w:hAnsi="Times New Roman" w:cs="Times New Roman"/>
          <w:i/>
          <w:iCs/>
          <w:noProof/>
          <w:sz w:val="24"/>
          <w:szCs w:val="24"/>
        </w:rPr>
        <w:drawing>
          <wp:inline distT="0" distB="0" distL="0" distR="0">
            <wp:extent cx="151130" cy="142875"/>
            <wp:effectExtent l="19050" t="0" r="1270" b="0"/>
            <wp:docPr id="358" name="Imagen 3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its judgment in the Kordić and Čerkez case in 2004, the ICTY Appeals Chamber noted that ICTY case law recognizes “three elements that have to be proved in order to establish command responsibility under Article 7(3) of the [1993 ICTY] Statute”: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 xml:space="preserve">(1) the relationship of superiority and subordination between the alleged commander and perpetrator of the crime;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 the mental element, or knowledge of the superior that his or her subordinate had committed or was about to commit the crime;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 the failure of the superior to prevent the commission of the crime or punish the perpetrator.</w:t>
      </w:r>
      <w:r>
        <w:rPr>
          <w:rFonts w:ascii="Times New Roman" w:eastAsia="Times New Roman" w:hAnsi="Times New Roman" w:cs="Times New Roman"/>
          <w:i/>
          <w:iCs/>
          <w:noProof/>
          <w:sz w:val="24"/>
          <w:szCs w:val="24"/>
        </w:rPr>
        <w:drawing>
          <wp:inline distT="0" distB="0" distL="0" distR="0">
            <wp:extent cx="151130" cy="142875"/>
            <wp:effectExtent l="19050" t="0" r="1270" b="0"/>
            <wp:docPr id="359" name="Imagen 3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Krstić case in 2001, the ICTY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604. According to the case law, the following three conditions must be met before a person can be held responsible for the acts of another person under Article 7(3) of the [1993 ICTY] Statute: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existence of a superior-subordinate 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superior failed to take the necessary and reasonable measures to prevent the criminal act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605. The facts pertaining to the commission of a crime may establish that the requirements for criminal responsibility under both Article 7(1) and Article 7(3) [of the 1993 ICTY Statute] are met. However, the Trial Chamber adheres to the belief that where a commander participates in the commission of a crime through his subordinates, by “planning”, “instigating” or “ordering” the commission of the crime, any responsibility under Article 7(3) is subsumed under Article 7(1). The same applies to the commander who incurs criminal responsibility under the joint criminal enterprise doctrine through the physical acts of his subordinates.</w:t>
      </w:r>
      <w:r>
        <w:rPr>
          <w:rFonts w:ascii="Times New Roman" w:eastAsia="Times New Roman" w:hAnsi="Times New Roman" w:cs="Times New Roman"/>
          <w:i/>
          <w:iCs/>
          <w:noProof/>
          <w:sz w:val="24"/>
          <w:szCs w:val="24"/>
        </w:rPr>
        <w:drawing>
          <wp:inline distT="0" distB="0" distL="0" distR="0">
            <wp:extent cx="151130" cy="142875"/>
            <wp:effectExtent l="19050" t="0" r="1270" b="0"/>
            <wp:docPr id="360" name="Imagen 3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647. The evidence also satisfies the three-pronged test established by the jurisprudence for General Krstic to incur command responsibility under Article 7(3) [of the 1993 ICTY Statute] for the participation of Drina Corps personnel in the killing campaign.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648. First, General Krstic exercised effective control over Drina Corps troops involved in the killings. Second, in terms of mens rea, not only was General Krstic fully aware of the ongoing killing campaign and of its impact on the survival of the Bosnian Muslim group at Srebrenica, as well as the fact that it was related to a widespread or systematic attack against Srebrenica’s Bosnian Muslim civilian population, but the Drina Corps (and Main Staff) officers and troops involved in conducting the executions had to have been aware of the genocidal objectives. Third, General Krstic failed to prevent his Drina Corps subordinates from participating in the crimes or to punish them thereafter.</w:t>
      </w:r>
      <w:r>
        <w:rPr>
          <w:rFonts w:ascii="Times New Roman" w:eastAsia="Times New Roman" w:hAnsi="Times New Roman" w:cs="Times New Roman"/>
          <w:i/>
          <w:iCs/>
          <w:noProof/>
          <w:sz w:val="24"/>
          <w:szCs w:val="24"/>
        </w:rPr>
        <w:drawing>
          <wp:inline distT="0" distB="0" distL="0" distR="0">
            <wp:extent cx="151130" cy="142875"/>
            <wp:effectExtent l="19050" t="0" r="1270" b="0"/>
            <wp:docPr id="361" name="Imagen 3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Trial Chamber, under Article 7(1) of the 1993 ICTY Statute, convicted Krstić as a principal co-perpetrator of genocide, persecutions, and murder as a violation of the laws or customs of war; it sentenced him to 46 years’ imprisonment.</w:t>
      </w:r>
      <w:r>
        <w:rPr>
          <w:rFonts w:ascii="Times New Roman" w:eastAsia="Times New Roman" w:hAnsi="Times New Roman" w:cs="Times New Roman"/>
          <w:i/>
          <w:iCs/>
          <w:noProof/>
          <w:sz w:val="24"/>
          <w:szCs w:val="24"/>
        </w:rPr>
        <w:drawing>
          <wp:inline distT="0" distB="0" distL="0" distR="0">
            <wp:extent cx="151130" cy="142875"/>
            <wp:effectExtent l="19050" t="0" r="1270" b="0"/>
            <wp:docPr id="362" name="Imagen 3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Krnojelac case before the ICTY in 2001, the accused was charged with crimes against humanity (persecution, torture, inhumane acts, murder, imprisonment and enslavement), punishable under Article 5 of the 1993 ICTY Statute, and violations of the laws or customs of war (torture, cruel treatment, murder and slavery), punishable under Article 3 of the 1993 ICTY Statute, for his role as the commander of the Foca Kazneno-Popravni Dom prison facility in Bosnia and Herzegovina.</w:t>
      </w:r>
      <w:r>
        <w:rPr>
          <w:rFonts w:ascii="Times New Roman" w:eastAsia="Times New Roman" w:hAnsi="Times New Roman" w:cs="Times New Roman"/>
          <w:i/>
          <w:iCs/>
          <w:noProof/>
          <w:sz w:val="24"/>
          <w:szCs w:val="24"/>
        </w:rPr>
        <w:drawing>
          <wp:inline distT="0" distB="0" distL="0" distR="0">
            <wp:extent cx="151130" cy="142875"/>
            <wp:effectExtent l="19050" t="0" r="1270" b="0"/>
            <wp:docPr id="363" name="Imagen 3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92. The elements of individual criminal responsibility under Article 7(3) of the [1993 ICTY] Statute have been firmly established by the jurisprudence of the Tribunal. Three conditions must be met before a superior can be held responsible for the acts of his or her subordinates: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1. the existence of a superior-subordinate relationship;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 xml:space="preserve">2. the superior knew or had reason to know that the subordinate was about to commit such acts or had done so; and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3. the superior failed to take the necessary and reasonable measures to prevent such acts or to punish the principal offenders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93. The existence of a superior-subordinate relationship requires a hierarchical relationship between the superior and subordinate. The relationship need not have been formalised and it is not necessarily determined by formal status alone. A hierarchical relationship may exist by virtue of an accused’s de facto, as well as de jure, position of superiority. What must be demonstrated is that the superior had “effective control” over the persons committing the alleged offences. Effective control means the material ability to prevent offences or punish the principal offenders. Where a superior has effective control and fails to exercise that power he will be responsible for the crimes committed by his subordinates. Two or more superiors may be held responsible for the same crime perpetrated by the same individual if it is established that the principal offender was under the command of both superiors at the relevant time.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94. It must be demonstrated that the superior knew or had reason to know that his subordinate was about to commit or had committed a crime. It must be proved that (i) the superior had actual knowledge, established through either direct or circumstantial evidence, that his subordinates were committing or about to commit crimes within the jurisdiction of the Tribunal, or (ii) he had in his possession information which would at least put him on notice of the risk of such offences, such information alerting him to the need for additional investigation to determine whether such crimes were or were about to be committed by his subordinates. This knowledge requirement has been applied uniformly in cases before this Tribunal to both civilian and military commanders. The Trial Chamber is accordingly of the view that the same state of knowledge is required for both civilian and military commanders.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95. It must be shown that the superior failed to take the necessary and reasonable measures to prevent or punish the crimes of his subordinates. The measures required of the superior are limited to those which are feasible in all the circumstances and are “within his power”. A superior is not obliged to perform the impossible. However, the superior has a duty to exercise the powers he has within the confines of those limitations.</w:t>
      </w:r>
      <w:r>
        <w:rPr>
          <w:rFonts w:ascii="Times New Roman" w:eastAsia="Times New Roman" w:hAnsi="Times New Roman" w:cs="Times New Roman"/>
          <w:i/>
          <w:iCs/>
          <w:noProof/>
          <w:sz w:val="24"/>
          <w:szCs w:val="24"/>
        </w:rPr>
        <w:drawing>
          <wp:inline distT="0" distB="0" distL="0" distR="0">
            <wp:extent cx="151130" cy="142875"/>
            <wp:effectExtent l="19050" t="0" r="1270" b="0"/>
            <wp:docPr id="364" name="Imagen 3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Sefer Halilović case before the ICTY in 2001, the accused, a senior officer in the Army of the Republic of Bosnia and Herzegovina (ABiH), was charged with murder as a violation of the laws or customs of war for his alleged role as a superior in acts committed by ABiH forces in the villages of Grabovica and Uzdol in 1993.</w:t>
      </w:r>
      <w:r>
        <w:rPr>
          <w:rFonts w:ascii="Times New Roman" w:eastAsia="Times New Roman" w:hAnsi="Times New Roman" w:cs="Times New Roman"/>
          <w:i/>
          <w:iCs/>
          <w:noProof/>
          <w:sz w:val="24"/>
          <w:szCs w:val="24"/>
        </w:rPr>
        <w:drawing>
          <wp:inline distT="0" distB="0" distL="0" distR="0">
            <wp:extent cx="151130" cy="142875"/>
            <wp:effectExtent l="19050" t="0" r="1270" b="0"/>
            <wp:docPr id="365" name="Imagen 3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accused], whilst holding the position of superior authority … , is criminally responsible for the acts of his subordinates, pursuant to Article 7(3) of the Statute. A superior is responsible for the acts of his subordinate(s) if he knew or had reason to know that his subordinate(s) were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366" name="Imagen 3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38. … It is clear that the form of responsibility set out in Article 7(3) of the Statute is based upon the duty of superiors to act, which consists of a duty to prevent and a duty to punish criminal acts of their subordinates. It is thus the “failure to act when under a duty to do so” which is the essence of this form of responsibility. As will be seen below, this duty to act arises by virtue of a superior’s possession of effective control over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39. The Trial Chamber recalls that the purpose behind the concept of command responsibility is to ensure compliance with the laws and customs of war and </w:t>
      </w:r>
      <w:r w:rsidRPr="004D74E4">
        <w:rPr>
          <w:rFonts w:ascii="Times New Roman" w:eastAsia="Times New Roman" w:hAnsi="Times New Roman" w:cs="Times New Roman"/>
          <w:i/>
          <w:iCs/>
          <w:sz w:val="24"/>
          <w:szCs w:val="24"/>
          <w:lang w:val="en-US"/>
        </w:rPr>
        <w:lastRenderedPageBreak/>
        <w:t>international humanitarian law generally. The principle of command responsibility may be seen in part to arise from one of the basic principles of international humanitarian law aiming at ensuring protection for protected categories of persons and objects during armed conflicts. This protection is at the very heart of international humanitarian law. Ensuring this protection requires, in the first place, preventative measures which commanders are in a position to take, by virtue of the effective control which they have over their subordinates, thereby ensuring the enforcement of international humanitarian law in armed conflict. A commander who possesses effective control over the actions of his subordinates is duty bound to ensure that they act within the dictates of international humanitarian law and that the laws and customs of war are therefore respected.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40. The elements of command responsibility are derived from the duties comprised in responsible command, and those duties are generally enforced through command responsibility. For many years the responsibility of commanders for the conduct of their troops has been recognised in domestic jurisdictions. The concept of responsible command can be seen in the earliest modern codifications of the laws of war. It was incorporated in the 1899 Hague Convention with Respect to the Laws and Customs of War on Land. It was also reproduced in Article 1 of the Regulations Respecting the Laws and Customs of War on Land annexed to the Fourth Hague Convention of 1907 which states: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laws, rights and duties of war apply not only to armies, but also to militia and volunteer corps fulfilling the following criteria:</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41. It was only in the aftermath of the Second World War that the concept of command responsibility for failure to act received its first judicial recognition in an international context. This form of responsibility by omission was formally recognised by Additional Protocol I of 8 June 1977 to the Geneva Conventions of 12 August 1949. Article 86 of Additional Protocol I affirms this form of responsibility, the basis for which is the duty placed on commanders by Article 87 of the same Protocol to preclude violations of the Geneva Conventions and their Additional Protocols.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 </w:t>
      </w:r>
      <w:r w:rsidRPr="004D74E4">
        <w:rPr>
          <w:rFonts w:ascii="Times New Roman" w:eastAsia="Times New Roman" w:hAnsi="Times New Roman" w:cs="Times New Roman"/>
          <w:i/>
          <w:iCs/>
          <w:sz w:val="24"/>
          <w:szCs w:val="24"/>
          <w:u w:val="single"/>
          <w:lang w:val="en-US"/>
        </w:rPr>
        <w:t>The Nature of Command Responsibility in International Law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42. The concept of command responsibility as a form of individual criminal responsibility emerged in the post World War II era in national war crimes legislation, as well as in some post World War II case law. Prior to this, the responsibility of commanders in international law had been connected with the responsibility of states to ensure compliance with the laws of war. However, the post World War II case law contained differing views as to the nature of command responsibility, that is as liability for the crimes of subordinates, or, as a sui generis responsibility for dereliction of duty.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43. National legislation enacted in the post World War II period, for example in Canada, France, and Britain, considered command responsibility as a form of accomplice liability. In other words, a commander’s failure to prevent or repress the breaches of international humanitarian law committed by his subordinates amounted to encouragement or assistance of the subordinates in the commission of the crime.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44. Certain post World War II trials attached liability to commanders for the crimes of their subordinates. For example, in Re Yamashita, although the charge was essentially one of breach of Yamashita’s duty as a commander, the United States Supreme Court attributed responsibility to Yamashita for having violated the laws of war by permitting his troops to commit atrocities. They based their imposition of individual responsibility on the concept of responsible command found in Article 1 of Fourth Hague Convention of 1907 and Article 43 of the annex thereto, Article 19 of the Tenth Hague Convention, and Article 26 of the Geneva Red Cross Convention. In his dissenting opinion, Justice </w:t>
      </w:r>
      <w:r w:rsidRPr="004D74E4">
        <w:rPr>
          <w:rFonts w:ascii="Times New Roman" w:eastAsia="Times New Roman" w:hAnsi="Times New Roman" w:cs="Times New Roman"/>
          <w:i/>
          <w:iCs/>
          <w:sz w:val="24"/>
          <w:szCs w:val="24"/>
          <w:lang w:val="en-US"/>
        </w:rPr>
        <w:lastRenderedPageBreak/>
        <w:t>Murphy argued that these provisions did not impose individual responsibility on a commander to control his troops, he stated that; “the laws of war heretofore recognized by this nation fail to impute responsibility to a fallen commander for excesses committed by his disorganised troops while under attack.” He noted that there were cases from the beginning of the 20th Century where commanding officers were found to have violated the laws of war where they knew that a crime was to be committed and where they had the power to prevent it, but failed to exercise that power. However, Justice Murphy’s main argument against the conviction of Yamashita was that there was no knowledge element. He stated “it is quite another thing to say that the inability to control troops under highly competitive and disastrous battle conditions renders one guilty of a war crime in the absence of personal culpability. Had there been some element of knowledge or direct connection with the atrocities the problem would be entirely different.” It would seem, therefore, that the Supreme Court, and Justice Murphy in his dissent, did not object to a commander’s liability for a war crime committed by his subordinates where he failed in his duty as a commander to control his troops. However, Justice Murphy considered that there must be a knowledge element for a commander to be held responsible.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45. The Hostage case, in examining the duty of commanders of occupied territory stated that “the commanding general of occupied territory, having executive authority as well as military command, will not be heard to say that a unit taking unlawful orders from someone other than himself was responsible for the crime and that he is thereby absolved from responsibility.” In examining the individual responsibility of defendant List, the Court stated that “absence from headquarters cannot and does not relieve one from responsibility for acts committed in accordance with a policy he instituted or in which he acquiesced.” However, the Court in that case also found that a defendant’s “failure to terminate […] unlawful killings and to take adequate steps to prevent their recurrence constitutes a serious breach of duty and imposes criminal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 The High Command case in examining the liability of defendant Von Leeb for the crimes of those within his area of command stated that to establish the guilt of a defendant from connection with the acts “of the SIPO and SD” “by acquiescence,” “not only must knowledge be established, but the time of such knowledge must be established.” The Court in that case also stated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“[c]riminal acts committed by those forces [under his command] cannot in themselves be charged to him on the theory of subordination. The same is true of other high commanders in the chain of command. Criminality does not attach to every individual in this chain of command from that fact alone. There must be a personal dereliction. That can occur only where the act is directly traceable to him or where his failure to properly supervise his subordinates constitutes criminal negligence on his part. In the latter case it must be a personal neglect amounting to a wanton, immoral disregard of the action of his subordinates amounting to acquiescence.”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47. The Toyoda case considered that the responsibility of a commander was for dereliction of duty, stating:</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the simplest language it may be said that this Tribunal believes the principle of command responsibility to be that if this accused knew, or should by the exercise of ordinary diligence have learned, of the commission by his subordinates, immediate or otherwise, of the atrocities […], and, by his failure to take any action to punish the perpetrators, permitted the atrocities to continue, he has failed in his performance of his duty as a commander and must be punished.”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48. It may be concluded, therefore, that the post World War II case law was not uniform in its determination as to the nature of the responsibility arising from the concept of </w:t>
      </w:r>
      <w:r w:rsidRPr="004D74E4">
        <w:rPr>
          <w:rFonts w:ascii="Times New Roman" w:eastAsia="Times New Roman" w:hAnsi="Times New Roman" w:cs="Times New Roman"/>
          <w:i/>
          <w:iCs/>
          <w:sz w:val="24"/>
          <w:szCs w:val="24"/>
          <w:lang w:val="en-US"/>
        </w:rPr>
        <w:lastRenderedPageBreak/>
        <w:t>command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49. Articles 86 and 87 of Additional Protocol I to the Geneva Conventions codified the concept of command responsibility. Article 86(2) provides for a commander’s liability, either criminal or disciplinary, for the crimes of his subordinates where he fails to “prevent or repress” those acts. The Commentary to paragraph 1 of Article 86 notes that responsibility for a breach of the Geneva Conventions consisting of a failure to act can only be established if the person failed to act when under a duty to do so. The Commentary to paragraph 2 of Article 86, which is to be read in conjunction with Article 87, acknowledges that this provision is the first in international law to impose penal sanctions for a failure to act. The Commentary notes that Article 86 applies both to breaches and to grave breaches, and that the term “penal or disciplinary” applies in the first case, while in the second case the principle of universal jurisdiction, understood as “aut dedere aut judicare” applies – that is the duty to extradite or prosecute. Thus, Article 86(2) attaches criminal responsibility for grave breaches of the Geneva Conventions. The Article is, however, silent as to the nature of the criminal responsibility – that is; whether it is responsibility for dereliction of duty or responsibility for the crimes of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50. With regard to the Statute of the Tribunal, the text of Article 7(3) is not explicit as to whether liability attaches to a commander for the crimes of his subordinates or for dereliction of duty. In this regard the reports submitted to the Security Council prior to the adoption of the Statute may be of assistance.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51. A reading of the Secretary General’s Report concerning Article 7(3) does not exclude the possibility that command responsibility under the Statute of the Tribunal may be responsibility for dereliction of duty. The Report states that a commander “should be held responsible for failure to prevent a crime or to deter the unlawful behaviour of his subordinates.” It is interesting to note in this respect, the clarification provided by the United Nations Commission of Experts Final Report. In examining command responsibility the Commission of Experts stated that superiors are “individually responsible for a war crime or crime against humanity committed by a subordinate”. The Commission of Experts, in addressing command responsibility in their First Interim Report, stated that “military commanders are under a specific obligation, with respect to members of the armed forces under their command[…] to prevent and[…]suppress”. Having cited the paragraphs from their Interim Report, including the above-mentioned element, the Commission of Experts noted in their Final Report that “Article 7 of the statute of the international tribunal uses an essentially similar formulation”. Thus, the Commission of Experts may have considered that Article 7(3) attached responsibility to commanders for the crimes of their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 The ILC Commentary, which is based upon Articles 86 and 87 of Additional Protocol I, and 7(3) of the ICTY Statute and Article 6(3) of the ICTR Statute, considered that a military commander may be held criminally responsible for the unlawful conduct of his subordinates if he contributes indirectly to the commission of a crime by failing to prevent or repress that crime. The ILC Commentary provides that Article 6 confirms the individual criminal responsibility of the superior who is held accountable for a crime against the peace and security of mankind committed by his subordinate if certain criteria are met. Furthermore, in elaborating the mental element they state that “Article 6 provides two criteria for determining whether a superior is to be held criminally responsible for the wrongful conduct of a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53. While the post World War II case law was divergent as to the question of the exact nature of command responsibility, and Article 86(2) of Additional Protocol I and Article 7(3) are silent as to the nature of the responsibility of commanders, whether command </w:t>
      </w:r>
      <w:r w:rsidRPr="004D74E4">
        <w:rPr>
          <w:rFonts w:ascii="Times New Roman" w:eastAsia="Times New Roman" w:hAnsi="Times New Roman" w:cs="Times New Roman"/>
          <w:i/>
          <w:iCs/>
          <w:sz w:val="24"/>
          <w:szCs w:val="24"/>
          <w:lang w:val="en-US"/>
        </w:rPr>
        <w:lastRenderedPageBreak/>
        <w:t>responsibility is a mode of liability for the crimes of subordinates or responsibility of a commander for dereliction of duty has not been considered at length in the jurisprudence of the Tribunal. However, the consistent jurisprudence of the Tribunal has found that a commander is responsible for the crimes of his subordinates under Article 7(3). For example, the Trial Chamber in Čelebići held that “[t]he type of individual criminal responsibility for the illegal acts of subordinates … is commonly referred to as ‘command responsibility’”. The Trial Chamber continued; “[t]hat military commanders and other persons occupying positions of superior authority may be held criminally responsible for the unlawful conduct of their subordinates is a well-established norm of customary and conventional international law.” It may be noted that in this regard the Trial Chamber cited the Secretary General’s Report in support of its determination. The Appeals Chamber in Čelebići also held that where a superior has effective control over his subordinates “he could be held responsible for the commission of the crimes if he failed to exercise such abilities of control”. However, the Trial Chamber notes that there are further interpretations of command responsibility before the Tribunal. The Trial Chamber notes that Articles 7(1) and 7(3) are distinct modes of liability, as the Trial Chamber in Aleksovski held: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doctrine of superior responsibility makes a superior responsible not for his acts sanctioned by Article 7(1) of the Statute but for his failure to act. A superior is held responsible for the acts of his subordinates if he did not prevent the perpetration of the crimes of his subordinates or punish them for the crimes.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Trial Chamber also recalls the Partially Dissenting Opinion of Judge Shahabuddeen in the Hadžihasanović Appeals Chamber Decision, stating:</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position of the appellants seems to be influenced by their belief that Article 7(3) of the Statute has the effect, as they say, of making the commander “guilty of an offence committed by others even though he neither possessed the applicable mens rea nor had any involvement whatsoever in the actus reus.” No doubt, arguments can be made in support of that reading of the provision, but I prefer to interpret the provision as making the commander guilty for failing in his supervisory capacity to take the necessary corrective action after he knows or has reason to know that his subordinate was about to commit the act or had done so.</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54. The Trial Chamber finds that under Article 7(3) command responsibility is responsibility for an omission. The commander is responsible for the failure to perform an act required by international law. This omission is culpable because international law imposes an affirmative duty on superiors to prevent and punish crimes committed by their subordinates. Thus “for the acts of his subordinates” as generally referred to in the jurisprudence of the Tribunal does not mean that the commander shares the same responsibility as the subordinates who committed the crimes, but rather that because of the crimes committed by his subordinates, the commander should bear responsibility for his failure to act. The imposition of responsibility upon a commander for breach of his duty is to be weighed against the crimes of his subordinates; a commander is responsible not as though he had committed the crime himself, but his responsibility is considered in proportion to the gravity of the offences committed. The Trial Chamber considers that this is still in keeping with the logic of the weight which international humanitarian law places on protection values.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 </w:t>
      </w:r>
      <w:r w:rsidRPr="004D74E4">
        <w:rPr>
          <w:rFonts w:ascii="Times New Roman" w:eastAsia="Times New Roman" w:hAnsi="Times New Roman" w:cs="Times New Roman"/>
          <w:i/>
          <w:iCs/>
          <w:sz w:val="24"/>
          <w:szCs w:val="24"/>
          <w:u w:val="single"/>
          <w:lang w:val="en-US"/>
        </w:rPr>
        <w:t>The Elements of Command Responsibility</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55. The principle of individual criminal responsibility of commanders for failure to prevent or to punish crimes committed by their subordinates is an established principle of customary international law. Article 7(3) of the Statute is applicable to all acts referred to in Articles 2 to 5 thereof and applies to both international and non-</w:t>
      </w:r>
      <w:r w:rsidRPr="004D74E4">
        <w:rPr>
          <w:rFonts w:ascii="Times New Roman" w:eastAsia="Times New Roman" w:hAnsi="Times New Roman" w:cs="Times New Roman"/>
          <w:i/>
          <w:iCs/>
          <w:sz w:val="24"/>
          <w:szCs w:val="24"/>
          <w:lang w:val="en-US"/>
        </w:rPr>
        <w:lastRenderedPageBreak/>
        <w:t>international armed conflicts.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 To hold a superior responsible under Article 7(3) of the Statute, the jurisprudence of the Tribunal has established that three elements must be satisfied: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failed to take the necessary and reasonable measures to prevent the criminal act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Superior-Subordinate Relationship</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57. It is the position of command over the perpetrator which forms the legal basis for the superior’s duty to act, and for his corollary liability for a failure to do so. As held by the Trial Chamber in Čelebići, the doctrine of command responsibility is “ultimately predicated upon the power of the superior to control the acts of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58. The main factor in determining a position of command is the “actual possession or non-possession of powers of control over the actions of subordinates”. In determining the degree of control required by the superior over the subordinate for command responsibility to be applicable, the Appeals Chamber endorsed the concept of “effective control”, which it defined as “the material ability to prevent and punish criminal conduct”. In this respect, factors indicative of an accused’s position of authority and effective control may include the official position held by the accused, his capacity to issue orders, whether de jure or de facto, the procedure for appointment, the position of the accused within the military or political structure and the actual tasks that he performed. The Appeals Chamber in Blaškić held that “the indicators of effective control are more a matter of evidence than of substantive law, and those indicators are limited to showing that the accused had the power to prevent, punish, or initiate measures leading to proceedings against the alleged perpetrators where appropriate”.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59. A degree of control which falls short of the threshold of effective control is insufficient for liability to attach under Article 7(3). “Substantial influence” over subordinates which does not meet the threshold of effective control is not sufficient under customary law to serve as a means of exercising command responsibility and, therefore, to impose criminal liability.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 The jurisprudence of the Tribunal has interpreted the concepts of command and subordination in a relatively broad sense. Command does not arise solely from the superior’s formal or de jure status, but can also be “based on the existence of de facto powers of control”. In this respect, the necessity to establish the existence of a hierarchical relationship between the superior and the subordinate does “not […] import a requirement of direct or formal subordination”.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61. Command responsibility applies to every commander at every level in the armed forces. This includes responsibility for troops who have been temporarily assigned to that commander. Article 87(1) of Additional Protocol I states that the duty of commanders applies “to the armed forces under their command and other persons under their control”. The ICRC Commentary to Article 87(1) provides: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 commander may, for a particular operation and for a limited period of time, be supplied with reinforcements consisting of troops who are not normally under his command. He must ensure that these members of the armed forces comply with the Conventions and the Protocol as long as they remain under his command.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To hold a commander liable for the acts of troops who operated under his command on a temporary basis it must be shown that at the time when the acts charged in the indictment were committed, these troops were under the effective control of that commander.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62. The Trial Chamber also recalls that the test of effective control implies that more than one superior may be held responsible for his failure to prevent or punish the same crime committed by a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63. Consistent with the above reasoning, there is no requirement that the superior-subordinate relationship be direct or immediate in nature for a commander to be found liable for the acts of his subordinate. What is required is the establishment of the superior’s effective control over the subordinate, whether that subordinate is immediately answerable to that superior or more remotely under his command. As to whether the superior has the requisite level of control, this is a matter which must be determined on the basis of the evidence presented in each case.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Mental Element: “Knew Or Had Reason To Know”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64. The mental element required for a superior to be held responsible under Article 7(3) of the Statute is established where the superior knew or had reason to know that the subordinate was about to commit or had committed a crime.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65. Superior responsibility is not a form of strict liability. It must be proved either that (1) the superior had actual knowledge that his subordinates were committing or about to commit crimes within the jurisdiction of the Tribunal, or that (ii) he had in his possession information which would at least put him on notice of the risk of such offences, such information alerting him to the need for additional investigation to determine whether such crimes had been or were about to be committed by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 </w:t>
      </w:r>
      <w:r w:rsidRPr="004D74E4">
        <w:rPr>
          <w:rFonts w:ascii="Times New Roman" w:eastAsia="Times New Roman" w:hAnsi="Times New Roman" w:cs="Times New Roman"/>
          <w:i/>
          <w:iCs/>
          <w:sz w:val="24"/>
          <w:szCs w:val="24"/>
          <w:u w:val="single"/>
          <w:lang w:val="en-US"/>
        </w:rPr>
        <w:t>Actual Knowledge</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66. A superior’s actual knowledge that his subordinates were committing or were about to commit a crime cannot be presumed, but may be established through circumstantial evidence. Factors which may be considered in this respect include the number, type and scope of illegal acts committed by the subordinates as alleged in the indictment, the time during which the illegal acts occurred, the number and types of troops and logistics involved, the geographical location, whether the occurrence of the acts is widespread, the tactical tempo of operations, the modus operandi of similar illegal acts, the officers and staff involved, and the location of the commander at the time. In relation to geographical and temporal circumstances, the more physically distant the superior was from the scene of the crimes, the more evidence which may be necessary to prove that he had actual knowledge of them. On the other hand, if the crimes were committed next to the superior’s duty-station this may be an important indicium that the superior had knowledge of the crimes, and even more so if the crimes were repeatedly committed. Additionally, the fact that a military commander “will most probably” be part of an organised structure with reporting and monitoring systems has been found to facilitate proof of actual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(ii) </w:t>
      </w:r>
      <w:r w:rsidRPr="004D74E4">
        <w:rPr>
          <w:rFonts w:ascii="Times New Roman" w:eastAsia="Times New Roman" w:hAnsi="Times New Roman" w:cs="Times New Roman"/>
          <w:i/>
          <w:iCs/>
          <w:sz w:val="24"/>
          <w:szCs w:val="24"/>
          <w:u w:val="single"/>
          <w:lang w:val="en-US"/>
        </w:rPr>
        <w:t>“Had Reason to know”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67. A commander will be considered to have “had reason to know” only if information was available to him which would have put him on notice of offences committed by his subordinates, or about to be committed. The Appeals Chamber in Čelebići , held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phrase, “had reason to know”, is not as clear in meaning as that of “had information enabling them to conclude”, although it may be taken as effectively having a similar meaning. The latter standard is more explicit, and its rationale is plain: failure to conclude, or conduct additional inquiry, in spite of alarming information constitutes knowledge of subordinate offences. Failure to act when required to act with such knowledge is the basis for attributing liability in this category of case.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68. The Appeals Chamber in Čelebići held that even general information in the possession of the commander which would put him on notice of possible unlawful acts </w:t>
      </w:r>
      <w:r w:rsidRPr="004D74E4">
        <w:rPr>
          <w:rFonts w:ascii="Times New Roman" w:eastAsia="Times New Roman" w:hAnsi="Times New Roman" w:cs="Times New Roman"/>
          <w:i/>
          <w:iCs/>
          <w:sz w:val="24"/>
          <w:szCs w:val="24"/>
          <w:lang w:val="en-US"/>
        </w:rPr>
        <w:lastRenderedPageBreak/>
        <w:t>by his subordinates would be sufficient. This information does not need to provide specific information about unlawful acts committed or about to be committed; if a military commander, for example, has received information that some of the soldiers under his command have a violent or unstable character, or have been drinking prior to being sent on a mission, he may be considered as having the requisite knowledge. The Appeals Chamber also made reference to the Commentary to Additional Protocol I, which refers to “reports addressed to the superior, […] the tactical situation, the level of training and instruction of subordinate officers and their troops, and their character traits” as potentially constituting the information referred to in Article 86(2) of Additional Protocol I. A superior may be regarded as having “reason to know” if he is in possession of sufficient information to be on notice of the likelihood of illegal acts by his subordinates, that is, if the information available is sufficient to justify further inquiry. However, the information in fact available to him need not be such that, by itself, it was sufficient to compel the conclusion of the existence of such crimes. Thus a commander’s knowledge of, for example, the criminal reputation of his subordinates may be sufficient to meet the mens rea standard required by Article 7(3) of the Statute if it amounted to information which would put him on notice of the “present and real risk” of offences within the jurisdiction of the Tribunal.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69. A superior is not liable for failing to acquire information in the first place. The Appeals Chamber has held that knowledge cannot be presumed if a person fails in his duty to obtain the relevant information of a crime, but it may be presumed where a superior had the means to obtain the relevant information and deliberately refrained from doing so. Furthermore, a commander is not permitted to remain “wilfully blind” of the acts of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70. The Trial Chamber notes that an assessment of the mental element required by Article 7(3) of the Statute should be conducted in the specific circumstances of each case, taking into account the specific situation of the superior concerned at the time in question. This is a factual assessment to be made on the basis of the evidence presented to the Trial Chamber.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71. In conclusion, the Trial Chamber must be satisfied that, pursuant to Article 7(3) of the Statute, the accused either “knew” or “had reason to know”. In this respect, the Trial Chamber notes that the Appeals Chamber has held that criminal negligence is not a basis of liability in the context of command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(c) </w:t>
      </w:r>
      <w:r w:rsidRPr="004D74E4">
        <w:rPr>
          <w:rFonts w:ascii="Times New Roman" w:eastAsia="Times New Roman" w:hAnsi="Times New Roman" w:cs="Times New Roman"/>
          <w:i/>
          <w:iCs/>
          <w:sz w:val="24"/>
          <w:szCs w:val="24"/>
          <w:u w:val="single"/>
          <w:lang w:val="en-US"/>
        </w:rPr>
        <w:t>Failure to Prevent or Punish</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72. Article 7(3) contains two distinct legal obligations: to prevent the commission of the offence and to punish the perpetrators thereof. The duty to prevent arises when the commander acquires actual knowledge or has reasonable grounds to suspect that a crime is being or is about to be committed, while the duty to punish arises after the commission of the crime. A failure to take the necessary and reasonable measures to prevent an offence of which a superior knew or had reason to know cannot be cured simply by subsequently punishing the subordinate for the commission of the offence.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 </w:t>
      </w:r>
      <w:r w:rsidRPr="004D74E4">
        <w:rPr>
          <w:rFonts w:ascii="Times New Roman" w:eastAsia="Times New Roman" w:hAnsi="Times New Roman" w:cs="Times New Roman"/>
          <w:i/>
          <w:iCs/>
          <w:sz w:val="24"/>
          <w:szCs w:val="24"/>
          <w:u w:val="single"/>
          <w:lang w:val="en-US"/>
        </w:rPr>
        <w:t>Necessary and Reasonable Measures</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73. The question of whether a superior has failed to take all necessary and reasonable measures to prevent the commission of an offence or to punish the perpetrators thereof is intrinsically connected to the question of that superior’s effective control. A superior will be liable for a failure to take such measures that are “within his material possibility”. A superior has a duty to exercise the measures possible under the circumstances. Therefore, the question as to whether a superior had explicit legal capacity to take such measures may be irrelevant under certain circumstances if it is proven that he had the material ability to act.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74. The determination of what constitutes “necessary and reasonable measures” to prevent the commission of crimes or to punish the perpetrators is not a matter of substantive law but of evidence. These measures are such that can be taken within the material ability of a commander as evidenced by the degree of effective control he wielded over his subordinates. It is well established these measures may “vary from case to case”. When determining whether necessary and reasonable measures have been taken, the relevant factors to be considered include: whether specific orders prohibiting or stopping the criminal activities were issued, what measures to secure the implementation of these orders were taken, what other measures were taken to ensure that the unlawful acts were interrupted and whether these measures were reasonably sufficient in the specific circumstances, and, after the commission of the crime, what steps were taken to secure an adequate investigation and to bring the perpetrators to justice.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(ii) </w:t>
      </w:r>
      <w:r w:rsidRPr="004D74E4">
        <w:rPr>
          <w:rFonts w:ascii="Times New Roman" w:eastAsia="Times New Roman" w:hAnsi="Times New Roman" w:cs="Times New Roman"/>
          <w:i/>
          <w:iCs/>
          <w:sz w:val="24"/>
          <w:szCs w:val="24"/>
          <w:u w:val="single"/>
          <w:lang w:val="en-US"/>
        </w:rPr>
        <w:t>Causation</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75. In relation to the issue of whether the nexus of causation exists in the concept of command responsibility, the Trial Chamber notes that the Čelebići Trial Chamber held: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Notwithstanding the central place assumed by the principle of causation in criminal law, causation has not traditionally been postulated as a conditio sine qua non for the imposition of criminal liability on superiors for their failure to prevent or punish offences committed by their subordinates. Accordingly, the Trial Chamber has found no support for the existence of a requirement of proof of causation as a separate element of superior responsibility, either in the existing body of case law, the formulation of the principle in existing treaty law, or, with one exception, in the abundant literature on this subject.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This is not to say that, conceptually, the principle of causality is without application to the doctrine of command responsibility insofar as it relates to the responsibility of superiors for their failure to prevent the crimes of their subordinates. In fact, a recognition of a necessary causal nexus may be considered to be inherent in the requirement of crimes committed by subordinates and the superior’s failure to take the measures within his powers to prevent them. In this situation, the superior may be considered to be causally linked to the offences, in that, but for his failure to fulfil his duty to act, the acts of his subordinates would not have been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76. The Čelebići Trial Chamber concluded that the very existence of the principle of superior responsibility for failure to punish, recognised under Article 7(3) and in customary law, demonstrates the absence of a requirement of causality as a separate element of the doctrine of superior responsibility. The Kordić and Čerkez Trial Chamber also endorsed this view.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77. The Appeals Chamber in Blaškić stated that it was “not persuaded by [the argument] that the existence of causality between a commander’s failure to prevent subordinates’ crimes and the occurrence of these crimes, is an element of command responsibility that requires proof by the Prosecution in all circumstances of a case”.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 The Trial Chamber further notes that the nature of command responsibility itself, as a sui generis form of liability, which is distinct from the modes of individual responsibility set out in Article 7(1), does not require a causal link. Command responsibility is responsibility for omission, which is culpable due to the duty imposed by international law upon a commander. If a causal link were required this would change the basis of command responsibility for failure to prevent or punish to the extent that it would practically require involvement on the part of the commander in the crime his subordinates committed, thus altering the very nature of the liability imposed under Article 7(3).</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 xml:space="preserve">(iii) </w:t>
      </w:r>
      <w:r w:rsidRPr="004D74E4">
        <w:rPr>
          <w:rFonts w:ascii="Times New Roman" w:eastAsia="Times New Roman" w:hAnsi="Times New Roman" w:cs="Times New Roman"/>
          <w:i/>
          <w:iCs/>
          <w:sz w:val="24"/>
          <w:szCs w:val="24"/>
          <w:u w:val="single"/>
          <w:lang w:val="en-US"/>
        </w:rPr>
        <w:t>Duty to Prevent</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79. According to the jurisprudence of the Tribunal, the duty to prevent should be understood as resting on a superior at any stage before the commission of a subordinate crime if he acquires knowledge that such a crime is being prepared or planned, or has reason to know thereof.</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80. The duty to prevent may be seen to include both a “general obligation” and a “specific obligation” to prevent crimes within the jurisdiction of the Tribunal. The Trial Chamber notes, however, that only the “specific obligation” to prevent triggers criminal responsibility as provided for in Article 7(3)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General obligation</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81. The existence of a general obligation to prevent the commission of crimes stems from the duty of a commander, arising from his position of effective control, which places him in the best position to prevent serious violations of international humanitarian law. This obligation can be seen to arise from the importance which international humanitarian law places on the prevention of violations.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82. In the post World War II jurisprudence, both the Hostage and High Command cases considered that there was a positive duty on commanders to maintain order and protect the civilian population within their area of command. Similarly, the Toyoda judgement explicitly recognised that superiors have “[a] duty to control, to take necessary steps to prevent commission […] of atrocities, and to punish offenders”.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83. The codification of the concept of command responsibility in Article 87 of Additional Protocol I also indicates the existence of a prior preventative duty. It imposes a duty on commanders to “ensure that members of the armed forces under their command are aware of their obligations under the Conventions and this Protocol.” The ICRC Commentary to Article 87 paragraph 3, in examining the issue of the competing needs of respect for the Conventions and the commander’s need to focus on combat, states: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first, the preventive stage, which consists of instructing members of the armed forces and inculcating habits and reflexes which are reconcilable with the requirements of the Conventions, does not take place during combat, but before -- even before war has broken out. Secondly it is appropriate to point out that orders are not only given during combat, but mostly beforehand. All orders given before combat should always and at every level include a reminder of the provisions of the Conventions that are relevant in the particular situation.</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84. There also appears to be a requirement that a commander ensure order and exercise control over troops, which includes, for example, a need to be aware of the condition of troops, and to impose discipline. As noted above, the ICRC Commentary to Article 87 of Additional Protocol I states that a commander is required to exercise discipline over his troops to a sufficient degree.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85. The ICRC Commentary further states that it is because military commanders have the means for ensuring respect for the rules of the Conventions that they have the authority “and more than anyone else they can prevent breaches by creating the appropriate frame of mind, ensuring the rational use of the means of combat and by maintaining discipline.” The Commentary to Article 87, paragraph 2 notes the need for commanders to ensure proper training of their troops, considering that account should be taken of the situation or the morale of the troops and, for example, of the probable presence of civilians in the neighbourhood of the military objective and the conduct to be observed towards them. It continues “[i]t is in fact ‘in order to prevent and suppress breaches’ that military commanders are responsible for such instruction and with the duty to supervise it.”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86. It transpires from the jurisprudence of the Tribunal that some prior preventative measures may be required of a superior. The Trial Chamber in the Čelebići case found that: “an important gap in any preventive efforts made by Mr. Mucić is that he as commander never gave any instructions to the guards as to how to treat the detainees.” The Trial Chamber in Kvočka found that: “[t]here was certainly a duty to train and control the guards in the camp, and to prevent and punish criminal conduct.” Similarly, the Trial Chamber in the Strugar case found that “[i]t remains relevant […] that nothing had been done by the Accused before the attack […] commenced to ensure that those planning, commanding and leading the attack […] were reminded of the restraints on shelling the Old Town [of Dubrovnik], or to reinforce existing prohibition orders.”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87. The Trial Chamber notes that it is well established that international humanitarian law intends to bar not only actual breaches of its norms, but aims also at preventing its potential breaches. As noted above, international humanitarian law entrusts commanders with a role of guarantors of laws dealing with humanitarian protection and war crimes, and for this reason they are placed in a position of control over the acts of their subordinates, and it is this position which generates a responsibility for failure to act. It is a natural element of the preventative constituent of command responsibility that a commander must make efforts to ensure that his troops are properly informed of their responsibilities in international law, and that they act in an orderly fashion.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88. While it is evident that no criminal liability may attach to the commander for failure in this duty per se, it may be an element to be taken into consideration when examining the factual circumstances of the case. However, the adherence to this general obligation does not suffice by itself to avoid the commander[‘]s criminal liability in case he fails to take the necessary appropriate measure under his specific obligation.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Specific Obligation</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89. As noted above, what the duty to prevent entails in a particular case will depend on the superior’s material ability to intervene in a specific situation. In establishing individual responsibility of superiors military tribunals set up in the aftermath of World War II have considered factors such as the superior’s failure to secure reports that military actions have been carried out in accordance with international law, the failure to issue orders aiming at bringing the relevant practices into accord with the rules of war, the failure to take disciplinary measures to prevent the commission of atrocities by the troops under their command, the failure to protest against or to criticise criminal action, and the failure to insist before a superior authority that immediate action be taken. The Tokyo Trial held that a superior’s duty may not be discharged by the issuance of routine orders and that more active steps may be required.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90. From the wording of Article 7(3) it is clear that the preventative element of the duty to prevent attaches where the subordinate “was about to commit such acts”, but before the actual offence has been committed. This interpretation is supported by the ICRC Commentary to Article 86 of Additional Protocol I which notes that paragraph 1 is a “general obligation to repress or suppress breaches resulting from a failure to act”, the use of the term “repress” in Article 86(1) of Additional Protocol I indicates that the duty only attaches where the subordinate is on the point of committing an offence and from the moment of knowledge on the part of the superior. As the Trial Chamber in Strugar held: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an accused cannot avoid the intended reach of the provision by doing nothing, on the basis that what he knows does not make it entirely certain that his forces were actually about to commit offences, when the information he possesses gives rise to a clear </w:t>
      </w:r>
      <w:r w:rsidRPr="006155D3">
        <w:rPr>
          <w:rFonts w:ascii="Times New Roman" w:eastAsia="Times New Roman" w:hAnsi="Times New Roman" w:cs="Times New Roman"/>
          <w:i/>
          <w:iCs/>
          <w:sz w:val="24"/>
          <w:szCs w:val="24"/>
          <w:lang w:val="en-US"/>
        </w:rPr>
        <w:lastRenderedPageBreak/>
        <w:t>prospect that his forces were about to commit an offence. In such circumstances the accused must at least investigate, i.e. take steps inter alia to determine whether in truth offences are about to be committed, or indeed by that stage have been committed or are being committed.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(iv) </w:t>
      </w:r>
      <w:r w:rsidRPr="004D74E4">
        <w:rPr>
          <w:rFonts w:ascii="Times New Roman" w:eastAsia="Times New Roman" w:hAnsi="Times New Roman" w:cs="Times New Roman"/>
          <w:i/>
          <w:iCs/>
          <w:sz w:val="24"/>
          <w:szCs w:val="24"/>
          <w:u w:val="single"/>
          <w:lang w:val="en-US"/>
        </w:rPr>
        <w:t>Duty to Punish</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Failure to Punish in International Humanitarian Law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91. With regard to the question of whether failure to punish is a separate form of liability in international humanitarian law, some post World War II cases held commanders responsible for a failure in their duty to punish the crimes of their subordinates. It must be noted, however, that in these cases the duty to punish was in general, linked to the duty of a commander to prevent the commission of crimes, as opposed to being a separate duty.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92. In the codification of the concept of command responsibility in Article 86 of Additional Protocol I, the phrase “prevent or repress” the crimes of subordinates is used. In examining this element of Article 86(2) the ICRC Commentary on Additional Protocols notes that “the clause requires both preventative and repressive action”. It continues by stating that: “it reasonably restricts the obligation upon superiors to “feasible” measures, since it is not always possible to prevent a breach or punish the perpetrators”. The ILC Commentary also considers the term “repress” to include the duty to punish an offender. The duty to punish as a form of liability separate from the duty to prevent has also been reflected in the more recent developments of the concept of command responsibility, that is, in the Statutes of the International Tribunals, and in the Statute of the ICC.</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93. With regard to the jurisprudence of the Tribunal, the Appeals Chamber’s in Blaškić held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it is illogical to argue both that “a superior’s responsibility for the failure to punish is construed as a sub-category of his liability for failing to prevent the commission of unlawful acts,” and that “failure to punish only led to the imposition of criminal responsibility if it resulted in a failure to prevent the commission of future crimes.” The failure to punish and failure to prevent involve different crimes committed at different times: the failure to punish concerns past crimes committed by subordinates, whereas the failure to prevent concerns future crimes of subordinates.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Appeals Chamber concluded that the responsibility of a commander for his failure to punish was recognised in customary law prior to the commission of the crimes relevant to that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94. The duty to punish is a separate form of liability, distinct from the failure to prevent it has in fact developed from the importance attached to a commander’s duty to take preventative actions.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95. The argument that a failure to punish a crime is a tacit acceptance of its commission is not without merit. The Trial Chamber recognises that a commander, as the person in possession of effective control over his subordinates is entrusted by international humanitarian law with the obligation to ensure respect of its provisions. The position of the commander exercising authority over his subordinates dictates on his part to take necessary and reasonable measures for the punishment of serious violations of international humanitarian law and a failure to act in this respect is considered so grave that international law imputes upon him responsibility for those crimes. He has, in the words of the ICRC Commentary to the Additional Protocol “tolerated breaches of the law of armed conflict”.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96. Finally, the Trial Chamber considers that punishment is an inherent part of prevention of future crimes. It is insufficient for a commander to issue preventative </w:t>
      </w:r>
      <w:r w:rsidRPr="004D74E4">
        <w:rPr>
          <w:rFonts w:ascii="Times New Roman" w:eastAsia="Times New Roman" w:hAnsi="Times New Roman" w:cs="Times New Roman"/>
          <w:i/>
          <w:iCs/>
          <w:sz w:val="24"/>
          <w:szCs w:val="24"/>
          <w:lang w:val="en-US"/>
        </w:rPr>
        <w:lastRenderedPageBreak/>
        <w:t>orders or ensure systems are in place for the proper treatment of civilians or prisoners of war if subsequent breaches which may occur are not punished. This failure to punish on the part of a commander can only be seen by the troops to whom the preventative orders are issued as an implicit acceptance that such orders are not binding.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Prerequisites of the Duty to Punish</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97. The duty to punish includes at least an obligation to investigate possible crimes or have the matter investigated, to establish the facts, and if the superior has no power to sanction, to report them to the competent authorities.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98. Military tribunals established after World War II interpreted the superiors’ duty to punish as implying an obligation for the superior to conduct an effective investigation and to take active steps to ensure that the perpetrators will be brought to justice. Whether the superior has called for a report on the incident and the thoroughness of the investigation could also be relevant in this respect.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99. Further guidance as to the duty to punish is provided by Article 87, paragraph 3 of Additional Protocol I, which requires a commander who is aware that his subordinates have committed a breach of the Geneva Conventions or the Protocol “where appropriate to initiate disciplinary or penal action” against them. The ICRC Commentary to Additional Protocol I suggests that this action may include informing their superior officers of the situation, “drawing up a report in the case of a breach, […] proposing a sanction to a superior as disciplinary power, or – in the case of someone who holds such power himself – exercising it, within the limits of his competence, and finally, remitting the case to the judicial authority where necessary with such factual evidence which is possible to find.”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100. The superior does not have to be the person who dispenses the punishment, but he must take an important step in the disciplinary process. He has a duty to exercise all measures possible within the circumstances; lack of formal legal competence on the part of the commander will not necessarily preclude his criminal responsibility. The duty to punish includes at least an obligation to investigate possible crimes, to establish the facts, and if the superior has no power to sanction, to report them to the competent authorities.</w:t>
      </w:r>
      <w:r>
        <w:rPr>
          <w:rFonts w:ascii="Times New Roman" w:eastAsia="Times New Roman" w:hAnsi="Times New Roman" w:cs="Times New Roman"/>
          <w:i/>
          <w:iCs/>
          <w:noProof/>
          <w:sz w:val="24"/>
          <w:szCs w:val="24"/>
        </w:rPr>
        <w:drawing>
          <wp:inline distT="0" distB="0" distL="0" distR="0">
            <wp:extent cx="151130" cy="142875"/>
            <wp:effectExtent l="19050" t="0" r="1270" b="0"/>
            <wp:docPr id="367" name="Imagen 3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Trial Chamber recalls its finding that [the accused] possessed a degree of influence as a high ranking member of the ABiH and as one of its founders. However, the Trial Chamber considers that [his] influence falls short of the standard required to establish effective control. It is a principle of international criminal law that a commander cannot be held responsible for the crimes of persons who were not under his command at the time the crimes were committed. The Trial Chamber finds that the Prosecution has failed to prove beyond reasonable doubt that [the accused] was either de jure or de facto commander of an operation called “Operation Neretva”, which the Prosecution alleges was carried out in Herzegovina. The Trial Chamber has also found that the Prosecution has failed to establish that [he] had effective control over the troops which committed the crimes in the areas of Grabovica and Uzdol. The Trial Chamber therefore finds that the Prosecution has failed to establish that [the accused] was responsible under Article 7(3) for the crimes committed in Grabovica and Uzdol.</w:t>
      </w:r>
      <w:r>
        <w:rPr>
          <w:rFonts w:ascii="Times New Roman" w:eastAsia="Times New Roman" w:hAnsi="Times New Roman" w:cs="Times New Roman"/>
          <w:i/>
          <w:iCs/>
          <w:noProof/>
          <w:sz w:val="24"/>
          <w:szCs w:val="24"/>
        </w:rPr>
        <w:drawing>
          <wp:inline distT="0" distB="0" distL="0" distR="0">
            <wp:extent cx="151130" cy="142875"/>
            <wp:effectExtent l="19050" t="0" r="1270" b="0"/>
            <wp:docPr id="368" name="Imagen 3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59. As a preliminary matter, the Appeals Chamber notes that, in paragraph 56 of the Trial Judgement, the Trial Chamber correctly set out the elements that must be satisfied to hold a superior responsible under Article 7(3) of the Statute: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iii. the superior failed to take the necessary and reasonable measures to prevent the criminal act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Regarding the first of these elements, the Appeals Chamber recalls that the concept of effective control over a subordinate – in the sense of a material ability to prevent or punish criminal conduct, however that control is exercised – is the threshold to be reached in establishing a superior-subordinate relationship for the purpose of Article 7(3) of the Statute. Against this backdrop, the Appeals Chamber recalls that the necessity of proving that the perpetrator was the “subordinate” of the accused (against whom charges have been brought under Article 7(3) of the Statute) does not require direct or formal subordination. Rather, the accused has to be, by virtue of his position, senior in some sort of formal or informal hierarchy to the perpetrator. The ability to exercise effective control in the sense of a material power to prevent or punish, which the Appeals Chamber considers to be a minimum requirement for the recognition of a superior-subordinate relationship for the purpose of superior responsibility, will almost invariably not be satisfied unless such a relationship of subordination exists. The Appeals Chamber considers that a material ability to prevent and punish may also exist outside a superior-subordinate relationship relevant for Article 7(3) of the Statute. For example, a police officer may be able to “prevent and punish” crimes under his jurisdiction, but this would not as such make him a superior (in the sense of Article 7(3) of the Statute) vis-à-vis any perpetrator within that jurisdiction. The Trial Chamber’s analysis of the law on the first element of superior responsibility is consistent with this approach.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61. The Appeals Chamber will now consider the Prosecution’s submissions that the Trial Chamber erred in restating the law on the third element of superior responsibility. According to the Prosecution, in paragraphs 81 to 90 of the Trial Judgement, the Trial Chamber created an unnecessary and unwarranted distinction between a general obligation and a specific obligation to prevent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62. The Appeals Chamber acknowledges that the Trial Chamber’s reference to both types of obligations – “general” and “specific” – under its analysis on the duty to prevent fosters confusion. Hence, the Prosecution understood this distinction between general and specific obligation as being “an unhelpful addition to the correct legal standard”.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63. In discussing the “duty to prevent” in paragraphs 79 through 90 of the Trial Judgement, the Trial Chamber described what it termed a “general obligation” of each commander to maintain order and control of his own troops. The general duty of commanders to take the necessary and reasonable measures is well rooted in customary international law and stems from their position of authority. The Appeals Chamber stresses that “necessary” measures are the measures appropriate for the superior to discharge his obligation (showing that he genuinely tried to prevent or punish) and “reasonable” measures are those reasonably falling within the material powers of the superior. What constitutes “necessary and reasonable” measures to fulfil a commander’s duty is not a matter of substantive law but of evidence.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64. The Appeals Chamber holds that the Trial Chamber erred when giving the impression that there is an additional requirement to the third element of superior responsibility and agrees with the Prosecution that the correct legal standard is solely whether the superior failed to take the necessary and reasonable measures to prevent the criminal act or punish the perpetrator thereof. Of course, this single standard will have to be applied differently in different circumstances; however, the artificial distinction between “general” and “specific” obligations creates a confusing and </w:t>
      </w:r>
      <w:r w:rsidRPr="004D74E4">
        <w:rPr>
          <w:rFonts w:ascii="Times New Roman" w:eastAsia="Times New Roman" w:hAnsi="Times New Roman" w:cs="Times New Roman"/>
          <w:i/>
          <w:iCs/>
          <w:sz w:val="24"/>
          <w:szCs w:val="24"/>
          <w:lang w:val="en-US"/>
        </w:rPr>
        <w:lastRenderedPageBreak/>
        <w:t>unhelpful dichotomy.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 The Appeals Chamber deems it useful at this juncture to recall the material facts which must be pleaded in the indictment where criminal responsibility pursuant to Article 7(3) of the Statute is alleged: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(1) that the accused is the superior of certain persons sufficiently identified, over whom he had effective control – in the sense of a material ability to prevent or punish criminal conduct – and for whose acts he is alleged to be responsible;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(2) the criminal acts of such persons, for which he is alleged to be responsible;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(3) the conduct of the accused by which he may be found to have known or had reason to know that the crimes were about to be committed or had been committed by his subordinates;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(4) the conduct of the accused by which he may be found to have failed to take the necessary and reasonable measures to prevent such acts or to punish the persons who committed them.</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85. … [F]or the purposes of criminal responsibility as a superior, de jure power is not synonymous with effective control. In fact, the former may not in itself amount to the latter. The same applies with respect to de facto power: a de facto superior must be found to wield substantially similar powers of control as de jure superiors who exercise effective control over subordinates to be held criminally responsible for their acts. It therefore cannot be said that pleading the exercise of both de jure and de facto power amounts to pleading effective control.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174. … [T]he Appeals Chamber recalls that each of the three elements of superior responsibility … must be proven beyond reasonable doubt in order for a Trial Chamber to establish that an accused is responsible under Article 7(3) of the Statute. A Trial Chamber will first ascertain whether the superior had effective control over the persons committing crimes subject to the jurisdiction of the International Tribunal (in the sense of possessing the material ability to prevent or punish the commission of the crimes in question) and then proceed to determine whether the second and third elements of superior responsibility are met…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210. … Indeed, the Appeals Chamber recalls that the material ability to punish and its corresponding duty to punish can only amount to effective control over the perpetrators if they are premised upon a pre-existing superior-subordinate relationship between the accused and the perpetrators. In this regard, the ability to exercise effective control in the sense of a material power to prevent or punish necessitates a pre-existing relationship of subordination, hierarchy or chain of command. Of course, the concepts of subordination, hierarchy and chains of command need not be established in the sense of formal organisational structures so long as the fundamental requirement of effective control over the subordinate, in the sense of material ability to prevent or punish criminal conduct, is satisfied.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217. Consequently, considering that the Prosecution has failed to show that the Trial Chamber erred in finding that the first element of superior responsibility had not been met, the Appeals Chamber need not address the Prosecution’s arguments advanced under the remaining grounds of appeal. These grounds, which concern the other two elements required to establish superior responsibility under Article 7(3) of the Statute, intrinsically hinge upon the outcome of the first ground of appeal.</w:t>
      </w:r>
      <w:r>
        <w:rPr>
          <w:rFonts w:ascii="Times New Roman" w:eastAsia="Times New Roman" w:hAnsi="Times New Roman" w:cs="Times New Roman"/>
          <w:i/>
          <w:iCs/>
          <w:noProof/>
          <w:sz w:val="24"/>
          <w:szCs w:val="24"/>
        </w:rPr>
        <w:drawing>
          <wp:inline distT="0" distB="0" distL="0" distR="0">
            <wp:extent cx="151130" cy="142875"/>
            <wp:effectExtent l="19050" t="0" r="1270" b="0"/>
            <wp:docPr id="369" name="Imagen 3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lastRenderedPageBreak/>
        <w:t>In the Slobodan Milošević case before the ICTY in 2001 and 2002, the accused, a former President of the Federal Republic of Yugoslavia, was charged with grave breaches of the 1949 Geneva Conventions, punishable under Article 2 of the 1993 ICTY Statute, genocide, punishable under Article 4 of the 1993 ICTY Statute, crimes against humanity, punishable under Article 5 of the 1993 ICTY Statute, and violations of the laws or customs of war, punishable under Article 3 of the 1993 ICTY Statute, for his role in campaigns to forcibly remove non-Serb civilians from areas of Kosovo, Croatia, and Bosnia and Herzegovina.</w:t>
      </w:r>
      <w:r>
        <w:rPr>
          <w:rFonts w:ascii="Times New Roman" w:eastAsia="Times New Roman" w:hAnsi="Times New Roman" w:cs="Times New Roman"/>
          <w:i/>
          <w:iCs/>
          <w:noProof/>
          <w:sz w:val="24"/>
          <w:szCs w:val="24"/>
        </w:rPr>
        <w:drawing>
          <wp:inline distT="0" distB="0" distL="0" distR="0">
            <wp:extent cx="151130" cy="142875"/>
            <wp:effectExtent l="19050" t="0" r="1270" b="0"/>
            <wp:docPr id="370" name="Imagen 3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Slobodan Milosevic … while holding [a position] of superior authority, [is] … individually criminally responsible for the acts or omissions of [his] subordinates, pursuant to Article 7(3) of the [1993 ICTY Statute]. A superior is responsible for the criminal acts of his subordinates if he knew or had reason to know that his subordinates were about to commit such acts or had done so, and the superior failed to take the necessary and reasonable measures to prevent such acts or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371" name="Imagen 3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Slobodan Milosevic</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while holding positions of superior authority, is also individually criminally responsible for the acts or omissions of his subordinates, pursuant to Article 7(3) of the [1992 ICTY Statute]. A superior is responsible for the criminal acts of his subordinates if he knew or had reason to know that his subordinates were about to commit such acts or had done so, and the superior failed to take the necessary and reasonable measures to prevent such acts or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372" name="Imagen 3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Slobodan Milosevic,</w:t>
      </w:r>
      <w:r w:rsidRPr="004D74E4">
        <w:rPr>
          <w:rFonts w:ascii="Times New Roman" w:eastAsia="Times New Roman" w:hAnsi="Times New Roman" w:cs="Times New Roman"/>
          <w:b/>
          <w:bCs/>
          <w:i/>
          <w:iCs/>
          <w:sz w:val="24"/>
          <w:szCs w:val="24"/>
          <w:lang w:val="en-US"/>
        </w:rPr>
        <w:t xml:space="preserve"> </w:t>
      </w:r>
      <w:r w:rsidRPr="004D74E4">
        <w:rPr>
          <w:rFonts w:ascii="Times New Roman" w:eastAsia="Times New Roman" w:hAnsi="Times New Roman" w:cs="Times New Roman"/>
          <w:i/>
          <w:iCs/>
          <w:sz w:val="24"/>
          <w:szCs w:val="24"/>
          <w:lang w:val="en-US"/>
        </w:rPr>
        <w:t>while holding positions of superior authority, is also individually criminally responsible for the acts or omissions of his subordinates, pursuant to Article 7(3) of the Statute of the Tribunal. A superior is responsible for the criminal acts of his subordinates if he knew or had reason to know that his subordinates were about to commit such acts or had done so, and the superior failed to take the necessary and reasonable measures to prevent such acts or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373" name="Imagen 3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its judgment in the Naletilić and Martinović case in 2003, in considering the matter of “command or superior responsibility”, the ICTY Trial Chamber noted that Article 7(3) of the 1993 ICTY Statute provides: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The fact that any of the acts referred to in articles 2 to 5 of the present Statute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 </w:t>
      </w:r>
      <w:r>
        <w:rPr>
          <w:rFonts w:ascii="Times New Roman" w:eastAsia="Times New Roman" w:hAnsi="Times New Roman" w:cs="Times New Roman"/>
          <w:i/>
          <w:iCs/>
          <w:noProof/>
          <w:sz w:val="24"/>
          <w:szCs w:val="24"/>
        </w:rPr>
        <w:drawing>
          <wp:inline distT="0" distB="0" distL="0" distR="0">
            <wp:extent cx="151130" cy="142875"/>
            <wp:effectExtent l="19050" t="0" r="1270" b="0"/>
            <wp:docPr id="374" name="Imagen 3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65. The Chamber follows the Celebici Trial Judgement, which has set out the essential elements to establish command responsibility: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 the existence of a superior-subordinate relationship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 the superior knew or had reason to know that the criminal act was about to be or had been committed; and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(iii) the superior failed to take the necessary and reasonable measures to prevent the criminal act or punish the perpetrator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66. The basis of the superior-subordinate relationship is the power of the superior to control the actions of his subordinates. The Celebici Trial Chamber concluded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it is necessary that the superior have [sic] effective control over the persons committing the underlying violations of international humanitarian law, in the sense of having the material ability to prevent and punish the commission of these offences. With the caveat that such authority can have a de facto as well as a de jure character, the Trial Chamber accordingly shares the view expressed by the International Law Commission that the doctrine of superior responsibility extends to civilian superiors only to the </w:t>
      </w:r>
      <w:r w:rsidRPr="006155D3">
        <w:rPr>
          <w:rFonts w:ascii="Times New Roman" w:eastAsia="Times New Roman" w:hAnsi="Times New Roman" w:cs="Times New Roman"/>
          <w:i/>
          <w:iCs/>
          <w:sz w:val="24"/>
          <w:szCs w:val="24"/>
          <w:lang w:val="en-US"/>
        </w:rPr>
        <w:lastRenderedPageBreak/>
        <w:t>extent that they exercise a degree of control over their subordinates which is similar to that of military commanders.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67. The crucial question is therefore the actual possession or non-possession of power to control. Even if a formal appointment is an important aspect for command or superior authority, de facto control in the absence of de jure authority can be satisfactory for the assessment of superior responsibility. This applies to many contemporary conflicts, in which only de facto, self -proclaimed governments with their de facto armies and paramilitary groups take part. The capacity to sign orders is indicative of some authority, but in order to ascertain the actual powers of control of the superior it is also necessary to consider the substance of the documents signed and if they were complied with. Both de facto and de jure superiors need to have effective control, which means significant ability to prevent and punish criminal behaviour, to be held responsible for the crimes of their subordinates.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68. Although the doctrine of superior responsibility was at first intended for military commanders only, it is now established that it attaches also to civilian superiors in positions of authority. What is decisive is the power of effective control for which the mere proof of substantial influence is not sufficient.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69. Even a rank-less individual commanding a small group of men can have superior responsibility. When the subordinate perpetrator was under the command of two superiors, both of them may be held responsible for the same crime.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70. Superior responsibility under Article 7(3) of the [1993 ICTY] Statute does not impose strict liability for superiors. It requires that the superior “knew or had reason to know “.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71. The superior’s actual knowledge can be established by direct or circumstantial evidence. In the absence of direct evidence the superior’s actual knowledge can not be presumed. Nevertheless the Aleksovski Trial Chamber stated that an individual’s command position per se is at least an important indicium that he knew about the crimes committed by his subordinates. However, the significance of this indicium depends on additional factors such as the ones provided by the Celebici and Blaskic Trial Judgements in a non-exclusive list, based on the Final Report of the Commission of Experts: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the number, type and scope of the illegal acts; the time during which the illegal acts occurred; the number and type of troops involved; the logistics involved, if any; the geographical location of the acts; the speed of the operations; the modus operandi of similar illegal acts; the officers and staff involved; and the location of the commander at the time.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72. Considering geographical and temporal circumstances, this means that the more physically distant the superior was from the commission of the crimes, the more additional indicia are necessary to prove that he knew of the crimes. On the other hand, if the crimes were committed next to the superior’s duty-station this suffices as an important indicium that the superior had knowledge of the crimes, even more if the crimes were repeatedly committed.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73. The fact that a military commander will most probably be part of an organised structure with reporting and monitoring systems can facilitate the showing of actual knowledge. For de facto commanders in more informal military structures and for civilian superiors the standard of proof is higher.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74. The Chamber finds that a superior “had reason to know” when the following criteria as adopted by the Celebici Trial Chamber are met: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a superior can be held criminally responsible only if some specific information was in fact available to him which would provide notice of offences committed by his </w:t>
      </w:r>
      <w:r w:rsidRPr="006155D3">
        <w:rPr>
          <w:rFonts w:ascii="Times New Roman" w:eastAsia="Times New Roman" w:hAnsi="Times New Roman" w:cs="Times New Roman"/>
          <w:i/>
          <w:iCs/>
          <w:sz w:val="24"/>
          <w:szCs w:val="24"/>
          <w:lang w:val="en-US"/>
        </w:rPr>
        <w:lastRenderedPageBreak/>
        <w:t xml:space="preserve">subordinates. This information need not be such that it by itself was sufficient to compel the conclusion of the existence of such crimes. It is sufficient that the superior was put on further inquiry by the information, or, in other words, that it indicated the need for additional investigation in order to ascertain whether offences were being committed or about to be committed by his subordinates.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75. To interpret “had reason to know”, the Celebici Trial Chamber considered the phrasing of Article 86(2) of the Additional Protocol I. The provision states that superiors can be held criminally or disciplinarily responsible if “they knew, or had information, which should have enabled them to conclude in the circumstances at the time, that the [subordinate] was committing or was going to commit such a breach”. The Celebici Trial Chamber also noted that the drafters of Article 86(2) of the Additional Protocol I explicitly rejected the wording “should have had knowledge”. The Celebici Appeals Chamber upheld the Trial Chamber’s finding, stating that the superior need not to know about the offences of his subordinates, but needs to have “some general information in his possession, which would put him on notice of possible unlawful acts by his subordinates”. The Celebici Appeals Chamber clarified that “available” and “in the possession of” are used equivalently and do not require that the superior “actually acquainted himself with the information”.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76. The superior must have failed to take the necessary or reasonable measures to prevent the crimes or to punish the perpetrator thereof. The Chamber agrees with the finding made by the Blaskic Trial Chamber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it is a commander’s degree of effective control, his material ability, which will guide the Trial Chamber in determining whether he reasonably took the measures required either to prevent the crime or to punish the perpetrator.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77. Only feasible measures in the power of a superior are required. The determination is made on a case by case basis.</w:t>
      </w:r>
      <w:r>
        <w:rPr>
          <w:rFonts w:ascii="Times New Roman" w:eastAsia="Times New Roman" w:hAnsi="Times New Roman" w:cs="Times New Roman"/>
          <w:i/>
          <w:iCs/>
          <w:noProof/>
          <w:sz w:val="24"/>
          <w:szCs w:val="24"/>
        </w:rPr>
        <w:drawing>
          <wp:inline distT="0" distB="0" distL="0" distR="0">
            <wp:extent cx="151130" cy="142875"/>
            <wp:effectExtent l="19050" t="0" r="1270" b="0"/>
            <wp:docPr id="375" name="Imagen 3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its judgment in the Kvočka case in 2001, the ICTY Trial Chamber considered that: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313. Article 7(3) of the [1993 ICTY] Statute imposes liability upon a superior for the criminal acts of his subordinates if the superior had reason to know that the subordinate was about to commit a crime and failed to prevent it or, knowing that a crime had been committed, failed to take steps to punish the subordinate for the crime. Fulfilling the first obligation does not preclude incurring liability for failing to fulfil the second. The superior is also responsible if he or she fails to halt or suppress crimes that are being committed if the superior knew or had reason to know of their commission.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314. The caselaw of the Tribunal establishes that three elements must be proved before a person may be held responsible as a superior for the crimes committed by subordinates: (1) the existence of a superior-subordinate relationship between the accused and perpetrator(s) of the underlying offence; (2) knowledge of the superior that his or her subordinate had committed, was committing, or was about to commit, a crime; and (3) failure of the superior to prevent or halt the commission of the crime and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376" name="Imagen 3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315. … This Judgement [i.e. the judgement of the Appeals Chamber in the Mucić case] accepted that a civilian leader may incur responsibility in the same way as a military commander, provided that the civilian has effective control over subordinates. Effective control necessarily involves “the power or authority in either a de jure or a de facto form to prevent a subordinate’s crime or to punish the perpetrators of the crime after the crime is committed.” Effective control means “the material ability to prevent or punish criminal conduct, however that control is exercised.” The requirement that control must be effective makes clear that de jure authority alone is insufficient. The Prosecution must show that the superior had the ability to prevent, halt, or punish the </w:t>
      </w:r>
      <w:r w:rsidRPr="004D74E4">
        <w:rPr>
          <w:rFonts w:ascii="Times New Roman" w:eastAsia="Times New Roman" w:hAnsi="Times New Roman" w:cs="Times New Roman"/>
          <w:i/>
          <w:iCs/>
          <w:sz w:val="24"/>
          <w:szCs w:val="24"/>
          <w:lang w:val="en-US"/>
        </w:rPr>
        <w:lastRenderedPageBreak/>
        <w:t>crime.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316. The superior does not have to be the person who dispenses the punishment, but he must take an important step in the disciplinary process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317. Action is required on the part of the superior from the point at which he “knew or had reason to know” of the crimes committed or about to be committed by subordinates. The [judgement of the Appeals Chamber in the Mucić case] found that Article 7(3) [of the 1993 ICTY Statute] does not impose a duty upon a superior to go out of his way to obtain information about crimes committed by subordinates, unless he is in some way put on notice that criminal activity is afoot.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318. The [judgement of the Appeals Chamber in the Mucić case] upheld the Trial Chamber’s interpretation of “had reason to know”, concluding that the superior is responsible if information was available which would have put the superior on notice of crimes committed by subordinates. The information available to the superior may be written or oral. It need not be explicit or specific, but it must be information – or the absence of information – that would suggest the need to inquire further. Information that would make a superior suspicious that crimes might be committed includes past behavior of subordinates or a history of mistreatment: “For instance, a military commander who has received information that some of the soldiers under his command have a violent or unstable character, or have been drinking prior to being sent on a mission, may be considered as having the required knowledge.” Similarly, if a superior has prior knowledge that women detained by male guards in detention facilities are likely to be subjected to sexual violence, that would put him on sufficient notice that extra measures are demanded in order to prevent such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377" name="Imagen 3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the amended indictment in the Hadžihasanović case before the ICTY in 2002, the Prosecutor stated with respect to one of the accused: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58. [The accused] is also criminally responsible in relation to those crimes [i.e. violations of the laws or customs of war] that were committed by troops of the ABiH [Army of Bosnia and Herzegovina] … Brigade prior to his assignment … as the substitute for [the then commanding officer]. [He] knew or had reason to know about these crimes. After he assumed command, he was under the duty to punish the perpetrators.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60. [The accused] knew or had reason to know that ABiH forces under their command and control were about to commit such acts [i.e. violations of the laws or customs of war] or had done so, in the following villages on or about the dates indicated, and they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378" name="Imagen 3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its Decision on Joint Challenge to Jurisdiction in the Hadžihasanović case in 2002, the ICTY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doctrine of command responsibility already in – and since – 1991 was applicable in the context of an internal armed conflict under customary international law. Article 7(3) [of the 1993 ICTY Statute] constitutes a declaration of existing law under customary international law and does not constitute new law.</w:t>
      </w:r>
      <w:r>
        <w:rPr>
          <w:rFonts w:ascii="Times New Roman" w:eastAsia="Times New Roman" w:hAnsi="Times New Roman" w:cs="Times New Roman"/>
          <w:i/>
          <w:iCs/>
          <w:noProof/>
          <w:sz w:val="24"/>
          <w:szCs w:val="24"/>
        </w:rPr>
        <w:drawing>
          <wp:inline distT="0" distB="0" distL="0" distR="0">
            <wp:extent cx="151130" cy="142875"/>
            <wp:effectExtent l="19050" t="0" r="1270" b="0"/>
            <wp:docPr id="379" name="Imagen 3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2003, following the accused’s appeal against the Trial Chamber’s Decision on a Joint Challenge to Jurisdiction, the ICTY Appeals Chamber rendered its Decision on Interlocutory Appeal Challenging Jurisdiction in Relation to Command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Firstly, with regard to the responsibility of superiors for the acts of their subordinates in the course of internal armed conflicts, the Appeals Chamber unanimously upheld the Trial Chamber’s finding, stating: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In the opinion of the Appeals Chamber, the Trial Chamber was correct in holding, after a thorough examination of the matter, that command responsibility was at all times material to this case a part of customary international law in its application to war crimes committed in the course of an internal armed conflict.</w:t>
      </w:r>
      <w:r>
        <w:rPr>
          <w:rFonts w:ascii="Times New Roman" w:eastAsia="Times New Roman" w:hAnsi="Times New Roman" w:cs="Times New Roman"/>
          <w:i/>
          <w:iCs/>
          <w:noProof/>
          <w:sz w:val="24"/>
          <w:szCs w:val="24"/>
        </w:rPr>
        <w:drawing>
          <wp:inline distT="0" distB="0" distL="0" distR="0">
            <wp:extent cx="151130" cy="142875"/>
            <wp:effectExtent l="19050" t="0" r="1270" b="0"/>
            <wp:docPr id="380" name="Imagen 3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12. In considering this question, the Appeals Chamber is aware that it is incorrect to assume that, under customary international law, all the rules applicable to an international armed conflict automatically apply to an internal armed conflict. More particularly, it appreciates that to hold that a principle was part of customary international law, it has to be satisfied that State practice recognized the principle on the basis of supporting opinio juris. However, it also considers that, where a principle can be shown to have been so established, it is not an objection to the application of the principle to a particular situation to say that the situation is new if it reasonably falls within the application of the principle. Also, in determining whether a principle is part of customary international law and, if so, what are its parameters, the Appeals Chamber may follow in the usual way what the Tribunal has held in its previous decisions.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13. Prohibitions on the doing of certain acts in the course of an internal armed conflict are imposed by Article 3 common to the Geneva Conventions of 1949, which has long been accepted as having customary status. In the Tadic Jurisdiction Decision, the Appeals Chamber found that “customary international law imposes criminal responsibility for serious violations of common Article 3, as supplemented by other general principles and rules on the protection of victims of internal armed conflict, and for breaching certain fundamental principles and rules regarding means and methods of combat in civil strife”. Likewise, at all times material to this case, customary international law included the concept of command responsibility in relation to war crimes committed in the course of an international armed conflict. Thus, the concept would have applied to war crimes corresponding to the prohibitions listed in common Article 3 when committed in the course of an international armed conflict. It is difficult to see why the concept would not equally apply to breaches of the same prohibitions when committed in the course of an internal armed conflict.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14. In the view of the Appeals Chamber, the matter rests on the dual principle of responsible command and its corollary command responsibility. The origin and interrelationship of these ideas merit much discussion. Here, however, it is sufficient to note that the principle of responsible command was incorporated by the provision in Article 1 of the Regulations Respecting the Laws and Customs of War on Land annexed to the Fourth Hague Convention of 1907 reading: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laws, rights and duties of war apply not only to armies, but also to militia and volunteer corps fulfilling the following conditions: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1. To be commanded by a person responsible for his subordinates …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Article 43(1) of the 1977 Additional Protocol I to the Geneva Conventions likewise provided that the “armed forces of a Party to a conflict consist of all organized armed forces, groups and units which are under a command responsible to that Party for the conduct of its subordinates,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15. The position is no different as regards internal armed conflicts. Responsible command was an integral notion of the prohibition imposed by Article 3 common to the 1949 Geneva Conventions against the doing of certain things in the course of an internal armed conflict. Referring to the criteria for determining whether there was an “armed conflict not of an international character” within the meaning of that provision, the ICRC Commentary spoke, authoritatively, of a revolting party possessing “an organized military force, an authority responsible for its acts, acting within a </w:t>
      </w:r>
      <w:r w:rsidRPr="004D74E4">
        <w:rPr>
          <w:rFonts w:ascii="Times New Roman" w:eastAsia="Times New Roman" w:hAnsi="Times New Roman" w:cs="Times New Roman"/>
          <w:i/>
          <w:iCs/>
          <w:sz w:val="24"/>
          <w:szCs w:val="24"/>
          <w:lang w:val="en-US"/>
        </w:rPr>
        <w:lastRenderedPageBreak/>
        <w:t>determinate territory and having the means of respecting and ensuring respect for the” convention. Article 1(1) of Protocol II Additional to the Geneva Conventions likewise spoke of a Contracting Party’s “armed forces and dissident armed forces or other organized armed groups which, under responsible command, exercise such control over a part of its territory as to enable them to carry out sustained and concerted military operations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16. Thus, whether Article 3 of the Statute is referring to war crimes committed in the course of international armed conflict or to war crimes committed in the course of internal armed conflict under Article 3 common to the Geneva Conventions, it assumes that there is an organized military force. It is evident that there cannot be an organized military force save on the basis of responsible command. It is also reasonable to hold that it is responsible command which leads to command responsibility. Command responsibility is the most effective method by which international criminal law can enforce responsible command.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17. It is true that, domestically, most States have not legislated for command responsibility to be the counterpart of responsible command in internal conflict. This, however, does not affect the fact that, at the international level, they have accepted that, as a matter of customary international law, relevant aspects of international law (including the concept of command responsibility) govern the conduct of an internal armed conflict, though of course not all aspects of international law apply. The relevant aspects of international law unquestionably regard a military force engaged in an internal armed conflict as organized and therefore as being under responsible command. In the absence of anything to the contrary, it is the task of a court to interpret the underlying State practice and opinio juris (relating to the requirement that such a military force be organized) as bearing its normal meaning that military organization implies responsible command and that responsible command in turn implies command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18. In short, wherever customary international law recognizes that a war crime can be committed by a member of an organised military force, it also recognizes that a commander can be penally sanctioned if he knew or had reason to know that his subordinate was about to commit a prohibited act or had done so and the commander failed to take the necessary and reasonable measures to prevent such an act or to punish the subordinate. Customary international law recognizes that some war crimes can be committed by a member of an organised military force in the course of an internal armed conflict; it therefore also recognizes that there can be command responsibility in respect of such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 The Appellants argue that international law developed to regulate the relations between States on the basis of reciprocity and that command responsibility for acts committed in the course of an internal conflict does not raise any questions of reciprocity. The Appeals Chamber does not consider that the matter depends on notions of reciprocity. In the course of development, States have come to consider that they have a common interest in the observance of certain minimum standards of conduct in certain matters; this include s certain aspects of conduct in an internal armed conflict. To that extent, internal armed conflict is now the concern of international law without any question of reciprocity.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20. Thus, the fact that it was in the course of an internal armed conflict that a war crime was about to be committed or was committed is not relevant to the responsibility of the commander; that only goes to the characteristics of the particular crime and not to the responsibility of the commander. The basis of the commander’s responsibility lies in his obligations as commander of troops making up an organised military force under his </w:t>
      </w:r>
      <w:r w:rsidRPr="004D74E4">
        <w:rPr>
          <w:rFonts w:ascii="Times New Roman" w:eastAsia="Times New Roman" w:hAnsi="Times New Roman" w:cs="Times New Roman"/>
          <w:i/>
          <w:iCs/>
          <w:sz w:val="24"/>
          <w:szCs w:val="24"/>
          <w:lang w:val="en-US"/>
        </w:rPr>
        <w:lastRenderedPageBreak/>
        <w:t>command, and not in the particular theatre in which the act was committed by a member of that military force.</w:t>
      </w:r>
      <w:r>
        <w:rPr>
          <w:rFonts w:ascii="Times New Roman" w:eastAsia="Times New Roman" w:hAnsi="Times New Roman" w:cs="Times New Roman"/>
          <w:i/>
          <w:iCs/>
          <w:noProof/>
          <w:sz w:val="24"/>
          <w:szCs w:val="24"/>
        </w:rPr>
        <w:drawing>
          <wp:inline distT="0" distB="0" distL="0" distR="0">
            <wp:extent cx="151130" cy="142875"/>
            <wp:effectExtent l="19050" t="0" r="1270" b="0"/>
            <wp:docPr id="381" name="Imagen 3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28. The Appellants have placed reliance on the fact that the doctrine of command responsibility was referred to in Articles 86 and 87 of the 1977 Protocol I Additional to the Geneva Conventions of 1949 but was not referred to in Protocol II. The former being directed to international armed conflicts while the latter is directed to internal armed conflicts, the Appellants contend that the difference tends to support the view that State practice regarded command responsibility as part of customary international law relating to international armed conflicts and did not regard command responsibility as part of customary international law relating to internal armed conflicts.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 The Appeals Chamber affirms the view of the Trial Chamber that command responsibility was part of customary international law relating to international armed conflicts before the adoption of Protocol I. Therefore, as the Trial Chamber considered, Articles 86 and 87 of Protocol I were in this respect only declaring the existing position, and not constituting it. In like manner, the non-reference in Protocol II to command responsibility in relation to internal armed conflicts did not necessarily affect the question whether command responsibility previously existed as part of customary international law relating to internal armed conflicts. The Appeals Chamber considers that, at the time relevant to this indictment, it was, and that this conclusion is not overthrown by the play of factors responsible for the silence which, for any of a number of reasons, sometimes occurs over the codification of an accepted point in the drafting of an international instrument.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 Were it otherwise, the Appeals Chamber would have to uphold that, “as argued by the Defence, it is not a crime for a commander in an internal conflict to fail to prevent or punish the killings committed by his subordinates,” i.e., even if the commander knows or has reason to know of the killings. The Appeals Chamber does not consider that it is required to sustain so improbable a view in contemporary international law; more particularly, it finds that such a view is not consistent with its reasoning in the Tadic Jurisdiction Decision and in the Celebici Appeal Judgment, or with the reasoning of the Trial Chamber in Aleksovski.</w:t>
      </w:r>
      <w:r>
        <w:rPr>
          <w:rFonts w:ascii="Times New Roman" w:eastAsia="Times New Roman" w:hAnsi="Times New Roman" w:cs="Times New Roman"/>
          <w:i/>
          <w:iCs/>
          <w:noProof/>
          <w:sz w:val="24"/>
          <w:szCs w:val="24"/>
        </w:rPr>
        <w:drawing>
          <wp:inline distT="0" distB="0" distL="0" distR="0">
            <wp:extent cx="151130" cy="142875"/>
            <wp:effectExtent l="19050" t="0" r="1270" b="0"/>
            <wp:docPr id="382" name="Imagen 3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[A]n accused cannot be charged under Article 7(3) of the [1993 ICTY] Statute for crimes committed by a subordinate before the said accused assumed command over that subordinate. The Appeals Chamber is aware that views on this issue may differ. However, the Appeals Chamber holds the view that this Tribunal can impose criminal responsibility only if the crime charged was clearly established under customary law at the time the events in issue occurred. In case of doubt, criminal responsibility cannot be found to exist, thereby preserving full respect for the principle of legality.</w:t>
      </w:r>
      <w:r>
        <w:rPr>
          <w:rFonts w:ascii="Times New Roman" w:eastAsia="Times New Roman" w:hAnsi="Times New Roman" w:cs="Times New Roman"/>
          <w:i/>
          <w:iCs/>
          <w:noProof/>
          <w:sz w:val="24"/>
          <w:szCs w:val="24"/>
        </w:rPr>
        <w:drawing>
          <wp:inline distT="0" distB="0" distL="0" distR="0">
            <wp:extent cx="151130" cy="142875"/>
            <wp:effectExtent l="19050" t="0" r="1270" b="0"/>
            <wp:docPr id="383" name="Imagen 3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44. In considering the issue of whether command responsibility exists in relation to crimes committed by a subordinate prior to an accused’s assumption of command over that subordinate, the Appeals Chamber observes that it has always been the approach of this Tribunal not to rely merely on a construction of the Statute to establish the applicable law on criminal responsibility, but to ascertain the state of customary law in force at the time the crimes were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45. In this particular case, no practice can be found, nor is there any evidence of opinio juris that would sustain the proposition that a commander can be held responsible for crimes committed by a subordinate prior to the commander’s assumption of command over that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 In fact, there are indications that militate against the existence of a customary rule establishing such criminal responsibility. For example, Article 28 of the Rome Statute of the International Criminal Court provides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(a) A military commander or person effectively acting as a military commander shall be criminally responsible for crimes within the jurisdiction of the Court committed by forces under his or her effective command and control, or effective authority and control as the case may be, as a result of his or her failure to exercise control properly over such forces, where: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Under the Rome Statute, therefore, command responsibility can only exist if a commander knew or should have known that his subordinates were committing crimes, or were about to do so. This language necessarily excludes criminal liability on the basis of crimes committed by a subordinate prior to an individual’s assumption of command over that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47. Another example can be found in the Protocol Additional to the Geneva Conventions of 12 August 1949 (Protocol I). Article 86(2) of the Protocol states that “[t]he fact that a breach of the Conventions or of this Protocol was committed by a subordinate does not absolve his superiors from penal or disciplinary responsibility, as the case may be, if they knew, or had information which should have enabled them to conclude in the circumstances at the time, that he was committing or was going to commit such a breach and if they did not take all feasible measures within their power to prevent or repress the breach.” Again, the language of this article envisions a situation in which a breach was in the process of being committed, or was going to be committed; breaches committed before the superior assumed command over the perpetrator are not included within its scope.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48. The International Law Commission, in its Report on the work of its forty-eighth session (6 May–26 July 1996), stated that “[t]he principle of individual criminal responsibility under which a military commander is held responsible for his failure to prevent or repress the unlawful conduct of his subordinates is elaborated in article 86 of Protocol I.” Similarly, in the Celebici Appeal Judgment, the Appeals Chamber stated that the “criminal offence based on command responsibility is defined in Article 86(2) only.”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49. It should also be mentioned that Article 6 of the Draft Code of Crimes Against the Peace and Security of Mankind, adopted by the International Law Commission at its forty-eighth session, reads as follows: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 crime against the peace and security of mankind was committed by a subordinate does not relieve his superiors of criminal responsibility, if they knew or had reason to know, in the circumstances at the time, that the subordinate was committing or was going to commit such a crime and if they did not take all necessary measures within their power to prevent or repress the crime.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Once again, the emphasis is on the superior-subordinate relationship existing at the time the subordinate was committing or was going to commit a crime. Crimes committed by a subordinate in the past, prior to his superior’s assumption of command, are clearly excluded.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50. Consideration can also be given to the Kuntze case, before the Nuernberg Military Tribunals. The Appeals Chamber considers that this case also constitutes an indication that would run contrary to the existence of a customary rule establishing command responsibility for crimes committed before a superior’s assumption of command over the perpetrator, and that it could certainly not be brought to support the opposite view.</w:t>
      </w:r>
      <w:r>
        <w:rPr>
          <w:rFonts w:ascii="Times New Roman" w:eastAsia="Times New Roman" w:hAnsi="Times New Roman" w:cs="Times New Roman"/>
          <w:i/>
          <w:iCs/>
          <w:noProof/>
          <w:sz w:val="24"/>
          <w:szCs w:val="24"/>
        </w:rPr>
        <w:drawing>
          <wp:inline distT="0" distB="0" distL="0" distR="0">
            <wp:extent cx="151130" cy="142875"/>
            <wp:effectExtent l="19050" t="0" r="1270" b="0"/>
            <wp:docPr id="384" name="Imagen 3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8. My approach to this issue commences at the same point accepted by the Appeals Chamber unanimously in relation to the first issue. Customary international law recognises that a commander is criminally responsible if he knew or had reason to know that the subordinate was about to commit acts amounting to a war crime or had </w:t>
      </w:r>
      <w:r w:rsidRPr="004D74E4">
        <w:rPr>
          <w:rFonts w:ascii="Times New Roman" w:eastAsia="Times New Roman" w:hAnsi="Times New Roman" w:cs="Times New Roman"/>
          <w:i/>
          <w:iCs/>
          <w:sz w:val="24"/>
          <w:szCs w:val="24"/>
          <w:lang w:val="en-US"/>
        </w:rPr>
        <w:lastRenderedPageBreak/>
        <w:t>done so and if he failed to take the necessary and reasonable measures to prevent such acts or to punish the subordinate. That principle may be applied to whatever situation reasonably falls within the application of the principle. In my opinion, the situation of a superior who (after assuming command) knows or has reason to know that a person who has become his subordinate had committed a crime before he became that person’s superior falls reasonably within that principle.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 That principle cannot be limited artificially to the situation in which the superior -subordinate relationship existed at the time when the subordinate was committing or about to commit the acts amounting to a war crime, or at any time other than the time when the superior knows or has reason to know that the subordinate had committed the acts amounting to a war crime. One reason for this is that the criminal responsibility of the superior is not a direct responsibility for the acts of the subordinate. It is a responsibility for his own acts (or, rather, omissions) in failing to prevent or to punish the subordinate when he knew or had reason to know that he was about to commit acts amounting to a war crime or had done so.</w:t>
      </w:r>
      <w:r>
        <w:rPr>
          <w:rFonts w:ascii="Times New Roman" w:eastAsia="Times New Roman" w:hAnsi="Times New Roman" w:cs="Times New Roman"/>
          <w:i/>
          <w:iCs/>
          <w:noProof/>
          <w:sz w:val="24"/>
          <w:szCs w:val="24"/>
        </w:rPr>
        <w:drawing>
          <wp:inline distT="0" distB="0" distL="0" distR="0">
            <wp:extent cx="151130" cy="142875"/>
            <wp:effectExtent l="19050" t="0" r="1270" b="0"/>
            <wp:docPr id="385" name="Imagen 3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sum, the tribunal has to take it that a principle of customary international law concerning command responsibility has been established by State practice and opinio juris. The particular question whether that responsibility extends to acts of a subordinate committed before the commander assumed duty has not fallen to be so far dealt with – at any rate, in any reported instance. That, however, does not mean that such a situation is not capable of being governed by the established principle. If it is capable of being governed by the established principle, that principle must be held to prevail. In acting accordingly, the Appeals Chamber will not be changing customary international law but will be carrying out its true intent by interpreting and applying one of its existing principles.</w:t>
      </w:r>
      <w:r>
        <w:rPr>
          <w:rFonts w:ascii="Times New Roman" w:eastAsia="Times New Roman" w:hAnsi="Times New Roman" w:cs="Times New Roman"/>
          <w:i/>
          <w:iCs/>
          <w:noProof/>
          <w:sz w:val="24"/>
          <w:szCs w:val="24"/>
        </w:rPr>
        <w:drawing>
          <wp:inline distT="0" distB="0" distL="0" distR="0">
            <wp:extent cx="151130" cy="142875"/>
            <wp:effectExtent l="19050" t="0" r="1270" b="0"/>
            <wp:docPr id="386" name="Imagen 3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68. … [T]he question arises as to whether a commander who has failed in his obligation to ensure that his troops respect international humanitarian law is held criminally responsible for his own omissions or rather for the crimes resulting from them. The question arises in particular in this case, since the Accused are alleged to have incurred responsibility solely on the basis of Article 7(3) of the [1993 ICTY] Statute. As such, the Indictment does not allege that the Accused participated in crimes committed by their purported subordinates, but that they failed in their obligation to take the necessary and reasonable measures to prevent crimes or punish the perpetrators of those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69. Except for the Chamber in Halilović, Tribunal case law has never analysed the question of determining the object of command responsibility; the superior’s omission or the crimes which resulted from it. This is because before Halilović, the cases at this Tribunal dealt with both individual criminal responsibility under Article 7(3) and responsibility under Article 7(1) of the Statute. Allegations against accused persons were based on both omission and participation in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70. Some Chambers have issued rulings on the nature of command responsibility. For example, the Chamber in Čelebići noted that “the type of individual criminal responsibility for the illegal acts of subordinates […] is commonly referred to as ‘command responsibility’”. There, the Chamber seems to indicate that a superior will be held responsible for the acts of his subordinates. Nevertheless, as the Chamber in Halilović emphasised in its Judgement, the Chamber in Čelebići did not have to consider the matter at issue before this Chamber. Instead, that Chamber focused on the question of whether command responsibility was an integral part of customary international law at the time of the events and examined the conditions for applying Article 7(3)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71. Accordingly, the Chamber in Halilović examined national legislation, post-World War II case law, the Additional Protocols to the Geneva Conventions, and Tribunal case law to establish whether responsibility under Article 7(3) of the Statute is “sui generis” or responsibility for the crimes of subordinates. That examination shows that post-World War II case law diverges on the issue. Similarly, the Additional Protocols to the Geneva Conventions make no determination as to the nature of command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72. The analysis by the Chamber in Halilović shows that most Chambers of this Tribunal have determined that a superior is responsible for the acts of his subordinates under Article 7(3) of the Statute. There are, however, a few exceptions. The Chamber in Aleksovski made a distinction between individual responsibility under Articles 7(1) and 7(3) of the Statute: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doctrine of superior responsibility makes a superior responsible not for his acts sanctioned by Article 7(1) of the Statute but for his failure to act. A superior is held responsible for the acts of his subordinates if he did not prevent the perpetration of the crimes of his subordinates or punish them for the crimes.”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73. Similarly, the Appeals Chamber in Krnojelac found: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“It cannot be overemphasised that, where superior responsibility is concerned, an accused is not charged with the crimes of his subordinates but with his failure to carry out his duty as a superior to exercise control.”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74. The Halilović Chamber found that command responsibility under Article 7(3) of the Statute is responsibility for an omission. According to that Chamber, the commander is responsible for failing to prevent and punish crimes committed by his subordinates.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Chamber finds that under Article 7(3) command responsibility is responsibility for an omission. The commander is responsible for the failure to perform an act required by international law. This omission is culpable because international law imposes an affirmative duty on superiors to prevent and punish crimes committed by their subordinates. Thus “for the acts of his subordinates” as generally referred to in the jurisprudence of the Tribunal does not mean that the commander shares the same responsibility as the subordinates who committed the crimes, but rather that because of the crimes committed by his subordinates, the commander should bear responsibility for his failure to act. The imposition of responsibility upon a commander for breach of his duty is to be weighed against the crimes of his subordinates; a commander is responsible not as though he had committed the crime himself, but his responsibility is considered in proportion to the gravity of the offences committed. The Chamber considers that this is still in keeping with the logic of the weight which international humanitarian law places on protection values.”</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4D74E4">
        <w:rPr>
          <w:rFonts w:ascii="Times New Roman" w:eastAsia="Times New Roman" w:hAnsi="Times New Roman" w:cs="Times New Roman"/>
          <w:i/>
          <w:iCs/>
          <w:sz w:val="24"/>
          <w:szCs w:val="24"/>
          <w:lang w:val="en-US"/>
        </w:rPr>
        <w:t>75. The Chamber subscribes to the findings of the Halilović Chamber. Since command responsibility under Article 7(3) of the Statute is the corollary of a commander’s obligation to act, that responsibility is responsibility for an omission to prevent or punish crimes committed by his subordinates. The responsibility is “sui generis”, distinct from that defined in Article 7(1) of the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387" name="Imagen 3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77. Tribunal case law has consistently held that a superior-subordinate relationship exists under Article 7(3) of the [1993 ICTY] Statute when a superior exercises effective control over his subordinates, that is, when he has the material ability to prevent or punish their acts…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 The formal title of commander is neither required nor sufficient to entail superior responsibility. Responsibility under Article 7(3) of the Statute may derive from a person’s de facto, as well as de jure, position as commander so long as he has the material ability to prevent or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79. In Čelebići, the Appeals Chamber found that a showing of effective control is required in cases involving both de jure and de facto superiors. In that regard, it should be noted that the Appeals Chamber in Čelebići starts with the assumption that the official position of commander comes with effective control.</w:t>
      </w:r>
      <w:r>
        <w:rPr>
          <w:rFonts w:ascii="Times New Roman" w:eastAsia="Times New Roman" w:hAnsi="Times New Roman" w:cs="Times New Roman"/>
          <w:i/>
          <w:iCs/>
          <w:noProof/>
          <w:sz w:val="24"/>
          <w:szCs w:val="24"/>
        </w:rPr>
        <w:drawing>
          <wp:inline distT="0" distB="0" distL="0" distR="0">
            <wp:extent cx="151130" cy="142875"/>
            <wp:effectExtent l="19050" t="0" r="1270" b="0"/>
            <wp:docPr id="388" name="Imagen 3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84. A few observations are in order regarding the cooperation of troops in battle who, de jure, fall under different chains of command. The question arises as to the extent commanders of different units engaged in combat may be held criminally responsible for the acts of soldiers not under their de jure command. The Chamber considers that mere participation in joint combat operations is not sufficient to find that commanders of different units exercise effective control over all the participants in a battle. Although such cooperation might be an indicator of effective control, it is appropriate to determine on a case-by-case basis what authority an accused commander actually had over the troops in question.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85. Finally, it is appropriate to discuss whether there can be effective control in the case where a commander cannot prevent a purported subordinate from committing a crime other than by the use of force. The Defence for Hadžihasanović submits that in such cases the commander does not exercise effective control without, however, providing reasons for that argument.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86. That issue is particularly important in this case, in the context of a de jure superior-subordinate relationship. The Chamber recalls that, by virtue of his official position, it is assumed that a commander exercises effective control. The Chamber considers that the assumption is not automatically refuted in cases where commanders are compelled to use force to control their troops. Instead, such matters should be looked at on a case-by-case basis. If a commander has the material ability to use force to enforce international humanitarian law, he may be compelled to do so if the circumstances leave him no other choice.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87. The Chamber recalls that, for an army to even function, troops must obey given orders. As such, a commander must ensure compliance with his orders. He will not hesitate to use force against his own troops in cases where they refuse to obey a combat order. In times of war and in exceptional circumstances, a commander may find himself in a position where he must order the execution of soldiers who refuse to obey his orders or who desert. The obligation to ensure compliance with orders is not limited to combat orders but encompasses all orders given by a commander to his troops, including those intended to ensure compliance with international humanitarian law.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88. The Chamber is aware of the fact that a commander with only a limited number of soldiers and materials may find it difficult to use force against his own troops. He may lack sufficient troops to discipline soldiers who have breached the rules of international humanitarian law. That issue must be assessed on a case-by-case basis and may lead to a determination that a commander does not have the material ability to enforce international humanitarian law.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89. Finally, the Chamber will make a few remarks regarding the case where a commander intends to use undisciplined soldiers to defend the front lines. In that regard, it is important to recall that commanders have a fundamental role in ensuring that international humanitarian law is correctly enforced. Commanders, by virtue of their authority, are qualified to exercise control over their troops and the weapons they use, thus ensuring that persons and objects afforded protection by international humanitarian law are in fact protected. A commander who knows or has reason to know that the troops he uses in combat have committed acts prohibited by international humanitarian law runs the risk of later being held criminally responsible for crimes committed by those troops. If a commander uses soldiers while knowing or having </w:t>
      </w:r>
      <w:r w:rsidRPr="004D74E4">
        <w:rPr>
          <w:rFonts w:ascii="Times New Roman" w:eastAsia="Times New Roman" w:hAnsi="Times New Roman" w:cs="Times New Roman"/>
          <w:i/>
          <w:iCs/>
          <w:sz w:val="24"/>
          <w:szCs w:val="24"/>
          <w:lang w:val="en-US"/>
        </w:rPr>
        <w:lastRenderedPageBreak/>
        <w:t>reason to know that there is a serious risk they will not obey his orders, especially orders to comply with international humanitarian law, he may not claim to have lacked effective control over them in order to avoid his responsibility under Article 7(3) of the [1993 ICTY] Statute. A commander may not exonerate himself by claiming to lack effective control if his conduct before the crimes were committed demonstrates that he accepted the possibility that subsequently he might not be able to control his troops.</w:t>
      </w:r>
      <w:r>
        <w:rPr>
          <w:rFonts w:ascii="Times New Roman" w:eastAsia="Times New Roman" w:hAnsi="Times New Roman" w:cs="Times New Roman"/>
          <w:i/>
          <w:iCs/>
          <w:noProof/>
          <w:sz w:val="24"/>
          <w:szCs w:val="24"/>
        </w:rPr>
        <w:drawing>
          <wp:inline distT="0" distB="0" distL="0" distR="0">
            <wp:extent cx="151130" cy="142875"/>
            <wp:effectExtent l="19050" t="0" r="1270" b="0"/>
            <wp:docPr id="389" name="Imagen 3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91. The mental element required by Article 7(3) of the [1993 ICTY] Statute has been established when the superior knew or had reason to know that his subordinates were about to commit a crime or had done so.</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92. The theory of command responsibility does not impose strict responsibility on a superior who failed to prevent his subordinates from committing crimes or to punish them for having done so. The Prosecution must instead demonstrate that the superior actually knew that his subordinates had committed a crime or were about to do so, or that he had in his possession information of a nature which would at least put him on notice of the risk of such offences by indicating the need for additional investigation in order to ascertain whether such crimes were committed or were about to be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 </w:t>
      </w:r>
      <w:r w:rsidRPr="004D74E4">
        <w:rPr>
          <w:rFonts w:ascii="Times New Roman" w:eastAsia="Times New Roman" w:hAnsi="Times New Roman" w:cs="Times New Roman"/>
          <w:i/>
          <w:iCs/>
          <w:sz w:val="24"/>
          <w:szCs w:val="24"/>
          <w:u w:val="single"/>
          <w:lang w:val="en-US"/>
        </w:rPr>
        <w:t>Actual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93. The Trial Chamber in Kordić and Čerkez defined actual knowledge as “the awareness that the relevant crimes were committed or were about to be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94. Actual knowledge may be established through direct or circumstantial evidence but cannot be presumed. To determine whether the superior in fact had actual knowledge of the acts of his subordinates, the Chamber may take into account factors such as the number, type, and scope of unlawful acts, the time during which they occurred, the number and type of troops involved, the logistics involved, if any, the geographical location of the acts, their widespread occurrence, the tactical tempo of the operations, the modus operandi of similar unlawful acts, the officers and staff involved, and the location of the commander at the time the acts were committed. As for the factors of time and place, the Trial Chamber in Aleksovski held that the more physically distant the commission of the acts, the more difficult it will be, in the absence of other indicia, to establish that the superior had knowledge of them. Conversely, the commission of a crime in the immediate proximity of the place where the superior ordinarily carried out his duties would suffice to establish a significant indicium that he had knowledge of the crime, a fortiori if the crimes were repeatedly committed. The Appeals Chamber in Blaškić, however, noted that the proximity of the scene of the crime to a commander’s headquarters cannot be the determining factor in establishing a superior’s command responsibility. Additionally, it may be easier to prove the actual knowledge of a military commander if, a priori, he is part of an organised structure with established reporting and monitoring systems. The standard of proof will be higher, however, for a commander exercising de facto authority over a more informal military structure.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(ii) </w:t>
      </w:r>
      <w:r w:rsidRPr="004D74E4">
        <w:rPr>
          <w:rFonts w:ascii="Times New Roman" w:eastAsia="Times New Roman" w:hAnsi="Times New Roman" w:cs="Times New Roman"/>
          <w:i/>
          <w:iCs/>
          <w:sz w:val="24"/>
          <w:szCs w:val="24"/>
          <w:u w:val="single"/>
          <w:lang w:val="en-US"/>
        </w:rPr>
        <w:t>Mental Element: Had Reason to Know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Applicable Legal Criteria</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95. The Appeals Chamber in Čelebići, as well as subsequent case law, have accepted the Čelebići Trial Chamber’s interpretation of “had reason to know”, that is, a superior may be held criminally responsible through the principles of superior responsibility only if specific information was available to him which would have put him on notice of offences committed or about be committed by his subordinates. It is clear from the Appeals Chamber’s finding that the mental element for “had reason to know” is determined only by reference to the information in fact available to the superior and that it is sufficient for the information to be of a nature which, at least, would put him on notice of the risk of such offences by indicating the need for additional investigation </w:t>
      </w:r>
      <w:r w:rsidRPr="004D74E4">
        <w:rPr>
          <w:rFonts w:ascii="Times New Roman" w:eastAsia="Times New Roman" w:hAnsi="Times New Roman" w:cs="Times New Roman"/>
          <w:i/>
          <w:iCs/>
          <w:sz w:val="24"/>
          <w:szCs w:val="24"/>
          <w:lang w:val="en-US"/>
        </w:rPr>
        <w:lastRenderedPageBreak/>
        <w:t>in order to ascertain whether such crimes were or were about to be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96. By adopting that interpretation, the Appeals Chamber rejected the stricter criteria of “should have known”, and held that a superior cannot be held criminally responsible for neglecting to acquire knowledge of the acts of subordinates, but only for failing to take the necessary and reasonable measures to prevent or to punish. The Appeals Chamber in Blaškić noted that a superior may be held responsible for deliberately refraining from finding out, but not for negligently failing to find out.</w:t>
      </w:r>
      <w:r>
        <w:rPr>
          <w:rFonts w:ascii="Times New Roman" w:eastAsia="Times New Roman" w:hAnsi="Times New Roman" w:cs="Times New Roman"/>
          <w:i/>
          <w:iCs/>
          <w:noProof/>
          <w:sz w:val="24"/>
          <w:szCs w:val="24"/>
        </w:rPr>
        <w:drawing>
          <wp:inline distT="0" distB="0" distL="0" distR="0">
            <wp:extent cx="151130" cy="142875"/>
            <wp:effectExtent l="19050" t="0" r="1270" b="0"/>
            <wp:docPr id="390" name="Imagen 3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103. The Prosecution submits that the prior commission of criminal acts is, per se, evidence of the existence of “an unacceptable degree of risk” triggering a duty to take all the necessary and reasonable steps to prevent the recurrence of similar crimes. The Prosecution further submits that the Appeal Judgement in Krnojelac supports the argument that when a superior has knowledge that crimes have already been committed by his subordinates, he is put on notice of a risk that crimes will be committed in the future, and has a duty to intervene to prevent them. The Prosecution also refers to its submissions in its Appeal Brief in the Strugar case.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106. The Chamber notes that the Prosecution acknowledges an initial limitation on the scope of prior knowledge, namely that the alleged criminal acts must be similar.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107. The Prosecution, however, does not deal with the issue of whether a superior’s prior knowledge of crimes committed by his subordinates gives him reason to know that the same subordinates are preparing to commit similar crimes, or if that prior knowledge extends to similar criminal acts by all of his subordinates. By failing to raise the issue, the Prosecution implicitly accepts that a superior’s prior knowledge of crimes committed by a given group of subordinates is sufficient to give him reason to know that all of his subordinates are about to commit crimes of the same nature.</w:t>
      </w:r>
      <w:r>
        <w:rPr>
          <w:rFonts w:ascii="Times New Roman" w:eastAsia="Times New Roman" w:hAnsi="Times New Roman" w:cs="Times New Roman"/>
          <w:i/>
          <w:iCs/>
          <w:noProof/>
          <w:sz w:val="24"/>
          <w:szCs w:val="24"/>
        </w:rPr>
        <w:drawing>
          <wp:inline distT="0" distB="0" distL="0" distR="0">
            <wp:extent cx="151130" cy="142875"/>
            <wp:effectExtent l="19050" t="0" r="1270" b="0"/>
            <wp:docPr id="391" name="Imagen 3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114. … [I]t is clear that the Accused Krnojelac’s prior knowledge of the crimes committed by the guards at the KP Dom in Foča gave him reason to know that members of that same group of subordinates, namely the guards at the KP Dom in Foča, were about to commit crimes of the same nature. The reasons underpinning that limitation to the same group are obvious. First, the commission of the alleged criminal acts occurred in the same geographical setting, that is, the Foča detention centre. Second, that group of subordinates was under the authority and supervision of one same prison warden. In view of those circumstances, it follows that the guards at the KP Dom in Foča formed one identifiable group of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115. The Chamber notes that the Prosecution did not take this aspect into account. On the contrary, the Prosecution’s position implicitly seeks to extend a commander’s prior knowledge to criminal acts of the same nature committed by all of his subordinates, regardless of whether they belong to the same group. In this case, that would amount to saying that since the Accused Hadžihasanović had knowledge of the existence of previous cases of a brigade’s criminal conduct, this would put him on notice of the risk that other brigades were about to commit similar criminal acts. To adopt such a position misconstrues the reasoning of the Krnojelac Appeals Chamber, in that it is silent about taking into account one same group of subordinates and the geographical aspects related to that group (for example, the location of a subordinate unit), which fall within the scope of Krnojelac’s prior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116. Moreover, by attempting to extend the Accused Hadžihasanović’s prior knowledge to the crimes committed by all his subordinates, regardless of their positions in the 3rd Corps zone of responsibility, the Prosecution is attempting to reintroduce a criterion already dismissed by the Appeals Chamber in Čelebići, namely a superior’s “general </w:t>
      </w:r>
      <w:r w:rsidRPr="004D74E4">
        <w:rPr>
          <w:rFonts w:ascii="Times New Roman" w:eastAsia="Times New Roman" w:hAnsi="Times New Roman" w:cs="Times New Roman"/>
          <w:i/>
          <w:iCs/>
          <w:sz w:val="24"/>
          <w:szCs w:val="24"/>
          <w:lang w:val="en-US"/>
        </w:rPr>
        <w:lastRenderedPageBreak/>
        <w:t>duty to know”, the breach of which would have been sufficient to entail his responsibility for crimes committed by his subordinates. In that Judgement, the Appeals Chamber in fact determined that customary law did not impose such obligations on military commanders. Indeed, that position has since been reaffirmed. The Prosecution’s position is therefore discordant with the case law and, in addition, the Prosecution failed to offer any arguments to support it.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117. Accordingly, the Chamber is of the view that in this case the “identifiable group of subordinates” must be interpreted, given the structure and operations of the 3rd Corps, as a brigade or brigade battalion, assuming that a battalion has a geographical location different from that of the other units of the brigade to which it belongs. Consequently, the Chamber dismisses the Prosecution’s argument in this case which seeks to extend the reasoning elaborated in the Krnojelac Appeal Judgement to cover all the subordinates of the Accused, regardless of whether they belong to the same group.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118. As a result, the Chamber considers that a superior’s prior knowledge must be interpreted narrowly in that it derives from a situation of recurrent criminal acts and from circumstances where those acts could not be committed in isolation by a single identifiable group of subordinates.</w:t>
      </w:r>
      <w:r>
        <w:rPr>
          <w:rFonts w:ascii="Times New Roman" w:eastAsia="Times New Roman" w:hAnsi="Times New Roman" w:cs="Times New Roman"/>
          <w:i/>
          <w:iCs/>
          <w:noProof/>
          <w:sz w:val="24"/>
          <w:szCs w:val="24"/>
        </w:rPr>
        <w:drawing>
          <wp:inline distT="0" distB="0" distL="0" distR="0">
            <wp:extent cx="151130" cy="142875"/>
            <wp:effectExtent l="19050" t="0" r="1270" b="0"/>
            <wp:docPr id="392" name="Imagen 3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122. Regarding the obligation to prevent or punish, the case law of the Tribunals first notes that a superior cannot be obliged to perform the impossible. To determine whether a superior has discharged his duty, the case law has sought to assess whether the superior took the measures in his powers and to define which measures must be considered to be within the superior’s powers in that sense. In Čelebići, the Chamber concluded that a superior should be held responsible for failing to take the measures within his material possibility. In certain cases, the superior need not possess the formal legal competence to take the necessary measures if it is proved that he has the material ability to act.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123. The case law of the International Tribunals has consistently held that the assessment of measures taken, in view of the material ability of the superior, must be evaluated on a case-by-case basis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125. Tribunal case law has clearly established that Article 7(3) of the [1993 ICTY] Statute distinguishes between two different duties of a superior. The Trial Chamber in Strugar recently reaffirmed this distinction unambiguously by holding that Article 7(3) does not provide a superior with two alternative options but contains two distinct legal obligations: (1) to prevent the commission of the crime and (2) to punish the perpetrators. The duty to prevent arises for a superior from the moment he acquires knowledge or has reasonable grounds to suspect that a crime is being or is about to be committed, while the duty to punish arises after the commission of the crime.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126. As for the duty to prevent, a superior clearly has a limited time to perform it. Once the crime has been committed by his subordinates, it is too late and the superior has failed in his duty. The duty to punish the subordinates arises after the crimes have already been committed. In no case may the superior “make up” for the failure to act by punishing the subordinates afterwards. Accordingly, if it is established that a superior did nothing to prevent his subordinates from committing a crime, an examination of the measures taken to punish them serves no purpose. He has failed in his duty to prevent and therefore entails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127. The case law makes an unequivocal distinction between the duty to prevent and the duty to punish: the first arises prior to the commission of the criminal offence by the subordinate and the second, after. Nevertheless, the duty to “suppress” is recognised by </w:t>
      </w:r>
      <w:r w:rsidRPr="004D74E4">
        <w:rPr>
          <w:rFonts w:ascii="Times New Roman" w:eastAsia="Times New Roman" w:hAnsi="Times New Roman" w:cs="Times New Roman"/>
          <w:i/>
          <w:iCs/>
          <w:sz w:val="24"/>
          <w:szCs w:val="24"/>
          <w:lang w:val="en-US"/>
        </w:rPr>
        <w:lastRenderedPageBreak/>
        <w:t>the case law and seems to be included in the duty to prevent, even though it arises while the unlawful act is in the process of being committed. The duty to suppress should be considered part of the superior’s duty to prevent, as its aim is to prevent further unlawful acts.</w:t>
      </w:r>
      <w:r>
        <w:rPr>
          <w:rFonts w:ascii="Times New Roman" w:eastAsia="Times New Roman" w:hAnsi="Times New Roman" w:cs="Times New Roman"/>
          <w:i/>
          <w:iCs/>
          <w:noProof/>
          <w:sz w:val="24"/>
          <w:szCs w:val="24"/>
        </w:rPr>
        <w:drawing>
          <wp:inline distT="0" distB="0" distL="0" distR="0">
            <wp:extent cx="151130" cy="142875"/>
            <wp:effectExtent l="19050" t="0" r="1270" b="0"/>
            <wp:docPr id="393" name="Imagen 3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128. While the duty to prevent is distinct from the duty to punish, there are situations where both duties have a causal link and one may be the consequence of the other. This reasoning appears in the Prosecution’s written submissions on the issue of prior knowledge, which deals with both the definition of a superior’s knowledge and, once that knowledge has been established, the superior’s duty to intervene.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129. According to the Prosecution, the prior commission of criminal acts is per se evidence of the existence of an “unacceptable degree of risk” which triggers a superior’s duty to take all the necessary and reasonable steps to prevent the recurrence of similar crimes. The Prosecution refers to its Appeal Brief in Strugar, where it provides a more comprehensive explanation of its reasoning which relies on post-World War II case law and the Krnojelac and Blaškić Appeal Judgements which, it submits, support this argument.</w:t>
      </w:r>
      <w:r>
        <w:rPr>
          <w:rFonts w:ascii="Times New Roman" w:eastAsia="Times New Roman" w:hAnsi="Times New Roman" w:cs="Times New Roman"/>
          <w:i/>
          <w:iCs/>
          <w:noProof/>
          <w:sz w:val="24"/>
          <w:szCs w:val="24"/>
        </w:rPr>
        <w:drawing>
          <wp:inline distT="0" distB="0" distL="0" distR="0">
            <wp:extent cx="151130" cy="142875"/>
            <wp:effectExtent l="19050" t="0" r="1270" b="0"/>
            <wp:docPr id="394" name="Imagen 3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The Chamber thus infers that, in particular, the failure to punish the acts committed against Zeković [victim in Krnojelac] constitutes negligence in the duty to prevent other similar acts (of torture). Over and beyond the conclusions of the Appeals Chamber, the Chamber is of the opinion that by failing to take measures to punish crimes of which he has knowledge, the superior has reason to know that there is a real and reasonable risk those unlawful acts might recur.</w:t>
      </w:r>
      <w:r>
        <w:rPr>
          <w:rFonts w:ascii="Times New Roman" w:eastAsia="Times New Roman" w:hAnsi="Times New Roman" w:cs="Times New Roman"/>
          <w:i/>
          <w:iCs/>
          <w:noProof/>
          <w:sz w:val="24"/>
          <w:szCs w:val="24"/>
        </w:rPr>
        <w:drawing>
          <wp:inline distT="0" distB="0" distL="0" distR="0">
            <wp:extent cx="151130" cy="142875"/>
            <wp:effectExtent l="19050" t="0" r="1270" b="0"/>
            <wp:docPr id="395" name="Imagen 3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156. As explained above, the Appeals Chamber in Krnojelac held that a superior has a duty to punish the acts of his subordinates as soon as he is alerted of the risk that they will be committed. Failure in that duty to intervene entails the superior’s responsibility, since his passiveness condones subsequent similar acts. Accordingly, by failing to punish, the superior (Krnojelac) did not prevent subsequent criminal acts. Nevertheless, to evaluate the scope of the Krnojelac Appeal Judgement, the Chamber would make several observations.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157. It should be pointed out that, in this case, the Prosecution acknowledges an initial limitation on a superior’s duty to prevent the recurrence of criminal acts by stating that the acts must be similar.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158. The Prosecution, however, does not deal with the question of whether the duty to intervene to prevent similar acts concerns only the acts of the same group of subordinates who perpetrate the unlawful acts or if it applies to all of a superior’s subordinates. By failing to raise that issue, the Prosecution implicitly extends the duty to prevent the recurrence of similar acts to cover those committed by </w:t>
      </w:r>
      <w:r w:rsidRPr="004D74E4">
        <w:rPr>
          <w:rFonts w:ascii="Times New Roman" w:eastAsia="Times New Roman" w:hAnsi="Times New Roman" w:cs="Times New Roman"/>
          <w:i/>
          <w:iCs/>
          <w:sz w:val="24"/>
          <w:szCs w:val="24"/>
          <w:u w:val="single"/>
          <w:lang w:val="en-US"/>
        </w:rPr>
        <w:t>all</w:t>
      </w:r>
      <w:r w:rsidRPr="004D74E4">
        <w:rPr>
          <w:rFonts w:ascii="Times New Roman" w:eastAsia="Times New Roman" w:hAnsi="Times New Roman" w:cs="Times New Roman"/>
          <w:i/>
          <w:iCs/>
          <w:sz w:val="24"/>
          <w:szCs w:val="24"/>
          <w:lang w:val="en-US"/>
        </w:rPr>
        <w:t xml:space="preserve"> of a superior’s subordinates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159. First, and in view of the case law established by the Appeals Chamber in Krnojelac, the Chamber agrees with the Prosecution’s position which limits to similar acts a superior’s duty to punish unlawful acts in order to prevent their recurrence. In Krnojelac, the Appeals Chamber relied on the repetitive nature of the mistreatment inflicted on a discriminatory basis to define a superior’s responsibility to prevent unlawful acts from recurring. That same reasoning is applied later in that Judgement as regards the murders committed by the guards at the KP Dom. Furthermore, post- World War II case law supports that position.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160. Conversely, the Chamber is of the opinion that an extension of a superior’s duty to include preventing the recurrence of unlawful acts by all of his subordinates would be inconsistent with the Krnojelac Appeal Judgement and previously-established Appeals Chamber case law.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164. … [T]he duty to prevent the recurrence of similar acts must be limited to the acts of subordinates who form part of an “identifiable group”, some members of which have already committed similar acts. That limitation bears a relationship to the very nature of the duty to prevent, which is based on the risk of a recurrence of similar acts. In fact, such responsibility can be established only when the recurrence is foreseeable, since it is premised on the fact that the failure to punish encourages soldiers – who have already committed unlawful acts – to commit those acts once again. The failure to intervene results in the foreseeable consequence of such conduct being repeated.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167. By attempting to extend Hadžihasanović’s duty to prevent the recurrence of unlawful acts committed by all his subordinates, regardless of their position in the 3rd Corps zone of responsibility, the Prosecution is attempting to reintroduce a criterion already dismissed by the Appeals Chamber in Čelebići, namely “a general duty to know upon commanders or superiors,” the breach of which would be sufficient to entail his responsibility for crimes committed by his subordinates. In that Judgement, the Appeals Chamber determined that customary law did not impose such an obligation on military commanders, which position has since been reaffirmed. The Prosecution’s position is therefore discordant with the case law of this Tribunal. Moreover, the Prosecution failed to offer any arguments to support it.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169. To conclude, the Chamber finds that the duty to prevent the recurrence of similar acts, which is based on a superior’s prior knowledge, must be interpreted as applying to an identifiable group of subordinates who have already committed such acts in the past. In this case, that is equivalent to a specific brigade operating in the same limited geographical area and to detention centres which fall under the authority and control of the same supervisory power.</w:t>
      </w:r>
      <w:r>
        <w:rPr>
          <w:rFonts w:ascii="Times New Roman" w:eastAsia="Times New Roman" w:hAnsi="Times New Roman" w:cs="Times New Roman"/>
          <w:i/>
          <w:iCs/>
          <w:noProof/>
          <w:sz w:val="24"/>
          <w:szCs w:val="24"/>
        </w:rPr>
        <w:drawing>
          <wp:inline distT="0" distB="0" distL="0" distR="0">
            <wp:extent cx="151130" cy="142875"/>
            <wp:effectExtent l="19050" t="0" r="1270" b="0"/>
            <wp:docPr id="396" name="Imagen 3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[T]he Chamber infers [from an analysis of the Krnojelac appeal judgement] that prior knowledge cannot entail the responsibility of the perpetrator for failing to investigate and punish past acts unless those acts are of a similar nature and that the subordinates committing a series of repeated acts of the same nature form part of a same identifiable group of subordinates. In this case, the group is a brigade or given battalion, operating in a defined geographical area and in detention centres which fell under the authority and control of the same supervisory power. Moreover, for that retroactive duty to apply, the circumstances surrounding those acts have to be such that the acts could not have occurred in isolation.</w:t>
      </w:r>
      <w:r>
        <w:rPr>
          <w:rFonts w:ascii="Times New Roman" w:eastAsia="Times New Roman" w:hAnsi="Times New Roman" w:cs="Times New Roman"/>
          <w:i/>
          <w:iCs/>
          <w:noProof/>
          <w:sz w:val="24"/>
          <w:szCs w:val="24"/>
        </w:rPr>
        <w:drawing>
          <wp:inline distT="0" distB="0" distL="0" distR="0">
            <wp:extent cx="151130" cy="142875"/>
            <wp:effectExtent l="19050" t="0" r="1270" b="0"/>
            <wp:docPr id="397" name="Imagen 3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186. In its written submissions, the Prosecution notes that the existence of causality between a commander’s failure to act and his subordinates’ crimes need not be established. The Trial Chamber in Čelebići responded in part to the question of whether there must be a nexus between the superior’s omission and the cause of the offence… That Chamber held that a causal link has not traditionally been considered as a conditio sine qua non for the imposition of criminal responsibility on superiors for their failure to prevent or punish offences committed by their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187. Nevertheless, the Čelebići Chamber did recognise that the requirement of crimes committed by subordinates and the superior’s failure to take the measures to prevent them is recognition of a necessary causal link. The Čelebići Chamber further held that in such cases the superior may be considered to be causally linked to the offences in that, but for his failure to act, the offences would not have been committed. That Chamber found that a causal connection between the failure of a commander to punish past crimes committed by subordinates and the commission of any such future crimes is </w:t>
      </w:r>
      <w:r w:rsidRPr="004D74E4">
        <w:rPr>
          <w:rFonts w:ascii="Times New Roman" w:eastAsia="Times New Roman" w:hAnsi="Times New Roman" w:cs="Times New Roman"/>
          <w:i/>
          <w:iCs/>
          <w:sz w:val="24"/>
          <w:szCs w:val="24"/>
          <w:lang w:val="en-US"/>
        </w:rPr>
        <w:lastRenderedPageBreak/>
        <w:t>not only possible but likely.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188. While that position may prove correct, it may not be turned into a requirement that the Prosecution prove a causal link to impose command responsibility. As the Chamber in Čelebići held, no causal link can possibly exist between an offence committed by a subordinate and the subsequent failure of a superior to punish the perpetrator of that same offence.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189. The Blaškić Appeals Chamber recalled the finding of the Čelebići Trial Chamber, which dismissed the idea of causality between the subordinate’s offence and the failure to act by holding that “the very existence of the principle of superior responsibility for failure to punish, therefore, recognised under Article 7(3) [of the 1933 ICTY Statute] and customary law, demonstrates the absence of a requirement of causali ty as a separate element of the doctrine of superior responsibility.” The Appeals Chamber added that it was “therefore not persuaded […] that the existence of causality between a commander’s failure to prevent subordinates’ crimes and the occurrence of these crimes, is an element of command responsibility that requires proof by the Prosecution in all circumstances of a case.”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191. The Halilović Chamber sought to explain why it is not necessary to establish the existence of a causal link between a superior’s failure to act and the crime committed by a subordinate. The Chamber noted that criminal command responsibility under Article 7(3) of the Statute, as it is sui generis and different from the forms of responsibility under Article 7(1), does not require a causal link. According to that Chamber, a superior’s responsibility is responsibility for an omission, which flows from his obligations under international law. Requiring a causal link would change the basis of command responsibility for failure to prevent or punish to the extent that it would practically require involvement on the part of the commander in the crime his subordinates committed, thus altering the very nature of the responsibility imposed under Article 7(3). This Chamber agrees with that interpretation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192. The Chamber would, however, note that command responsibility may be imposed only when there is a relevant and significant nexus between the crime and the responsibility of the superior accused of having failed in his duty to prevent. Such a nexus is implicitly part of the usual conditions which must be met to establish command responsibility. As such, a superior may not be held responsible for crimes committed by subordinates who are not under his effective control, nor is he responsible if he did not know or have reason to believe that his subordinates had committed or were about to commit crimes. The superior is not responsible when he lacks the necessary means to prevent or punish crimes. Finally, the superior is not responsible for failing to prevent crimes committed before he assumed command over the perpetrators of the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398" name="Imagen 3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195. As indicated in the chapter of this Judgement discussing necessary and reasonable measures, Article 7(3) of the [1993 ICTY] Statute provides that a commander has the duty to prevent his subordinates from committing crimes when he knows or has reason to know that they are about to commit them and also has a duty to punish the perpetrators of crimes when he knows or has reason to know that his subordinates have already committed them. In fact, these are two distinct obligations which apply at different times. The duty to prevent the commission of a crime arises when the commander knows or has reason to know that a crime is being or is about to be committed, while the duty to punish arises when a crime has already been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196. The duty to prevent the commission of crimes may arise only in cases where a superior was already in command at the time his subordinates were about to commit a crime. The duty to punish exists only after a crime has been committed. There are, </w:t>
      </w:r>
      <w:r w:rsidRPr="004D74E4">
        <w:rPr>
          <w:rFonts w:ascii="Times New Roman" w:eastAsia="Times New Roman" w:hAnsi="Times New Roman" w:cs="Times New Roman"/>
          <w:i/>
          <w:iCs/>
          <w:sz w:val="24"/>
          <w:szCs w:val="24"/>
          <w:lang w:val="en-US"/>
        </w:rPr>
        <w:lastRenderedPageBreak/>
        <w:t>however, situations where a crime is committed shortly before one commander leaves and another arrives to assume command. In such cases, reports on the commission of the crime may not reach the superior who was in command at the time the crime was committed and may be received only by the new superior who has taken up duties.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197. In that scenario, the superior in command at the time the crime was committed would not incur criminal responsibility under Article 7(3) of the Statute. When the reports that a crime has been committed reach his successor, he no longer exercises effective control over the perpetrators of the crime. As such, he is no longer in a position where he has the authority to punish the subordinates in question. As indicated above, the power to punish depends on a commander’s ability to exercise effective control.</w:t>
      </w:r>
      <w:r>
        <w:rPr>
          <w:rFonts w:ascii="Times New Roman" w:eastAsia="Times New Roman" w:hAnsi="Times New Roman" w:cs="Times New Roman"/>
          <w:i/>
          <w:iCs/>
          <w:noProof/>
          <w:sz w:val="24"/>
          <w:szCs w:val="24"/>
        </w:rPr>
        <w:drawing>
          <wp:inline distT="0" distB="0" distL="0" distR="0">
            <wp:extent cx="151130" cy="142875"/>
            <wp:effectExtent l="19050" t="0" r="1270" b="0"/>
            <wp:docPr id="399" name="Imagen 3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198. The Appeals Chamber [in its 2003 Decision on Interlocutory Appeal Challenging Jurisdiction in Relation to Command Responsibility in the same case] has held that the new commander may not incur criminal responsibility under Article 7(3) of the [1993 ICTY] Statute for crimes committed by his subordinates before they were under his command. To reach that conclusion, a majority of the Appeals Chamber found that there is no state practice, nor any opinio juris that would sustain the proposition that a commander can be held responsible for crimes committed by a subordinate prior to assuming command over that subordinate. The Appeals Chamber further held that there are in fact indications that militate against the existence of a customary rule establishing such criminal responsibility. It found that an Accused may be held criminally responsible only if the crime charged was clearly established under customary international law at the time the events in issue occurred. In case of doubt, the Appeals Chamber added, criminal responsibility cannot be found to exist, thereby preserving full respect for the principle of legality. Judges Shahabuddeen and Hunt each attached dissenting opinions to the majority decision.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199. Although the reasons given by the dissenting Judges merit further examination, the Chamber will limit itself to espousing a pragmatic consideration set out by Judge Shahabuddeen. Since the commanders of troops change on a regular basis in times of war, there is a serious risk that a gap in the line of responsibilities will be created as the changes occur. Considering the aforementioned case, if the superior in command at the time a crime is committed is replaced very soon after its commission, it is very likely that the perpetrators of that crime will go unpunished and that no commander will be held criminally responsible under the principles of command responsibility. It must be recognised that in such a case military practice, whose purpose is to establish the internal order and discipline necessary to run the armed forces, and from which the power to punish flows, falls short of achieving its objective.</w:t>
      </w:r>
      <w:r>
        <w:rPr>
          <w:rFonts w:ascii="Times New Roman" w:eastAsia="Times New Roman" w:hAnsi="Times New Roman" w:cs="Times New Roman"/>
          <w:i/>
          <w:iCs/>
          <w:noProof/>
          <w:sz w:val="24"/>
          <w:szCs w:val="24"/>
        </w:rPr>
        <w:drawing>
          <wp:inline distT="0" distB="0" distL="0" distR="0">
            <wp:extent cx="151130" cy="142875"/>
            <wp:effectExtent l="19050" t="0" r="1270" b="0"/>
            <wp:docPr id="400" name="Imagen 4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20. In Celebici, the Appeals Chamber underscored that effective control is the ultimate standard and that a showing of effective control is required in cases involving both de jure and de facto superiors. The Appeals Chamber further noted: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determining questions of responsibility it is necessary to look to effective exercise of power or control and not to formal titles. […] In general, the possession of de jure power in itself may not suffice for the finding of command responsibility if it does not manifest in effective control, although a court may presume that possession of such power prima facie results in effective control unless proof to the contrary is produced. [Čelebići case, Judgement on Appeal, § 197]</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21. Even when a superior is found to have de jure authority over his subordinates, the Prosecution still has to prove beyond reasonable doubt that this superior exercised effective control over his subordinates, unless the accused does not challenge having exercised such control. By holding that “a court may presume that possession of [de </w:t>
      </w:r>
      <w:r w:rsidRPr="004D74E4">
        <w:rPr>
          <w:rFonts w:ascii="Times New Roman" w:eastAsia="Times New Roman" w:hAnsi="Times New Roman" w:cs="Times New Roman"/>
          <w:i/>
          <w:iCs/>
          <w:sz w:val="24"/>
          <w:szCs w:val="24"/>
          <w:lang w:val="en-US"/>
        </w:rPr>
        <w:lastRenderedPageBreak/>
        <w:t>jure] power prima facie results in effective control”, [Čelebići case, Judgement on Appeal, § 197] the Appeals Chamber in Celebici did not reverse the burden of proof. It simply acknowledged that the possession of de jure authority constitutes prima facie a reasonable basis for assuming that an accused has effective control over his subordinates. Thus, the burden of proving beyond reasonable doubt that the accused had effective control over his subordinates ultimately rests with the Prosecution.</w:t>
      </w:r>
      <w:r>
        <w:rPr>
          <w:rFonts w:ascii="Times New Roman" w:eastAsia="Times New Roman" w:hAnsi="Times New Roman" w:cs="Times New Roman"/>
          <w:i/>
          <w:iCs/>
          <w:noProof/>
          <w:sz w:val="24"/>
          <w:szCs w:val="24"/>
        </w:rPr>
        <w:drawing>
          <wp:inline distT="0" distB="0" distL="0" distR="0">
            <wp:extent cx="151130" cy="142875"/>
            <wp:effectExtent l="19050" t="0" r="1270" b="0"/>
            <wp:docPr id="401" name="Imagen 4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expression “full responsibility” adopted by the Trial Chamber may be somewhat misleading [and therefore clarified] … that the responsibility of a superior under Article 7(3) of the [1993 ICTY] Statute is only triggered by a superior’s failure to prevent and punish the crimes of his subordinates of which he has the requisite knowledge.</w:t>
      </w:r>
      <w:r>
        <w:rPr>
          <w:rFonts w:ascii="Times New Roman" w:eastAsia="Times New Roman" w:hAnsi="Times New Roman" w:cs="Times New Roman"/>
          <w:i/>
          <w:iCs/>
          <w:noProof/>
          <w:sz w:val="24"/>
          <w:szCs w:val="24"/>
        </w:rPr>
        <w:drawing>
          <wp:inline distT="0" distB="0" distL="0" distR="0">
            <wp:extent cx="151130" cy="142875"/>
            <wp:effectExtent l="19050" t="0" r="1270" b="0"/>
            <wp:docPr id="402" name="Imagen 4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Appeals Chamber agrees with the Trial Chamber that the fact that a superior is compelled to use force to control some of his subordinates does not automatically lead to the conclusion that this superior does not exercise effective control over them. The Appeals Chamber concurs with the Trial Chamber’s finding that this issue must be evaluated on a case-by-case basis. Further, there might be situations in which a superior has to use force against subordinates acting in violation of international humanitarian law. A superior may have no other alternative but to use force to prevent or punish the commission of crimes by subordinates. This kind of use of force is legal under international humanitarian law insofar as it complies with the principles of proportionality and precaution and may even demonstrate that a superior has the material ability to prevent and punish the commission of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403" name="Imagen 4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 While a superior’s knowledge of and failure to punish his subordinates’ past offences is insufficient, in itself, to conclude that the superior knew that similar future offences would be committed by the same group of subordinates, this may, depending on the circumstances of the case, nevertheless constitute sufficiently alarming information to justify further inquiry. In making such an assessment, a Trial Chamber may take into account the failure by a superior to punish the crime in question. Such failure is indeed relevant to the determination of whether, in the circumstances of a case, a superior possessed information that was sufficiently alarming to put him on notice of the risk that similar crimes might subsequently be carried out by subordinates and justify further inquiry. In this regard, the Appeals Chamber stresses that a superior’s failure to punish a crime of which he has actual knowledge is likely to be understood by his subordinates at least as acceptance, if not encouragement, of such conduct with the effect of increasing the risk of new crimes being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31. In the present case, the Trial Chamber, when it reviewed the Appeals Chamber’s application of the “had reason to know” standard in the Krnojelac case, found that “[o]ver and beyond the conclusions of the Appeals Chamber, the Chamber is of the opinion that by failing to take measures to punish crimes of which he has knowledge, the superior has reason to know that there is a real and reasonable risk those unlawful acts might recur”. [Hadžihasanović case, Judgement, § 133] It further found that “by failing to punish, the superior (Krnojelac) did not prevent subsequent criminal acts”. [Hadžihasanović case, Judgement, § 156] Those findings could be read as implying that a superior’s failure to punish a crime of which he has knowledge automatically constitutes sufficiently alarming information under the “had reason to know” standard, irrespective of the circumstances of the case. Such reading would amount to an error of law. However, the Trial Chamber also found that “from the moment a certain amount of information was available to Krnojelac which, taken as a whole, was sufficiently </w:t>
      </w:r>
      <w:r w:rsidRPr="004D74E4">
        <w:rPr>
          <w:rFonts w:ascii="Times New Roman" w:eastAsia="Times New Roman" w:hAnsi="Times New Roman" w:cs="Times New Roman"/>
          <w:i/>
          <w:iCs/>
          <w:sz w:val="24"/>
          <w:szCs w:val="24"/>
          <w:lang w:val="en-US"/>
        </w:rPr>
        <w:lastRenderedPageBreak/>
        <w:t>alarming and such as to alert him to the risk of murders being committed inside the prison, he had an obligation to intervene and at the least should have carried out an investigation”. [Hadžihasanović case, Judgement, § 135] It also referred to the “had reason to know” standard as requiring an assessment of whether a superior had sufficiently alarming information which would have alerted him to the risk that crimes might be committed by his subordinates. This demonstrates that the Trial Chamber correctly understood that standard as requiring an assessment, in the circumstances of each case, of whether a superior had sufficiently alarming information to put him on notice that crimes might be committed. Under the various grounds of appeal below, the Appeals Chamber will determine whether the Trial Chamber correctly applied the “had reason to know” standard.</w:t>
      </w:r>
      <w:r>
        <w:rPr>
          <w:rFonts w:ascii="Times New Roman" w:eastAsia="Times New Roman" w:hAnsi="Times New Roman" w:cs="Times New Roman"/>
          <w:i/>
          <w:iCs/>
          <w:noProof/>
          <w:sz w:val="24"/>
          <w:szCs w:val="24"/>
        </w:rPr>
        <w:drawing>
          <wp:inline distT="0" distB="0" distL="0" distR="0">
            <wp:extent cx="151130" cy="142875"/>
            <wp:effectExtent l="19050" t="0" r="1270" b="0"/>
            <wp:docPr id="404" name="Imagen 4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As the Appeals Chamber previously held, “what constitutes [necessary and reasonable] measures is not a matter of substantive law but of evidence”; [Blaškić case, Judgement on Appeal, § 72] the assessment of whether a superior fulfilled his duty to prevent or punish under Article 7(3) of the [1993 ICTY] Statute has to be made on a case-by-case basis, so as to take into account the “circumstances surrounding each particular situation”. [Blaškić case, Judgement on Appeal, § 417] Under Article 86 of Additional Protocol I, for example, superiors have a duty to take “all feasible measures within their power” to prevent or punish a breach of the laws of war and, under Article 87 of Additional Protocol I, such “feasible measures” may take the form of both “disciplinary or penal” measures. It cannot be excluded that, in the circumstances of a case, the use of disciplinary measures will be sufficient to discharge a superior of his duty to punish crimes under Article 7(3) of the [1993 ICTY] Statute. In other words, whether the measures taken were solely of a disciplinary nature, criminal, or a combination of both, cannot in itself be determinative of whether a superior discharged his duty to prevent or punish under Article 7(3) of the [1993 ICTY] Statute. The Prosecution’s argument is dismissed.</w:t>
      </w:r>
      <w:r>
        <w:rPr>
          <w:rFonts w:ascii="Times New Roman" w:eastAsia="Times New Roman" w:hAnsi="Times New Roman" w:cs="Times New Roman"/>
          <w:i/>
          <w:iCs/>
          <w:noProof/>
          <w:sz w:val="24"/>
          <w:szCs w:val="24"/>
        </w:rPr>
        <w:drawing>
          <wp:inline distT="0" distB="0" distL="0" distR="0">
            <wp:extent cx="151130" cy="142875"/>
            <wp:effectExtent l="19050" t="0" r="1270" b="0"/>
            <wp:docPr id="405" name="Imagen 4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38. The Appeals Chamber recalls its finding in Blaskić that it was “not persuaded by [the argument] that the existence of causality between a commander’s failure to prevent subordinates’ crimes and the occurrence of these crimes, is an element of command responsibility that requires proof by the Prosecution in all circumstances of a case”. [Blaškić case, Judgement on Appeal, § 77]</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39. The Appeals Chamber also takes into consideration the following conclusion in Halilović:</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nature of command responsibility itself, as a sui generis form of liability, which is distinct from the modes of individual responsibility set out in Article 7(1), does not require a causal link. Command responsibility is responsibility for omission, which is culpable due to the duty imposed by international law upon a commander. If a causal link were required this would change the basis of command responsibility for failure to prevent or punish to the extent that it would practically require involvement on the part of the commander in the crime his subordinates committed, thus altering the very nature of the liability imposed under Article 7(3). [Halilović case, Judgement, § 78]</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40. Considering that superior responsibility does not require that a causal link be established between a commander’s failure to prevent subordinates’ crimes and the occurrence of these crimes, there is no duty for an accused to bring evidence demonstrating that such a causal link does not exist. The Appeals Chamber considers that the Trial Chamber erred in law by making such finding.</w:t>
      </w:r>
      <w:r>
        <w:rPr>
          <w:rFonts w:ascii="Times New Roman" w:eastAsia="Times New Roman" w:hAnsi="Times New Roman" w:cs="Times New Roman"/>
          <w:i/>
          <w:iCs/>
          <w:noProof/>
          <w:sz w:val="24"/>
          <w:szCs w:val="24"/>
        </w:rPr>
        <w:drawing>
          <wp:inline distT="0" distB="0" distL="0" distR="0">
            <wp:extent cx="151130" cy="142875"/>
            <wp:effectExtent l="19050" t="0" r="1270" b="0"/>
            <wp:docPr id="406" name="Imagen 4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the Plavšić case before the ICTY in 2002, the accused, Biljana Plavšić, a member of the Bosnian Serb leadership, was charged with genocide, complicity in genocide, crimes against humanity (murder, extermination, deportation, persecutions on political, </w:t>
      </w:r>
      <w:r w:rsidRPr="004D74E4">
        <w:rPr>
          <w:rFonts w:ascii="Times New Roman" w:eastAsia="Times New Roman" w:hAnsi="Times New Roman" w:cs="Times New Roman"/>
          <w:i/>
          <w:iCs/>
          <w:sz w:val="24"/>
          <w:szCs w:val="24"/>
          <w:lang w:val="en-US"/>
        </w:rPr>
        <w:lastRenderedPageBreak/>
        <w:t>racial and religious grounds, other inhumane acts) and violations of the laws or customs of war (murder) for her alleged role in the intended “permanent removal, by force or other means, of Bosnian Muslim, Bosnian Croat or other non-Serb inhabitants from large areas of Bosnia and Herzegovina”.</w:t>
      </w:r>
      <w:r>
        <w:rPr>
          <w:rFonts w:ascii="Times New Roman" w:eastAsia="Times New Roman" w:hAnsi="Times New Roman" w:cs="Times New Roman"/>
          <w:i/>
          <w:iCs/>
          <w:noProof/>
          <w:sz w:val="24"/>
          <w:szCs w:val="24"/>
        </w:rPr>
        <w:drawing>
          <wp:inline distT="0" distB="0" distL="0" distR="0">
            <wp:extent cx="151130" cy="142875"/>
            <wp:effectExtent l="19050" t="0" r="1270" b="0"/>
            <wp:docPr id="407" name="Imagen 4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10. [The accused], while holding positions of superior authority, [is] also individually criminally responsible for the acts or omissions of [her] subordinates, pursuant to Article 7(3) of the [1993 ICTY Statute]. A superior is responsible for the criminal acts of his subordinate if he knew or had reason to know that his subordinates were about to commit such acts or had done so, and the superior failed to take the necessary and reasonable measures to prevent such acts or to punish the perpetrators.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13. [The accused] held a prominent position in the Bosnian Serb leadership … She was a member of the National Security Council, an Acting President, a member of the Presidency and the Expanded Presidency of the Serbian Republic of Bosnia and Herzegovina, and a prominent member of the SDS. By virtue of those associations, positions and memberships, she had de facto control and authority over members of the Bosnian Serb Forces and Bosnian Serb Political and Governmental Organs and their agents, who participated in the crimes alleged in this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14. [The accused] knew or had reason to know that all crimes alleged in this indictment were about to be committed or had been committed by [her] subordinates and [she] failed to take necessary and reasonable measures to prevent such acts or punish the perpetrators thereof. [The] accused is therefore individually criminally responsible under Article 7(3) of the Statute of the Tribunal.</w:t>
      </w:r>
      <w:r>
        <w:rPr>
          <w:rFonts w:ascii="Times New Roman" w:eastAsia="Times New Roman" w:hAnsi="Times New Roman" w:cs="Times New Roman"/>
          <w:i/>
          <w:iCs/>
          <w:noProof/>
          <w:sz w:val="24"/>
          <w:szCs w:val="24"/>
        </w:rPr>
        <w:drawing>
          <wp:inline distT="0" distB="0" distL="0" distR="0">
            <wp:extent cx="151130" cy="142875"/>
            <wp:effectExtent l="19050" t="0" r="1270" b="0"/>
            <wp:docPr id="408" name="Imagen 4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Krajišnik case before the ICTY in 2002, the accused, Momčilo Krajišnik, a member of the Bosnian Serb leadership, was charged with genocide and complicity in genocide, punishable under Article 4(3)(a) and (e) of the 1993 ICTY Statute, crimes against humanity, punishable under Article 5 of the 1993 ICTY Statute, and violations of the laws or customs of war, punishable under Article 3 of the 1993 ICTY Statute, for his alleged role in the intended “permanent removal, by force or other means, of Bosnian Muslim, Bosnian Croat or other non-Serb inhabitants from large areas of Bosnia and Herzegovina”.</w:t>
      </w:r>
      <w:r>
        <w:rPr>
          <w:rFonts w:ascii="Times New Roman" w:eastAsia="Times New Roman" w:hAnsi="Times New Roman" w:cs="Times New Roman"/>
          <w:i/>
          <w:iCs/>
          <w:noProof/>
          <w:sz w:val="24"/>
          <w:szCs w:val="24"/>
        </w:rPr>
        <w:drawing>
          <wp:inline distT="0" distB="0" distL="0" distR="0">
            <wp:extent cx="151130" cy="142875"/>
            <wp:effectExtent l="19050" t="0" r="1270" b="0"/>
            <wp:docPr id="409" name="Imagen 4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10. [The accused], while holding positions of superior authority, [is] also individually criminally responsible for the acts or omissions of [his] subordinates, pursuant to Article 7(3) of the [1993 ICTY Statute]. A superior is responsible for the criminal acts of his subordinate if he knew or had reason to know that his subordinates were about to commit such acts or had done so, and the superior failed to take the necessary and reasonable measures to prevent such acts or to punish the perpetrators.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11. [The accused], in [his] capacit[y] as … member[…] of the … Expanded Presidency … of the Serbian Republic of Bosnia and Herzegovina had de jure control and authority over the Bosnian Serb Forces and Bosnian Serb Political and Governmental Organs that participated in the crimes alleged in this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12. [The accused] held a prominent position in the Bosnian Serb leadership … He was a member of the National Security Council, the Expanded Presidency of the Serbian Republic of Bosnia and Herzegovina, the Main Board of the SDS and the Bosnian Serb Assembly, of which he was also President. By virtue of those associations, positions and memberships, he had de facto control and authority over the Bosnian Serb Forces and Bosnian Serb Political and Governmental Organs and their agents, who participated in the crimes alleged in this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14. [The accused] knew or had reason to know that all crimes alleged in this indictment </w:t>
      </w:r>
      <w:r w:rsidRPr="004D74E4">
        <w:rPr>
          <w:rFonts w:ascii="Times New Roman" w:eastAsia="Times New Roman" w:hAnsi="Times New Roman" w:cs="Times New Roman"/>
          <w:i/>
          <w:iCs/>
          <w:sz w:val="24"/>
          <w:szCs w:val="24"/>
          <w:lang w:val="en-US"/>
        </w:rPr>
        <w:lastRenderedPageBreak/>
        <w:t>were about to be committed or had been committed by [his] subordinates and [he] failed to take necessary and reasonable measures to prevent such acts or punish the perpetrators thereof. [The] accused is therefore individually criminally responsible under Article 7(3) of the Statute of the Tribunal.</w:t>
      </w:r>
      <w:r>
        <w:rPr>
          <w:rFonts w:ascii="Times New Roman" w:eastAsia="Times New Roman" w:hAnsi="Times New Roman" w:cs="Times New Roman"/>
          <w:i/>
          <w:iCs/>
          <w:noProof/>
          <w:sz w:val="24"/>
          <w:szCs w:val="24"/>
        </w:rPr>
        <w:drawing>
          <wp:inline distT="0" distB="0" distL="0" distR="0">
            <wp:extent cx="151130" cy="142875"/>
            <wp:effectExtent l="19050" t="0" r="1270" b="0"/>
            <wp:docPr id="410" name="Imagen 4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Stakić case before the ICTY in 2002, the accused was charged with genocide or complicity in genocide, crimes against humanity and violations of the laws or customs of war for his alleged role in the events in the Prijedor municipality in 1992.</w:t>
      </w:r>
      <w:r>
        <w:rPr>
          <w:rFonts w:ascii="Times New Roman" w:eastAsia="Times New Roman" w:hAnsi="Times New Roman" w:cs="Times New Roman"/>
          <w:i/>
          <w:iCs/>
          <w:noProof/>
          <w:sz w:val="24"/>
          <w:szCs w:val="24"/>
        </w:rPr>
        <w:drawing>
          <wp:inline distT="0" distB="0" distL="0" distR="0">
            <wp:extent cx="151130" cy="142875"/>
            <wp:effectExtent l="19050" t="0" r="1270" b="0"/>
            <wp:docPr id="411" name="Imagen 4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30. [The accused], while holding positions of superior authority is also individually criminally responsible for the acts or omissions of his subordinates, pursuant to Article 7(3) of the [1993 ICTY Statute]. [The accused], by virtue of his role as President of the Prijedor Crisis Staff and Head of the National Defence Council in Prijedor Municipality, had control and authority over the TO and police forces that participated in the crimes alleged in this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 [The accused] knew or had reason to know that all crimes alleged in this indictment were about to be committed or had been committed by his subordinates and he failed to take necessary and reasonable measures to prevent such acts or punish the perpetrators thereof. The accused is therefore individually criminally responsible under Article 7(3) of the Statute of the Tribunal.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38. [The accused] whilst holding the positions of superior authority as set out in the foregoing paragraphs, is also criminally responsible for the acts of his subordinates, pursuant to Article 7(3) of the Tribunal Statute. A superior is responsible for the acts of his subordinate(s) if he knew or had reason to know that his subordinate(s) were about to commit such acts or had done so and the superior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12" name="Imagen 4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457. To hold a superior responsible for the acts of his subordinates, the jurisprudence of the Tribunal has established that three elements must be satisfied. The Trial Chamber must establish beyond reasonable doubt: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 between the superior and the perpetrator of the crime;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that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superior’s obligation to take the necessary and reasonable measures to prevent the criminal act or to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458. As the Appeals Chamber has held [in its Judgement in the Mucić case (“Čelebići”), § 195], “[t]he principle that military and other superiors may be held criminally responsible for the acts of their subordinates is well-established in conventional and customary law.”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459. The existence of a superior-subordinate relationship is characterised by a formal or informal hierarchical relationship between the superior and subordinate. The hierarchical relationship may exist by virtue of a person’s de jure or de facto position of authority. The superior may be a member of the military or a civilian. The superior-subordinate relationship need not have been formalised or necessarily determined by “formal status alone”. Both direct and indirect relationships of subordination within the hierarchy are possible and the superior’s “effective control” over the persons committing the offences must be established. Effective control means the “material ability to prevent or punish the commission of the offences”. “Substantial influence” over subordinates that does not meet the threshold of “effective control” is not sufficient under customary law to serve as a means of exercising command responsibility. Where a superior has effective control and fails to exercise that power, </w:t>
      </w:r>
      <w:r w:rsidRPr="004D74E4">
        <w:rPr>
          <w:rFonts w:ascii="Times New Roman" w:eastAsia="Times New Roman" w:hAnsi="Times New Roman" w:cs="Times New Roman"/>
          <w:i/>
          <w:iCs/>
          <w:sz w:val="24"/>
          <w:szCs w:val="24"/>
          <w:lang w:val="en-US"/>
        </w:rPr>
        <w:lastRenderedPageBreak/>
        <w:t>he can be held responsible for the crimes committed by his subordinates. A superior vested with de jure authority who does not actually have effective control over his or her subordinates would not incur criminal responsibility pursuant to the doctrine of superior responsibility, whereas a de facto superior who lacks formal letters of appointment or commission but does, in reality, have effective control over the perpetrators of offences might incur criminal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460. As regards the mental element of superior responsibility, it must be established that the superior knew or had reason to know that his subordinate was about to commit or had committed a crime. Superior responsibility is not a form of strict liability. It must be proved that: (i) the superior had actual knowledge, established through either direct or circumstantial evidence, that his subordinates were committing or about to commit crimes within the jurisdiction of the Tribunal, or that (ii) he had in his possession information which would at least put him on notice of the risk of such offences, such information alerting him to the need for additional investigation to determine whether such crimes had been or were about to be committed by his subordinates. Under the jurisprudence of the Tribunal, circumstantial evidence of “actual knowledge” has been found to include the number, type and scope of the illegal acts; the period over which the illegal acts occurred; the number and type of troops involved; the logistics involved, if any; the geographical location of the acts; the widespread occurrence of the acts; the speed of the operations; the modus operandi of similar illegal acts; the officers and staff involved; and the location of the commander at the time. Considering geographical and temporal circumstances, this means that the more physically distant the superior was from the commission of the crimes, the more additional indicia are necessary to prove that he knew of them. On the other hand, if the crimes were committed next to the superior’s duty-station this suffices as an important indicium that the superior had knowledge of the crimes, and even more so if the crimes were repeatedly committed. Knowledge may be presumed if a superior had the means to obtain the relevant information of a crime and deliberately refrained from doing so.</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461. Finally, it must be established that the superior failed to take the necessary and reasonable measures to prevent or punish the crimes of his or her subordinates. The measures required of the superior are limited to those “within his power”, meaning those measures which are “within his material possibility”. A superior is not obliged to perform the impossible. However, he has a duty to exercise the measures possible within the circumstances, including those which may be beyond his legal competence. The obligation to prevent or punish may, under some circumstances, be satisfied by reporting the matter to the competent authorities. A failure to take the necessary and reasonable measures to prevent an offence of which a superior knew or had reason to know cannot be cured simply by subsequently punishing the subordinate for the commission of the offence.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Civilian Superior: Public Officials as Superiors</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462. Pursuant to Article 7(3) of the [1993 ICTY] Statute and following jurisprudence of this Tribunal, a civilian superior may be held criminally responsible for the crimes of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Convictions under both Article 7(1) and Article 7(3)?</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463. It is legally permissible under the jurisprudence of this Tribunal to find a person criminally responsible for one crime under both Article 7(1) and Article 7(3). While there have been cases where a conviction has been entered for one Count pursuant to both Article 7(1) and Article 7(3), there have been others where a Trial Chamber exercised its discretion to enter a conviction under only one head of individual criminal </w:t>
      </w:r>
      <w:r w:rsidRPr="004D74E4">
        <w:rPr>
          <w:rFonts w:ascii="Times New Roman" w:eastAsia="Times New Roman" w:hAnsi="Times New Roman" w:cs="Times New Roman"/>
          <w:i/>
          <w:iCs/>
          <w:sz w:val="24"/>
          <w:szCs w:val="24"/>
          <w:lang w:val="en-US"/>
        </w:rPr>
        <w:lastRenderedPageBreak/>
        <w:t>responsibility even when it has been satisfied that the legal requirements for entering a conviction pursuant to the second head of responsibility have been fulfilled. In such cases, the Trial Chamber has entered a conviction under the head of responsibility which better characterises the criminal conduct of the accused.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464. The Trial Chamber endorses the view of the Blaškić Trial Chamber that “[i]t would be illogical to hold a commander criminally responsible for planning, instigating or ordering the commission of crimes and, at the same time, reproach him for not preventing or punishing them.” The Trial Chamber also endorses the Krnojelac Trial Judgement which stated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it is inappropriate to convict under both heads of responsibility for the same count based on the same acts. Where the Prosecutor alleges both heads of responsibility within the one count, and the facts support a finding of responsibility under both heads of responsibility, the Trial Chamber has a discretion to chose which is the most appropriate head of responsibility under which to attach criminal responsibility to the Accused.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conclusion, this Trial Chamber shares the view that conviction under both Article 7(1) and Article 7(3) for the same criminal conduct is generally not possible.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465. Article 7(3) serves primarily as an omnibus clause in cases where the primary basis of responsibility can not be applied. In cases where the evidence leads a Trial Chamber to the conclusion that specific acts satisfy the requirements of Article 7(1) and that the accused acted as a superior, this Trial Chamber shares the view of the Krnojelac Trial Chamber that a conviction should be entered under Article 7(1) only and the accused’s position as a superior taken into account as an aggravating factor.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466. For these reasons, it is in general not necessary in the interests of justice and of providing an exhaustive description of individual responsibility to make findings under Article 7(3) if the Chamber is already satisfied beyond reasonable doubt of both responsibility under 7(1) and the superior positions held by the accused. The superior positions of the accused, without diminishing their importance, would then only constitute an aggravating factor, the seriousness of which would depend on the concrete superior status of the accused over his subordinates. The superior positions of the accused must be established in detail and related to the concrete conduct established under Article 7(1). This approach in relation to Article 7(3) responsibility does not diverge from that taken in relation to e.g. ordering or planning when “committing” has already been established.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Obiter: it would be a waste of judicial resources to enter into a debate on Article 7(3) knowing that Article 7(1) responsibility subsumes Article 7(3)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467. This discussion makes clear however that when an accused is found not guilty under Article 7(1) in relation to a particular charge, the mode of individual responsibility under Article 7(3) must be considered.</w:t>
      </w:r>
      <w:r>
        <w:rPr>
          <w:rFonts w:ascii="Times New Roman" w:eastAsia="Times New Roman" w:hAnsi="Times New Roman" w:cs="Times New Roman"/>
          <w:i/>
          <w:iCs/>
          <w:noProof/>
          <w:sz w:val="24"/>
          <w:szCs w:val="24"/>
        </w:rPr>
        <w:drawing>
          <wp:inline distT="0" distB="0" distL="0" distR="0">
            <wp:extent cx="151130" cy="142875"/>
            <wp:effectExtent l="19050" t="0" r="1270" b="0"/>
            <wp:docPr id="413" name="Imagen 4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Obrenović case before the ICTY in 2002, the accused, Dragan Obrenović, an officer in the Army of the Republika Srpska (VRS), was charged with complicity in genocide, crimes against humanity (murder, extermination, persecutions on political, racial and religious grounds) and violations of the laws or customs of war (murder) for his alleged role in the events in the Srebrenica enclave in 1995.</w:t>
      </w:r>
      <w:r>
        <w:rPr>
          <w:rFonts w:ascii="Times New Roman" w:eastAsia="Times New Roman" w:hAnsi="Times New Roman" w:cs="Times New Roman"/>
          <w:i/>
          <w:iCs/>
          <w:noProof/>
          <w:sz w:val="24"/>
          <w:szCs w:val="24"/>
        </w:rPr>
        <w:drawing>
          <wp:inline distT="0" distB="0" distL="0" distR="0">
            <wp:extent cx="151130" cy="142875"/>
            <wp:effectExtent l="19050" t="0" r="1270" b="0"/>
            <wp:docPr id="414" name="Imagen 4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accused], during the time periods when he was the Deputy Commander, Acting Commander or Commander [of the Zvornik Brigade of the VRS], is criminally responsible of the acts of his subordinates pursuant to Article 7(3) of the [1993 ICTY Statute] if he knew or had reason to know that his subordinates were about to commit criminal acts or had done so and he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15" name="Imagen 4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85. … [The accused] has been convicted under both Article 7(1) and 7(3) of the [1993 ICTY] Statute. As described above, [he] not only knew that members of the Zvornik Brigade took part in the organisation of the killings and the burials of the executed Muslim prisoners, but also approved the release of members of the Zvornik Brigade to participate in the implementation of this plan on at least three occasions. The Trial Chamber finds that by approving the removal of his soldiers, [the accused] participated in the implementation of the plan to kill the Muslim prisoners. While the plan to kill the Muslim prisoners was decided by commanders above [him], he released his men from their actual duties and ordered them to follow the orders that came from above. The Trial Chamber considers his participation through this action to be aiding and abetting. [The accused] has accepted criminal responsibility for his participation in the joint criminal enterprise as the common purpose of which was inter alia to execute and bury thousands of Muslim men and boys from 12 July until and about 19 July 1995. The Trial Chamber finds that his participation is best characterised as “co-perpetratorship.”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87. … [I]t is clear that [the accused] was not present at execution sites while the killing operation was carried out. During the critical time period, [he] attempted to fulfil his military duties in the field leading his men during heavy fighting against the ABiH 28th Division at the frontline: [his] primary concern and focus was the military defence of Zvornik. Even while focusing on the defence of Zvornik, however, [the accused] had a responsibility as the Acting Commander and as the Deputy Commander and Chief of Staff to prevent the commission of crimes by his subordinates, and in the event that such crimes were committed, to punish those who committed criminal offences. [He] did neither and is therefore also responsible under Article 7 (3)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88. Weighing [the accused’s] different forms of individual criminal responsibility, the Trial Chamber finds that [his] liability stems primarily from his responsibilities as a commander. While [he] only released seven of his soldiers to prepare for the arrival of the Muslim prisoners in Zvornik and two of his men to take part in the burial of prisoners he knew or had reason to know that members of several units of the Zvornik Brigade took part in the killing operation at various locations by guarding, executing and burying Muslim prisoners. The central part of [his] responsibility arises therefore from his failure to act in the face of the commission of the crime of persecutions – by being passive when he should have prevented his subordinates from committing the criminal acts or punished them for such crimes afterwards.</w:t>
      </w:r>
      <w:r>
        <w:rPr>
          <w:rFonts w:ascii="Times New Roman" w:eastAsia="Times New Roman" w:hAnsi="Times New Roman" w:cs="Times New Roman"/>
          <w:i/>
          <w:iCs/>
          <w:noProof/>
          <w:sz w:val="24"/>
          <w:szCs w:val="24"/>
        </w:rPr>
        <w:drawing>
          <wp:inline distT="0" distB="0" distL="0" distR="0">
            <wp:extent cx="151130" cy="142875"/>
            <wp:effectExtent l="19050" t="0" r="1270" b="0"/>
            <wp:docPr id="416" name="Imagen 4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Trial Chamber recalls … the purpose behind the doctrine of command responsibility: to ensure compliance with the laws and customs of war and international humanitarian law generally. When a commander fails to ensure compliance with the principles of international humanitarian law such that the fails to prevent or punish his subordinates for the commission of crimes that he knew or had reason to know about, he will be held liable pursuant to Article 7(3) [of the 1993 ICTY Statute]. When a commander orders his subordinates to commit a crime within the jurisdiction of the Tribunal, he will be held liable pursuant to Article 7(1) of the Statute. When commanders, through their own actions or inactions, fail in the duty, which stems from their position, training, and leadership skills, to set an example for their troops that would promote the principles underlying the laws and customs of war and thereby – either tacitly or implicitly – promote or encourage the commission of crimes, this may be seen as an aggravating circumstance. The Trial Chamber finds that such is not the case with regards to [the accused].</w:t>
      </w:r>
      <w:r>
        <w:rPr>
          <w:rFonts w:ascii="Times New Roman" w:eastAsia="Times New Roman" w:hAnsi="Times New Roman" w:cs="Times New Roman"/>
          <w:i/>
          <w:iCs/>
          <w:noProof/>
          <w:sz w:val="24"/>
          <w:szCs w:val="24"/>
        </w:rPr>
        <w:drawing>
          <wp:inline distT="0" distB="0" distL="0" distR="0">
            <wp:extent cx="151130" cy="142875"/>
            <wp:effectExtent l="19050" t="0" r="1270" b="0"/>
            <wp:docPr id="417" name="Imagen 4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the Banović case before the ICTY in 2002, the accused, Predrag Banović, was charged with crimes against humanity (persecutions, murder, inhumane acts) </w:t>
      </w:r>
      <w:r w:rsidRPr="004D74E4">
        <w:rPr>
          <w:rFonts w:ascii="Times New Roman" w:eastAsia="Times New Roman" w:hAnsi="Times New Roman" w:cs="Times New Roman"/>
          <w:i/>
          <w:iCs/>
          <w:sz w:val="24"/>
          <w:szCs w:val="24"/>
          <w:lang w:val="en-US"/>
        </w:rPr>
        <w:lastRenderedPageBreak/>
        <w:t>punishable under Article 5 of the 1993 ICTY Statute, and with violations of the laws or customs of war (murder, cruel treatment), punishable under Article 3 of the 1993 ICTY Statute, for his acts while a guard at the Keraterm camp in the Prijedor municipality in 1992.</w:t>
      </w:r>
      <w:r>
        <w:rPr>
          <w:rFonts w:ascii="Times New Roman" w:eastAsia="Times New Roman" w:hAnsi="Times New Roman" w:cs="Times New Roman"/>
          <w:i/>
          <w:iCs/>
          <w:noProof/>
          <w:sz w:val="24"/>
          <w:szCs w:val="24"/>
        </w:rPr>
        <w:drawing>
          <wp:inline distT="0" distB="0" distL="0" distR="0">
            <wp:extent cx="151130" cy="142875"/>
            <wp:effectExtent l="19050" t="0" r="1270" b="0"/>
            <wp:docPr id="418" name="Imagen 4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A superior is responsible for the criminal acts of his subordinates, if he knew or had reason to know that his subordinates were about to commit such acts, or had done so, and the superior failed to take necessary and reasonable measures to prevent such acts or to punish the subordinates.</w:t>
      </w:r>
      <w:r>
        <w:rPr>
          <w:rFonts w:ascii="Times New Roman" w:eastAsia="Times New Roman" w:hAnsi="Times New Roman" w:cs="Times New Roman"/>
          <w:i/>
          <w:iCs/>
          <w:noProof/>
          <w:sz w:val="24"/>
          <w:szCs w:val="24"/>
        </w:rPr>
        <w:drawing>
          <wp:inline distT="0" distB="0" distL="0" distR="0">
            <wp:extent cx="151130" cy="142875"/>
            <wp:effectExtent l="19050" t="0" r="1270" b="0"/>
            <wp:docPr id="419" name="Imagen 4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on Motions for Acquittal Pursuant to Rule 98 bis in the Blagojević and Jokić case in 2004, the ICTY Trial Chamber found that, based on ICTY jurisprudence, it interpreted Article 7(3) of the 1993 ICTY Statute relating to command responsibility as follows: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25. Article 7(3) of the [1993 ICTY] Statute provides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The fact that any of the acts referred to in articles 2 to 5 of the present Statute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26. The jurisprudence has specified that an accused is held responsible under Article 7(3) if: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 there is a superior-subordinate relationship between the perpetrator(s) and the accused;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 the accused knew or had reasons to know that a crime was about to be or had been committed;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the accused failed to take the necessary and reasonable measures to prevent the commission of the crime or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20" name="Imagen 4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789. Article 7(3) of the [1993 ICTY] Statute provides: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The fact that any of the acts referred to in articles 2 and 5 of the present Statute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As the Appeals Chamber has held, “[t]he principle that military and other superiors may be held criminally responsible for the acts of their subordinates is well-established in conventional and customary law.”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790. To hold a commander responsible for the crimes of his subordinates under customary international law, it must be established beyond reasonable doubt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 there existed a superior-subordinate relationship between the superior and the perpetrator of the crime;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 the superior knew or had reason to know that the criminal act was about to be or had been committed; and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iii. the superior failed to take the necessary and reasonable measures to prevent the criminal act or to punish the perpetrator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791. The existence of a superior-subordinate relationship is most obviously characterised by a formal hierarchical relationship between the superior and subordinate; a hierarchical relationship may also, however, arise out of an informal and indirect relationship. The hierarchical relationship may exist by virtue of a person’s de jure or de facto position of authority. The critical factor that must be established to find a superior-subordinate relationship is that the superior had “effective control” over the person or persons in question, namely those persons </w:t>
      </w:r>
      <w:r w:rsidRPr="004D74E4">
        <w:rPr>
          <w:rFonts w:ascii="Times New Roman" w:eastAsia="Times New Roman" w:hAnsi="Times New Roman" w:cs="Times New Roman"/>
          <w:i/>
          <w:iCs/>
          <w:sz w:val="24"/>
          <w:szCs w:val="24"/>
          <w:lang w:val="en-US"/>
        </w:rPr>
        <w:lastRenderedPageBreak/>
        <w:t xml:space="preserve">committing the offences. Effective control means the “material ability to prevent or punish the commission of the offences”. “Substantial influence” over subordinates that does not meet the threshold of “effective control “ is not a sufficient basis for imputing criminal liability under customary law. Where a commander has effective control and fails to exercise that power he can be held responsible for the crimes committed by his subordinates. A commander vested with de jure authority who does not, in reality, have effective control over his or her subordinates would not incur criminal responsibility pursuant to the doctrine of command responsibility, while a de facto commander who lacks formal letters of appointment, superior rank or commission but does, in reality, have effective control over the perpetrators of offences could incur criminal responsibility under the doctrine of command responsibility.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792. Command responsibility is not a form of strict liability. To find a commander criminally responsible under Article 7(3), it must be established that he “knew or had reason to know” that his subordinate was about to commit or had committed a crime. The mens rea requirement is satisfied when it is established that: (i) the commander had actual knowledge, established through either direct or circumstantial evidence, that his subordinates were committing or about to commit crimes within the jurisdiction of the Tribunal; or (ii) he had in his possession such information which would put him on notice of the risk of such offences, in that it indicated or alerted him to the need for additional investigation in order to determine whether such crimes had been or were about to be committed by his subordinates. Drawing on the indicia identified by the Commission of Experts in their Final Report, Trial Chambers have relied on the following factors to establish “actual knowledge” in lieu of direct evidence: the number, type and scope of the illegal acts; the time during which the illegal acts occurred; the number and type of troops involved; the logistics involved, if any; the geographical location of the acts; the widespread occurrence of the acts; the speed of the operations; the modus operandi of similar illegal acts; the officers and staff involved; and the location of the commander at the time. Additionally, the fact that a military commander “will most probably” be part of an organised structure with reporting and monitoring systems has been cited as a factor that could facilitate the showing of actual knowledge. Knowledge may be presumed if a superior had the means to obtain the relevant information of a crime and deliberately refrained from doing so.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793. The third element which must be established is that the superior failed to take the necessary and reasonable measures to prevent or punish the crimes of his subordinates. The measures required of the commander are limited to those which are “within his power”, meaning those measures which are “within his material possibility”. A commander is not obliged to perform the impossible; he does, however, have a duty to exercise the measures that are possible within the circumstances, including those measures that may be beyond his legal competence. The obligation to prevent or punish may, under some circumstances, be satisfied by reporting the matter to the competent authorities. Finally, the failure to take the necessary and reasonable measures to prevent an offence of which a superior knew or had reason to know cannot be cured simply by subsequently punishing the subordinate for the commission of the offence.</w:t>
      </w:r>
      <w:r>
        <w:rPr>
          <w:rFonts w:ascii="Times New Roman" w:eastAsia="Times New Roman" w:hAnsi="Times New Roman" w:cs="Times New Roman"/>
          <w:i/>
          <w:iCs/>
          <w:noProof/>
          <w:sz w:val="24"/>
          <w:szCs w:val="24"/>
        </w:rPr>
        <w:drawing>
          <wp:inline distT="0" distB="0" distL="0" distR="0">
            <wp:extent cx="151130" cy="142875"/>
            <wp:effectExtent l="19050" t="0" r="1270" b="0"/>
            <wp:docPr id="421" name="Imagen 4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280. As a threshold matter, the Appeals Chamber confirms that superior responsibility under Article 7(3) of the [1993 ICTY] Statute encompasses all forms of criminal conduct by subordinates, not only the “committing” of crimes in the restricted sense of the term, but all other modes of participation under Article 7(1). The Appeals Chamber notes that the term “commit” is used throughout the Statute in a broad sense, encompassing all modes of responsibility covered by Article 7(1)750 and that such a construction is clearly manifest in Article 29 (co-operation and judicial assistance) of </w:t>
      </w:r>
      <w:r w:rsidRPr="004D74E4">
        <w:rPr>
          <w:rFonts w:ascii="Times New Roman" w:eastAsia="Times New Roman" w:hAnsi="Times New Roman" w:cs="Times New Roman"/>
          <w:i/>
          <w:iCs/>
          <w:sz w:val="24"/>
          <w:szCs w:val="24"/>
          <w:lang w:val="en-US"/>
        </w:rPr>
        <w:lastRenderedPageBreak/>
        <w:t>the Statute, referring to States’ obligation to co-operate with the International Tribunal “in the investigation and prosecution of persons accused of committing serious violations of international humanitarian law.”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281. The Appeals Chamber has previously determined that criminal responsibility under Article 7(3) is based primarily on Article 86(2) of [Additional] Protocol I. Accordingly, the meaning of “commit”, as used in Article 7(3) of the Statute, necessarily tracks the term’s broader and more ordinary meaning, as employed in Protocol I. The object and purpose of Protocol I, as reflected in its preamble, is to “reaffirm and develop the provisions protecting the victims of armed conflicts and to supplement measures intended to reinforce their application”. The preamble of Protocol I adds further that “the provisions of the Geneva Conventions of 12 August 1949 and of this Protocol must be fully applied in all circumstances to all persons who are protected by those instruments.” The purpose of superior responsibility, as evidenced in Articles 86(1) and 87 of Protocol I, is to ensure compliance with international humanitarian law. Furthermore, one of the purposes of establishing the International Tribunal, as reflected in Security Council Resolution 808, is to “put an end to [widespread violations of international humanitarian law] and to take effective measures to bring to justice the persons who are responsible for them”. And, more particularly, the purpose of superior responsibility in Article 7(3) is to hold superiors “responsible for failure to prevent a crime or to deter the unlawful behaviour of [their]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282. In this context, the Appeals Chamber cannot accept that the drafters of Protocol I and the Statute intended to limit a superior’s obligation to prevent or punish violations of international humanitarian law to only those individuals physically committing the material elements of a crime and to somehow exclude subordinates who as accomplices substantially contributed to the completion of the crime. Accordingly, “commit” as used in Article 7(3) of the Statute must be understood as it is in Protocol I, in its ordinary and broad sense.</w:t>
      </w:r>
      <w:r>
        <w:rPr>
          <w:rFonts w:ascii="Times New Roman" w:eastAsia="Times New Roman" w:hAnsi="Times New Roman" w:cs="Times New Roman"/>
          <w:i/>
          <w:iCs/>
          <w:noProof/>
          <w:sz w:val="24"/>
          <w:szCs w:val="24"/>
        </w:rPr>
        <w:drawing>
          <wp:inline distT="0" distB="0" distL="0" distR="0">
            <wp:extent cx="151130" cy="142875"/>
            <wp:effectExtent l="19050" t="0" r="1270" b="0"/>
            <wp:docPr id="422" name="Imagen 4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Rule 98bis Decision in the Strugar case in 2004, the ICTY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In order to invoke criminal responsibility under Article 7(3) of the [1993 ICTY] Statute, three elements must be satisfied. First, the existence of a de jure or de facto superior-subordinate relationship must be established. Such relationship presupposes that the superior has effective control over the offenders, otherwise described as the material ability to prevent or punish the alleged offences. Secondly, the superior must have known or had reason to know that the criminal act was about to be or had been committed. This may be established through proof that the superior had actual knowledge that his subordinates were about to or had committed the alleged offences or that he had in his possession information of such a nature as to put him on notice of such risk. Thirdly, it must be established that the superior failed to take the necessary and reasonable measures within his capacity to prevent the criminal act or punish the perpetrator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23" name="Imagen 4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357. Article 7(3) of the [1993 ICTY] Statute reads: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The fact that any of the acts referred to in articles 2 to 5 of the present Statute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The principle of individual criminal responsibility of superiors for failure to prevent or to punish crimes committed by subordinates is an established principle of international customary law, applicable to both international and internal armed conflicts.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 xml:space="preserve">358. It has been established that the following three elements need to be satisfied in order to invoke individual criminal responsibility under Article 7(3):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 the existence of a superior-subordinate relationship;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(iii) the superior failed to take the necessary and reasonable measures to prevent the criminal act or punish the perpetrator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 xml:space="preserve">Superior-subordinate relationship </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359. The superior-subordinate relationship lies in the very heart of the doctrine of a commander’s liability for the crimes of his subordinates. It is the position of command over the perpetrator which forms the legal basis for the superior’s duty to act, and for his corollary liability for a failure to do so. Indeed, as was held in previous jurisprudence, the doctrine of command responsibility is “ultimately predicated upon the power of the superior to control the acts of his subordinates”. [Celebici Trial Judgement, para. 377.]</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360. The existence of such a position of command derives in essence from the “actual possession or non-possession of powers of control over the actions of subordinates.” [Celebici Trial Judgement, para. 370.] In determining the degree of control to be exercised by the superior over the subordinate, the Appeals Chamber endorsed the effective control standard and held that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concept of effective control over a subordinate - in the sense of a material ability to prevent or punish criminal conduct, however that control is exercised - is the threshold to be reached in establishing a superior -subordinate relationship for the purpose of Article 7(3) of the Statute. [Celebici Appeals Judgement, para. 256.]</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361. In the present case, the issue is raised whether a commander may be found responsible for the crime committed by a subordinate two levels down in the chain of command.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362. It appears from the jurisprudence that the concepts of command and subordination are relatively broad. Command does not arise solely from the superior’s formal or de jure status, but can also be “based on the existence of de facto powers of control”. [Celebici Appeals Judgement, para. 195.] In this respect, the necessity to establish the existence of a superior-subordinate relationship does “not […] import a requirement of direct or formal subordination”. [Celebici Appeals Judgement, para. 303.] Likewise, there is no requirement that the relationship between the superior and the subordinate be permanent in nature. The temporary nature of a military unit is not, in itself, sufficient to exclude a relationship of subordination.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363. Consistently with the above reasoning, other persuasive sources seem to indicate that there is no requirement that the superior-subordinate relationship be immediate in nature for a commander to be found liable for the acts of his subordinate. What is required is the establishment of the superior’s effective control over the subordinate, whether that subordinate be immediately answerable to that superior or more remotely under his command. The Chamber refers to the ICRC Commentary dealing with the concept of a “superior” within the meaning of Article 86 of Additional Protocol I, the provision on which Article 7(3) of the Statute is based, which emphasises that the term does not only cover immediate superiors. Again, the issue is seen as one of control rather than formal direct subordination. It states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This is not a purely theoretical concept covering any superior in a line of command, but we are concerned only with the superior who has a personal responsibility with regard to the perpetrator of the acts concerned because the latter, being his subordinate, is under his control. The direct link which must exist between the superior and the </w:t>
      </w:r>
      <w:r w:rsidRPr="006155D3">
        <w:rPr>
          <w:rFonts w:ascii="Times New Roman" w:eastAsia="Times New Roman" w:hAnsi="Times New Roman" w:cs="Times New Roman"/>
          <w:i/>
          <w:iCs/>
          <w:sz w:val="24"/>
          <w:szCs w:val="24"/>
          <w:lang w:val="en-US"/>
        </w:rPr>
        <w:lastRenderedPageBreak/>
        <w:t>subordinate clearly follows from the duty to act […] Furthermore, only that superior is normally in the position of having information enabling him to conclude in the circumstances at the time that the subordinate has committed or is going to commit a breach. However, it should not be concluded from this that this position only concerns the commander under whose direct orders the subordinate is placed […] The concept of the superior is broader and should be seen in terms of a hierarchy encompassing the concept of control.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364. Further support can be found in the judgement of the military tribunal in the case against the Japanese Admiral Soemu Toyoda tried in the aftermath of World War II. The military tribunal expressly stressed the irrelevance of the level of subordination as it stated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In the simplest language it may be said that this Tribunal believes the principle of command responsibility to be that, if this accused knew, or should by the exercise of ordinary diligence have learned, of the commission by his subordinates, immediate or otherwise, of the atrocities proved beyond a shadow of a doubt before this Tribunal or of the existence of a routine which would countenance such, and, by his failure to take any action to punish the perpetrators, permitted the atrocities to continue, he has failed in his performance of his duty as a commander and must be punished.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365. Reference may also be made to the Commentary of the International Law Commission on Article 6 of the Draft Code of Crimes Against the Peace and Security of Mankind construing the use of the term “superiors” in the plural form as an indication that the doctrine of command responsibility “applies not only to the immediate superior of a subordinate, but also to his other superiors in the military chain of command or the governmental hierarchy if the necessary criteria are met.” In this respect, the Chamber also recalls that “the test of effective control … implies that more than one person may be held responsible for the same crime committed by a subordinate.” [Blaskic Trial Judgement, para 303, referring to Aleksovski Trial Judgement, para. 106.]</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366. In light of the above, the Chamber holds that there is no legal requirement that the superior-subordinate relationship be a direct or immediate one for a superior to be found liable for a crime committed by a subordinate, provided that the former had effective control over the acts of the latter. As to whether the superior has the requisite level of control, the Chamber considers that this is a matter which must be determined on the basis of the evidence presented in each case.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Mental element: the superior knew or had reason to know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367. A superior may be held responsible under Article 7(3) of the [1993 ICTY] Statute for crimes committed by a subordinate if, inter alia, he knew or had reason to know that the subordinate was about to commit or had committed such crimes.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368. A superior’s actual knowledge that his subordinates were committing or were about to commit a crime cannot be presumed, but it may be established by circumstantial evidence. Factors that may be considered in this respect include the number, type and scope of illegal acts, time during which the illegal acts occurred, number and types of troops and logistics involved, geographical location, whether the occurrence of the acts is widespread, tactical tempo of operations, modus operandi of similar illegal acts, officers and staff involved, and location of the commander at the time.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369. The jurisprudence of the Tribunal has considered the issue of when a superior “had reason to know.” As held by the Celebici Trial Chamber, a superior can be held criminally responsible only if specific information was in fact available to him which would provide notice of offences committed by his subordinates, or of offences about to be committed. A superior is not liable for failing to acquire such information in the first </w:t>
      </w:r>
      <w:r w:rsidRPr="004D74E4">
        <w:rPr>
          <w:rFonts w:ascii="Times New Roman" w:eastAsia="Times New Roman" w:hAnsi="Times New Roman" w:cs="Times New Roman"/>
          <w:i/>
          <w:iCs/>
          <w:sz w:val="24"/>
          <w:szCs w:val="24"/>
          <w:lang w:val="en-US"/>
        </w:rPr>
        <w:lastRenderedPageBreak/>
        <w:t xml:space="preserve">place. The mental element of “reason to know” is determined only by reference to the information in fact available to the superior. However the information in fact available to him need not be such that, by itself, it was sufficient to compel the conclusion of the existence of such crimes. It is sufficient that the superior was put on further inquiry by the information, i.e. that it indicated the need for additional investigation in order to ascertain whether offences were being committed or were about to be committed.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370. The Appeals Chamber upheld this approach and held that a superior will be criminally responsible by virtue of the principles of superior responsibility only if information was available to him which would have put him on notice of offences committed by subordinates, or about to be committed. It was further observed that even general information in his possession, which would put him on notice of possible unlawful acts by his subordinates would be sufficient. A superior may be regarded as having “reason to know” if he is in possession of sufficient information to be on notice of the likelihood of illegal acts by his subordinates, i.e., if the information available is sufficient to justify further inquiry.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371. This Chamber will approach its decision on the basis on this jurisprudence.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(c) </w:t>
      </w:r>
      <w:r w:rsidRPr="004D74E4">
        <w:rPr>
          <w:rFonts w:ascii="Times New Roman" w:eastAsia="Times New Roman" w:hAnsi="Times New Roman" w:cs="Times New Roman"/>
          <w:i/>
          <w:iCs/>
          <w:sz w:val="24"/>
          <w:szCs w:val="24"/>
          <w:u w:val="single"/>
          <w:lang w:val="en-US"/>
        </w:rPr>
        <w:t xml:space="preserve">Necessary and reasonable measures </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372. The question of whether a superior has failed to take all necessary and reasonable measures to prevent the commission of an offence or to punish the perpetrators is intrinsically connected to the question of that superior’s position of power. As the Tribunal’s definition of a “superior” requires the existence of effective control, whether de jure or de facto, a superior will be held responsible for failing to take such measures that are within his material possibility. Therefore the question whether a superior had explicit legal capacity to take such measures will be immaterial if he had the material ability to act.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373. Article 7(3) does not provide a superior with two alternative options, but contains two distinct legal obligations to prevent the commission of the offence and to punish the perpetrators. The duty to prevent arises for a superior from the moment he acquires knowledge or has reasonable grounds to suspect that a crime is being or is about to be committed, while the duty to punish arises after the commission of the crime. Therefore, if a superior has knowledge or has reason to know that a crime is being or is about to be committed, he has a duty to prevent the crime from happening and is not entitled to wait and punish afterwards.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374. What the duty to prevent will encompass will depend on the superior’s material power to intervene in a specific situation. In establishing individual responsibility of superiors, military tribunals set up in the aftermath of World War II have considered factors such as the superior’s failure to secure reports that military actions have been carried out in accordance with international law, the failure to issue orders aiming at bringing the relevant practices into accord with the rules of war, the failure to protest against or to criticize criminal action, the failure to take disciplinary measures to prevent the commission of atrocities by the troops under their command, and the failure to insist before a superior authority that immediate action be taken. The International Military Tribunal for the Far East has held that a superior’s duty may not be discharged by the issuance of routine orders and that more active steps may be required: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The duty of an Army commander in such circumstances is not discharged by the mere issue of routine orders… His duty is to take such steps and issue such orders as will prevent thereafter the commission of war crimes and to satisfy himself that such orders are being carried out.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4D74E4">
        <w:rPr>
          <w:rFonts w:ascii="Times New Roman" w:eastAsia="Times New Roman" w:hAnsi="Times New Roman" w:cs="Times New Roman"/>
          <w:i/>
          <w:iCs/>
          <w:sz w:val="24"/>
          <w:szCs w:val="24"/>
          <w:lang w:val="en-US"/>
        </w:rPr>
        <w:lastRenderedPageBreak/>
        <w:t xml:space="preserve">375. A superior’s duty to prevent the commission of a crime is explicitly provided for by post World War II treaties. Additional Protocol I requires any commander who is aware that his subordinates are about to commit a crime “to initiate such steps as are necessary to prevent such violations.” The ICRC commentary to the above text notes that this duty varies for each level of command, and by way of example, may imply that “a lieutenant must mark a protected place which he discovers in the course of his advance, a company commander must ensure that an attack is interrupted when he finds that the objective under attack is no longer a military objective, and a regimental commander must select objectives in such a way as to avoid indiscriminate attacks.”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376. A superior’s duty to punish the perpetrators of a crime includes at least an obligation to investigate possible crimes, to establish the facts, and if the superior has no power to sanction, to report them to the competent authorities. Military tribunals established after World War II have interpreted the superiors’ duty to punish as implying an obligation for the superiors to conduct an effective investigation and to take active steps to secure that the perpetrators will be brought to justice. Relevant in this respect could also be whether the superior has called for a report on the incident and the thoroughness of the investigation.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377. Further guidance as to what the duty to punish may entail is provided by Additional Protocol I. Article 87(3) of [the Additional Protocol I] requires a commander who is aware that his subordinates have committed a breach of the Geneva Conventions or the Protocol “… where appropriate to initiate disciplinary or penal action” against them. The ICRC commentary suggests that this action may include informing their superior officers of the situation, “drawing up a report in the case of a breach, […] proposing a sanction to a superior as disciplinary power, or – in the case of someone who holds such power himself – exercising it, within the limits of his competence, and finally, remitting the case to the judicial authority where necessary with such factual evidence which is possible to find.”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378. In view of the above the question whether all necessary and reasonable measures to prevent the commission of crimes or to punish the perpetrators have been taken should be considered in light of the Accused’s material powers at that time. Factors relevant to the Chamber’s assessment include, but are not limited to, whether specific orders prohibiting or stopping the criminal activities were issued; what measures to secure the implementation of these orders were taken; what other measures were taken to secure that the unlawful acts were interrupted and whether these measures were reasonably sufficient in the specific circumstances; and, after the commission of the crime, what steps were taken to secure an adequate investigation and to bring the perpetrators to justice.</w:t>
      </w:r>
      <w:r>
        <w:rPr>
          <w:rFonts w:ascii="Times New Roman" w:eastAsia="Times New Roman" w:hAnsi="Times New Roman" w:cs="Times New Roman"/>
          <w:i/>
          <w:iCs/>
          <w:noProof/>
          <w:sz w:val="24"/>
          <w:szCs w:val="24"/>
        </w:rPr>
        <w:drawing>
          <wp:inline distT="0" distB="0" distL="0" distR="0">
            <wp:extent cx="151130" cy="142875"/>
            <wp:effectExtent l="19050" t="0" r="1270" b="0"/>
            <wp:docPr id="424" name="Imagen 4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253. The Appeals Chamber recalls that a superior’s authority to issue orders does not automatically establish that a superior had effective control over his subordinates, but is one of the indicators to be taken into account when establishing the effective control. As the Appeals Chamber held in Halilović, in relation to such capacity, “the orders in question will rather have to be carefully assessed in light of the rest of the evidence in order to ascertain the degree of control over the perpetrators”. [Halilović case, Judgement on Appeal, § 204] For instance, in Blaskić, the Appeals Chamber found that “the issuing of humanitarian orders does not by itself establish that the Appellant had effective control over the troops that received the orders”. [Blaškić case, Judgement on Appeal, § 485]</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254. Indeed, as held by the Appeals Chamber in Blaskić, “the indicators of effective control are more a matter of evidence than of substantive law, and those indicators are limited to showing that the accused had the power to prevent, punish, or initiate </w:t>
      </w:r>
      <w:r w:rsidRPr="004D74E4">
        <w:rPr>
          <w:rFonts w:ascii="Times New Roman" w:eastAsia="Times New Roman" w:hAnsi="Times New Roman" w:cs="Times New Roman"/>
          <w:i/>
          <w:iCs/>
          <w:sz w:val="24"/>
          <w:szCs w:val="24"/>
          <w:lang w:val="en-US"/>
        </w:rPr>
        <w:lastRenderedPageBreak/>
        <w:t>measures leading to proceedings against the alleged perpetrators where appropriate” [Blaškić case, Judgement on Appeal, § 69]. Therefore, whether a given form of authority possessed by a superior amounts to an indicator of effective control depends on the circumstances of the case. For example, with respect to the capacity to issue orders, the nature of the orders which the superior has the capacity to issue, the nature of his capacity to do so as well as whether or not his orders are actually followed would be relevant to the assessment of whether a superior had the material ability to prevent or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256. The Appeals Chamber recalls that whether a superior’s orders are in fact followed can be indicative of a superior’s effective control over his subordinates.</w:t>
      </w:r>
      <w:r>
        <w:rPr>
          <w:rFonts w:ascii="Times New Roman" w:eastAsia="Times New Roman" w:hAnsi="Times New Roman" w:cs="Times New Roman"/>
          <w:i/>
          <w:iCs/>
          <w:noProof/>
          <w:sz w:val="24"/>
          <w:szCs w:val="24"/>
        </w:rPr>
        <w:drawing>
          <wp:inline distT="0" distB="0" distL="0" distR="0">
            <wp:extent cx="151130" cy="142875"/>
            <wp:effectExtent l="19050" t="0" r="1270" b="0"/>
            <wp:docPr id="425" name="Imagen 4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As such, while a superior’s knowledge of and failure to punish his subordinates’ past offences is insufficient, in itself, to conclude that the superior knew that similar future offences would be committed by the same group of subordinates, this may, depending on the circumstances of the case, nevertheless constitute sufficiently alarming information to justify further inquiry under the “had reason to know” standard. In making such an assessment, a Trial Chamber may take into account the failure by a superior to punish the crime in question. Such failure is indeed relevant to the determination of whether, in the circumstances of a case, a superior possessed information that was sufficiently alarming to put him on notice of the risk that similar crimes might subsequently be carried out by subordinates and justify further inquiry. In this regard, the Appeals Chamber stresses that a superior’s failure to punish a crime of which he has actual knowledge is likely to be understood by his subordinates at least as acceptance, if not encouragement, of such conduct with the effect of increasing the risk of new crimes being committed.</w:t>
      </w:r>
      <w:r>
        <w:rPr>
          <w:rFonts w:ascii="Times New Roman" w:eastAsia="Times New Roman" w:hAnsi="Times New Roman" w:cs="Times New Roman"/>
          <w:i/>
          <w:iCs/>
          <w:noProof/>
          <w:sz w:val="24"/>
          <w:szCs w:val="24"/>
        </w:rPr>
        <w:drawing>
          <wp:inline distT="0" distB="0" distL="0" distR="0">
            <wp:extent cx="151130" cy="142875"/>
            <wp:effectExtent l="19050" t="0" r="1270" b="0"/>
            <wp:docPr id="426" name="Imagen 4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Appeals Chamber cannot conclude with certainty that the Trial Chamber properly interpreted the standard of “had reason to know” as requiring an assessment, in the circumstances of the case, of whether a superior possessed information that was sufficiently alarming to put him on notice of the risk that crimes might subsequently be carried out by subordinates and justify further inquiry. The Appeals Chamber must therefore determine whether the Trial Chamber erred in law by applying an incorrect legal standard in its findings on Strugar’s criminal responsibility as a superior.</w:t>
      </w:r>
      <w:r>
        <w:rPr>
          <w:rFonts w:ascii="Times New Roman" w:eastAsia="Times New Roman" w:hAnsi="Times New Roman" w:cs="Times New Roman"/>
          <w:i/>
          <w:iCs/>
          <w:noProof/>
          <w:sz w:val="24"/>
          <w:szCs w:val="24"/>
        </w:rPr>
        <w:drawing>
          <wp:inline distT="0" distB="0" distL="0" distR="0">
            <wp:extent cx="151130" cy="142875"/>
            <wp:effectExtent l="19050" t="0" r="1270" b="0"/>
            <wp:docPr id="427" name="Imagen 4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Trial Chamber erroneously read into the mens rea element of Article 7(3) the requirement that the superior be on notice of a strong risk that his subordinates would commit offences. In this respect, the Appeals Chamber recalls that under the correct legal standard, sufficiently alarming information putting a superior on notice of the risk that crimes might subsequently be carried out by his subordinates and justifying further inquiry is sufficient to hold a superior liable under Article 7(3)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428" name="Imagen 4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Brđanin case before the ICTY in 2003, the accused, Radoslav Brđanin, who was a leading political figure in the Autonomous Region of Krajina (ARK), Bosnia and Herzegovina, and later a senior figure within the Government of the Republika Srpska, was charged with various serious crimes, including genocide, wilful killing, torture, wanton destruction of cities, towns or villages or devastation not justified by military necessity – committed between about April 1992 and 31 December 1992.</w:t>
      </w:r>
      <w:r>
        <w:rPr>
          <w:rFonts w:ascii="Times New Roman" w:eastAsia="Times New Roman" w:hAnsi="Times New Roman" w:cs="Times New Roman"/>
          <w:i/>
          <w:iCs/>
          <w:noProof/>
          <w:sz w:val="24"/>
          <w:szCs w:val="24"/>
        </w:rPr>
        <w:drawing>
          <wp:inline distT="0" distB="0" distL="0" distR="0">
            <wp:extent cx="151130" cy="142875"/>
            <wp:effectExtent l="19050" t="0" r="1270" b="0"/>
            <wp:docPr id="429" name="Imagen 4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275. The Appeals Chamber has held that “[t]he principle that military and other superiors may be held criminally responsible for the acts of their subordinates is well-established in conventional and customary law.” This applies both in the context of </w:t>
      </w:r>
      <w:r w:rsidRPr="004D74E4">
        <w:rPr>
          <w:rFonts w:ascii="Times New Roman" w:eastAsia="Times New Roman" w:hAnsi="Times New Roman" w:cs="Times New Roman"/>
          <w:i/>
          <w:iCs/>
          <w:sz w:val="24"/>
          <w:szCs w:val="24"/>
          <w:lang w:val="en-US"/>
        </w:rPr>
        <w:lastRenderedPageBreak/>
        <w:t xml:space="preserve">international as well as internal armed conflicts. The jurisprudence of the Tribunal has established the following three-pronged test for criminal liability pursuant to Article 7(3) of the Statute: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1. the existence of a superior-subordinate relationship between the superior (the accused) and the perpetrator of the crime;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2. the accused knew or had reason to know that the crime was about to be or had been committed; and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3. the accused failed to take the necessary and reasonable measures to prevent the crime or punish the perpetrator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276. The existence of a superior-subordinate relationship is characterised by a formal or informal hierarchical relationship between the superior and subordinate. The hierarchical relationship may exist by virtue of a person’s de jure or de facto position of authority. The superior-subordinate relationship need not have been formalised or necessarily determined by formal status alone. Both direct and indirect relationships of subordination within the hierarchy are possible whilst the superior’s effective control over the persons committing the offence must be established. Effective control is defined as the material ability to prevent or punish the commission of the offence. Substantial influence over subordinates that does not meet the threshold of effective control is not sufficient under customary law to serve as a means of exercising superior criminal responsibility. A superior vested with de jure authority who does not actually have effective control over his or her subordinates would not incur criminal responsibility pursuant to the doctrine of superior responsibility, whereas a de facto superior who lacks formal letters of appointment or commission but does, in reality, have effective control over the perpetrators of offences might incur criminal responsibility.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277. In all circumstances, and especially when an accused is alleged to have been a member of collective bodies with authority shared among various members, “it is appropriate to assess on a case-by-case basis the power or authority actually devolved on an accused,” taking into account the cumulative effect of the accused’s various functions.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278. As regards the mental element of superior responsibility, it must be established that the superior knew or had reason to know that his subordinate was about to commit or had committed a crime. Superior responsibility is not a form of strict liability. It must be proved that the superior had: (i) actual knowledge, established through either direct or circumstantial evidence, that his subordinates were about to commit or had committed crimes within the jurisdiction of the Tribunal, or (ii) constructive knowledge, meaning that the superior had in his or her possession information that would at least put him or her on notice of the present and real risk of such offences, such information alerting him or her to the need for additional investigation to determine whether such crimes were about to be committed or had been committed by his or her subordinates. Knowledge may be presumed if a superior had the means to obtain the relevant information of a crime and deliberately refrained from doing so.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279. Finally, it must be established that the superior failed to take the necessary and reasonable measures to prevent or punish the crimes of his or her subordinates. The measures required of the superior are limited to those within his power, that is, those measures that are within his material possibility. The superiors’ duty to prevent and punish their subordinates’ crimes includes at least an obligation to investigate the crimes to establish the facts and to report them to the competent authorities, if the superior does not have the power to sanction himself. A superior is not obliged to perform the impossible. However, he has a duty to exercise the measures reasonably possible under the circumstances, including those that may be beyond his formal </w:t>
      </w:r>
      <w:r w:rsidRPr="004D74E4">
        <w:rPr>
          <w:rFonts w:ascii="Times New Roman" w:eastAsia="Times New Roman" w:hAnsi="Times New Roman" w:cs="Times New Roman"/>
          <w:i/>
          <w:iCs/>
          <w:sz w:val="24"/>
          <w:szCs w:val="24"/>
          <w:lang w:val="en-US"/>
        </w:rPr>
        <w:lastRenderedPageBreak/>
        <w:t xml:space="preserve">powers. What constitutes such measures is not a matter of substantive law but of evidence. The failure to take the necessary and reasonable measures to prevent an offence of which a superior knew or had reason to know cannot be remedied simply by subsequently punishing the subordinate for the commission of the offence.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280. Notwithstanding the central place assumed by the principle of causation in criminal law, causation has not traditionally been postulated as a conditio sine qua non for the imposition of criminal liability on superiors for their failure to prevent or punish offences committed by their subordinates. Hence, it is not necessary that the commander’s failure to act caused the commission of the crime.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 </w:t>
      </w:r>
      <w:r w:rsidRPr="004D74E4">
        <w:rPr>
          <w:rFonts w:ascii="Times New Roman" w:eastAsia="Times New Roman" w:hAnsi="Times New Roman" w:cs="Times New Roman"/>
          <w:i/>
          <w:iCs/>
          <w:sz w:val="24"/>
          <w:szCs w:val="24"/>
          <w:u w:val="single"/>
          <w:lang w:val="en-US"/>
        </w:rPr>
        <w:t xml:space="preserve">Responsibility of Civilian Superiors Pursuant to Article 7(3) </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281. Article 7(3) is applicable both to military and civilian leaders, be they elected or self-proclaimed, once it is established that they had the requisite effective control over their subordinates. As in the case of military superiors, civilian superiors will only be held liable under the doctrine of superior criminal responsibility if they were part of a superior -subordinate relationship, even if that relationship is an indirect one. A showing that the superior </w:t>
      </w:r>
      <w:r w:rsidRPr="004D74E4">
        <w:rPr>
          <w:rFonts w:ascii="Times New Roman" w:eastAsia="Times New Roman" w:hAnsi="Times New Roman" w:cs="Times New Roman"/>
          <w:i/>
          <w:iCs/>
          <w:sz w:val="24"/>
          <w:szCs w:val="24"/>
          <w:u w:val="single"/>
          <w:lang w:val="en-US"/>
        </w:rPr>
        <w:t>merely</w:t>
      </w:r>
      <w:r w:rsidRPr="004D74E4">
        <w:rPr>
          <w:rFonts w:ascii="Times New Roman" w:eastAsia="Times New Roman" w:hAnsi="Times New Roman" w:cs="Times New Roman"/>
          <w:i/>
          <w:iCs/>
          <w:sz w:val="24"/>
          <w:szCs w:val="24"/>
          <w:lang w:val="en-US"/>
        </w:rPr>
        <w:t xml:space="preserve"> was an influential person will not be sufficient; however, it will be taken into consideration, together with other relevant facts, when assessing the civilian superior’s position of authority. Nevertheless, the concept of effective control for civilian superiors is different in that a civilian superior’s sanctioning power must be interpreted broadly. It cannot be expected that civilian superiors will have disciplinary power over their subordinates equivalent to that of military superiors in an analogous command position. For a finding that civilian superiors have effective control over their subordinates, it suffices that civilian superiors, through their position in the hierarchy, have the duty to report whenever crimes are committed, and that, in light of their position, the likelihood that those reports will trigger an investigation or initiate disciplinary or criminal measures is extant. In situations of armed conflict, it is often the case that civilian superiors assume more power than that with which they are officially vested. In such circumstances, de facto authority may exist alongside, and may turn out to be more significant than, de jure authority. The capacity to sign orders will be indicative of some authority; it is necessary to look to the substance of the documents signed and whether there is evidence of them being acted upon.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282. The mens rea requirement for liability pursuant to Article 7(3) has been applied uniformly in cases before this Tribunal and the ICTR to both civilian and military superiors, in the sense that the same state of knowledge to establish superior criminal responsibility pursuant to Article 7(3) of the Statute is required for both civilian and military superiors.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283. Civilian superiors are under similar obligations to prevent their subordinates’ crimes and to punish the perpetrators thereof as military superiors. Depending on the effective de jure or de facto powers enjoyed, one would need to consider whether these include an ability to require the competent authorities to take action.</w:t>
      </w:r>
      <w:r>
        <w:rPr>
          <w:rFonts w:ascii="Times New Roman" w:eastAsia="Times New Roman" w:hAnsi="Times New Roman" w:cs="Times New Roman"/>
          <w:i/>
          <w:iCs/>
          <w:noProof/>
          <w:sz w:val="24"/>
          <w:szCs w:val="24"/>
        </w:rPr>
        <w:drawing>
          <wp:inline distT="0" distB="0" distL="0" distR="0">
            <wp:extent cx="151130" cy="142875"/>
            <wp:effectExtent l="19050" t="0" r="1270" b="0"/>
            <wp:docPr id="430" name="Imagen 4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Ademi and Norac case before the ICTY in 2004, the accused were charged with crimes against humanity (persecutions and murder), punishable under Article 5 of the 1993 ICTY Statute, and violations of the laws or customs or war (murder, plunder of property, and wanton destruction of cities, towns or villages), punishable under Article 3 of the 1993 ICTY Statute, for their role in a military operation conducted in the Medak Pocket region of Croatia.</w:t>
      </w:r>
      <w:r>
        <w:rPr>
          <w:rFonts w:ascii="Times New Roman" w:eastAsia="Times New Roman" w:hAnsi="Times New Roman" w:cs="Times New Roman"/>
          <w:i/>
          <w:iCs/>
          <w:noProof/>
          <w:sz w:val="24"/>
          <w:szCs w:val="24"/>
        </w:rPr>
        <w:drawing>
          <wp:inline distT="0" distB="0" distL="0" distR="0">
            <wp:extent cx="151130" cy="142875"/>
            <wp:effectExtent l="19050" t="0" r="1270" b="0"/>
            <wp:docPr id="431" name="Imagen 4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A superior is criminally responsible for the acts of his subordinates, if the superior knew, or had reason to know, that his subordinates were about to commit such acts, or </w:t>
      </w:r>
      <w:r w:rsidRPr="004D74E4">
        <w:rPr>
          <w:rFonts w:ascii="Times New Roman" w:eastAsia="Times New Roman" w:hAnsi="Times New Roman" w:cs="Times New Roman"/>
          <w:i/>
          <w:iCs/>
          <w:sz w:val="24"/>
          <w:szCs w:val="24"/>
          <w:lang w:val="en-US"/>
        </w:rPr>
        <w:lastRenderedPageBreak/>
        <w:t>had done so, and the superior failed to take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32" name="Imagen 4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Mrkšić case in 2007, the ICTY Trial Chamber considered the individual criminal responsibility of the defendants under Article 7(3) of the 1993 ICTY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557. Article 7(3) of the Statute reads: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any of the acts referred to in Article 2 to 5 of the present Statute was committed by a subordinate does not relieve his superior of criminal responsibility if he knew or had reason to know that the subordinate was about to commit such acts or had done so and the superior failed to take the reasonable and necessary measures to prevent such acts or to punish the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principle of individual criminal responsibility of superiors for failure to prevent or to punish crimes committed by subordinates is an established principle of customary international law, applicable to both international and internal armed conflicts.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558. To hold a superior responsible under Article 7(3) of the Statute, the jurisprudence of the Tribunal has enumerated three elements which must be satisfied: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1. the existence of a superior-subordinate 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2.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3. the superior failed to take the necessary and reasonable measures to prevent the criminal act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Superior-subordinate relationship</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559. The doctrine of command responsibility is ultimately predicated upon the position of command over and the power to control the acts of the perpetrators. It is this position which forms the legal basis for the superior’s duty to act, and for his corollary liability for a failure to do so.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560. The existence of the position of command may arise from the formal or de jure status of a superior, or from the existence of de facto powers of control. It derives essentially from the “actual possession or non-possession of powers of control over the actions of subordinates.” In determining the degree of control to be exercised by the superior over the subordinate, the Appeals Chamber endorsed the effective control standard, which it defined as the material ability to prevent or punish criminal conduct. The existence of a superior-subordinate relationship does “not […] import a requirement of direct or formal subordination” [Čelebići Appeals Judgement, § 303]. Likewise, there need not be a permanent relationship of command and subordination, and the temporary nature of a unit has been held not to be, in itself, sufficient to exclude the existence of a superior-subordinate relationship. Further, the Chamber recalls that “the test of effective control […] implies that more than one person may be held responsible for the same crime committed by a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561. Although the issue will always turn on the particular facts of the case, a number of factors have been identified, albeit not exhaustively, from which effective control may be inferred. These include the official position held by the accused, his capacity to issue orders, whether de jure or de facto, the procedure for appointment, the position of the accused within the military or political structure and the actual tasks that he performed.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Mental element: the superior knew or had reasons to know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562. Strict liability does not attach to the principle of command responsibility; it must therefore be proven that the superior knew or had reasons to know that his subordinates were committing or about to commit crimes. An assessment of the mental element required by Article 7(3) of the Statute is determined on the specific circumstances of each case and the specific situation of the accused at the relevant time.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563. A superior’s actual knowledge that his subordinates were committing or were about to commit a crime cannot be presumed; it may, however, be established by circumstantial evidence, including the number, type and scope of illegal acts, time during which the illegal acts occurred, number and type of troops and logistics involved, geographical location, whether the occurrence of the acts is widespread, tactical tempo of operations, modus operandi of similar illegal acts, officers and staff involved, and location of the commander at the time.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564. In determining whether a superior “had reason to know” that his subordinates were committing or about to commit a crime, it must be shown that specific information was in fact available to him which would have provided notice of offences committed or about to be committed by his subordinates. It is not required that he actually acquainted himself with the information, it must only be available to him. The superior may not be held liable for failing to acquire such information in the first place. However the information in fact available need not be such that, by itself, it was sufficient to compel the conclusion of the existence of such crimes. It is sufficient that the superior be in possession of sufficient information, even general in nature, to be on notice of the likelihood of illegal acts by his subordinates, i.e., so as to justify further inquiry in order to ascertain whether such acts were indeed being or about to be committed. If the superior deliberately refrains from obtaining further information, even though he had the means to do so, he may well be considered to have “had reason to know” of the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(c) </w:t>
      </w:r>
      <w:r w:rsidRPr="004D74E4">
        <w:rPr>
          <w:rFonts w:ascii="Times New Roman" w:eastAsia="Times New Roman" w:hAnsi="Times New Roman" w:cs="Times New Roman"/>
          <w:i/>
          <w:iCs/>
          <w:sz w:val="24"/>
          <w:szCs w:val="24"/>
          <w:u w:val="single"/>
          <w:lang w:val="en-US"/>
        </w:rPr>
        <w:t>Necessary and reasonable measures</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565. A superior’s duty to take the necessary and reasonable measures to prevent the commission of a crime or punish the perpetrators thereof relates directly to his possession of effective control, i.e. of his material ability to take such measures. A superior may be held liable for failing to take measures even in the absence of explicit legal capacity to do so, if it is proven that it was within his material ability. Accordingly, what constitutes “necessary and reasonable measures” is to be determined on the basis of the particular evidence of the case.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566. Article 7(3) contains two distinct legal obligations: to prevent the commission of the offence and to punish the perpetrators. These are not alternative obligations.1966 The duty to prevent arises from the time a superior acquires knowledge, or has reason to know that a crime is being or is about to be committed, while the duty to punish arises after the superior acquires knowledge of the commission of the crime. A superior is required to act from the moment that he acquires such knowledge, and his duty to prevent will not be met by simply waiting and punishing afterwards.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567. Whether a superior has discharged his duty to prevent the commission of a crime will depend on his material ability to intervene in a specific situation. Factors which may be taken into account in making that determination include whether specific orders prohibiting or stopping the criminal activities were issued, what measures to secure the implementation of these orders were taken, what other measures were taken to ensure that the unlawful acts were interrupted and whether these measures were reasonably sufficient in the specific circumstances, and, after the commission of the crime, what steps were taken to secure an adequate investigation and to bring the perpetrators to justice; as well as the superior’s failure to secure reports that military actions have been carried out in accordance with international law, the failure to issue orders aiming at bringing the relevant practices into accord with the rules of war, the failure to protest against or to criticize criminal action, the failure to take disciplinary measures to prevent the commission of atrocities by the troops under the superior’s command, and the failure to insist before a superior authority that immediate action be </w:t>
      </w:r>
      <w:r w:rsidRPr="004D74E4">
        <w:rPr>
          <w:rFonts w:ascii="Times New Roman" w:eastAsia="Times New Roman" w:hAnsi="Times New Roman" w:cs="Times New Roman"/>
          <w:i/>
          <w:iCs/>
          <w:sz w:val="24"/>
          <w:szCs w:val="24"/>
          <w:lang w:val="en-US"/>
        </w:rPr>
        <w:lastRenderedPageBreak/>
        <w:t xml:space="preserve">taken. While in itself, the prior and precautionary failure to inform subordinates of their responsibilities does not suffice to attach criminal liability, it may be regarded as a relevant factor when examining the factual circumstances of the case.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568. A superior’s duty to punish the perpetrators of a crime encompasses the obligation to conduct an effective investigation with a view to establishing the facts. This translates into an obligation on the part of the superior to take active steps to ensure that the perpetrators will be punished. To that end, the superior may exercise his own powers of sanction, or if he lacks such powers, report the perpetrators to the competent authorities. He is required, however, to utilise all measures at his disposal.</w:t>
      </w:r>
      <w:r>
        <w:rPr>
          <w:rFonts w:ascii="Times New Roman" w:eastAsia="Times New Roman" w:hAnsi="Times New Roman" w:cs="Times New Roman"/>
          <w:i/>
          <w:iCs/>
          <w:noProof/>
          <w:sz w:val="24"/>
          <w:szCs w:val="24"/>
        </w:rPr>
        <w:drawing>
          <wp:inline distT="0" distB="0" distL="0" distR="0">
            <wp:extent cx="151130" cy="142875"/>
            <wp:effectExtent l="19050" t="0" r="1270" b="0"/>
            <wp:docPr id="433" name="Imagen 4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Chamber would record here that, had it not been persuaded of Mile Mrkšić’s responsibility under Article 7(1) of the [1993 ICTY] Statute … it would have been satisfied that Mile Mrkšić is responsible for the same crimes under Article 7(3) of the Statute. In light of the Appeals Chamber finding in Blaškić [Blaškić Appeals Judgement, § 91], the Chamber does not make a further finding of guilt of the same offences under Article 7(3).</w:t>
      </w:r>
      <w:r>
        <w:rPr>
          <w:rFonts w:ascii="Times New Roman" w:eastAsia="Times New Roman" w:hAnsi="Times New Roman" w:cs="Times New Roman"/>
          <w:i/>
          <w:iCs/>
          <w:noProof/>
          <w:sz w:val="24"/>
          <w:szCs w:val="24"/>
        </w:rPr>
        <w:drawing>
          <wp:inline distT="0" distB="0" distL="0" distR="0">
            <wp:extent cx="151130" cy="142875"/>
            <wp:effectExtent l="19050" t="0" r="1270" b="0"/>
            <wp:docPr id="434" name="Imagen 4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Orić case before the ICTY in 2005, the accused, appointed as commander of the Srebrenica Territorial Defence (TO) headquarters in 1992, was charged with several counts of violations of the laws or customs of war (murder, cruel treatment, wanton destruction of cities, towns or villages, not justified by military necessity), punishable under Article 3 of the 1993 ICTY Statute, for his alleged role in events occurring in the Srebrenica enclave in 1992–1993.</w:t>
      </w:r>
      <w:r>
        <w:rPr>
          <w:rFonts w:ascii="Times New Roman" w:eastAsia="Times New Roman" w:hAnsi="Times New Roman" w:cs="Times New Roman"/>
          <w:i/>
          <w:iCs/>
          <w:noProof/>
          <w:sz w:val="24"/>
          <w:szCs w:val="24"/>
        </w:rPr>
        <w:drawing>
          <wp:inline distT="0" distB="0" distL="0" distR="0">
            <wp:extent cx="151130" cy="142875"/>
            <wp:effectExtent l="19050" t="0" r="1270" b="0"/>
            <wp:docPr id="435" name="Imagen 4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15. At all times relevant to the charges in this indictment, by virtue of his position and authority as Commander, [the accused] commanded all units that were operating within his area of responsibility.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16. [The accused] demonstrated both de jure and de facto command and control in military matters in a manner consistent with the exercise of superior authority, by issuing orders, instructions and directives to the units, by ensuring the implementation of these orders, instructions and directives and bearing full responsibility for their implementation.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17. [The accused] exercised effective control over his subordinates.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18. [The accused]</w:t>
      </w:r>
      <w:r w:rsidRPr="004D74E4">
        <w:rPr>
          <w:rFonts w:ascii="Times New Roman" w:eastAsia="Times New Roman" w:hAnsi="Times New Roman" w:cs="Times New Roman"/>
          <w:b/>
          <w:bCs/>
          <w:i/>
          <w:iCs/>
          <w:sz w:val="24"/>
          <w:szCs w:val="24"/>
          <w:lang w:val="en-US"/>
        </w:rPr>
        <w:t>,</w:t>
      </w:r>
      <w:r w:rsidRPr="004D74E4">
        <w:rPr>
          <w:rFonts w:ascii="Times New Roman" w:eastAsia="Times New Roman" w:hAnsi="Times New Roman" w:cs="Times New Roman"/>
          <w:i/>
          <w:iCs/>
          <w:sz w:val="24"/>
          <w:szCs w:val="24"/>
          <w:lang w:val="en-US"/>
        </w:rPr>
        <w:t xml:space="preserve"> whilst holding the positions set out in this indictment is criminally responsible as a superior for the acts of his subordinates, pursuant to Article 7(3) of the [1993 ICTY Statute]. A superior is responsible for the acts of his subordinate(s) if he knew or had reason to know that his subordinate(s) were about to commit such acts or had done so and the superior failed to take necessary and reasonable measures to prevent such acts or to punish the perpetrators thereof. Accordingly, [the accused] is criminally responsible under Article 7(3) of the Statute of the Tribunal for all crimes charged in this indictment.</w:t>
      </w:r>
      <w:r>
        <w:rPr>
          <w:rFonts w:ascii="Times New Roman" w:eastAsia="Times New Roman" w:hAnsi="Times New Roman" w:cs="Times New Roman"/>
          <w:i/>
          <w:iCs/>
          <w:noProof/>
          <w:sz w:val="24"/>
          <w:szCs w:val="24"/>
        </w:rPr>
        <w:drawing>
          <wp:inline distT="0" distB="0" distL="0" distR="0">
            <wp:extent cx="151130" cy="142875"/>
            <wp:effectExtent l="19050" t="0" r="1270" b="0"/>
            <wp:docPr id="436" name="Imagen 4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290. Article 7(3) of the [1993 ICTY] Statute imposes criminal liability on superiors for failure to prevent or punish crimes committed by subordinates. It provides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any of the acts referred to in article 2 to 5 of the present Statute was committed by a subordinate does not relieve his superior of criminal responsibility if he knew or had reason to know that the subordinate was about to commit such acts or had done so and the superior failed to take the necessary and reasonable measures to prevent such acts or to punish the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291. The principle of “superior criminal responsibility” is firmly anchored both in conventional and customary law, and applicable to both international and internal armed conflicts.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1. </w:t>
      </w:r>
      <w:r w:rsidRPr="004D74E4">
        <w:rPr>
          <w:rFonts w:ascii="Times New Roman" w:eastAsia="Times New Roman" w:hAnsi="Times New Roman" w:cs="Times New Roman"/>
          <w:i/>
          <w:iCs/>
          <w:sz w:val="24"/>
          <w:szCs w:val="24"/>
          <w:u w:val="single"/>
          <w:lang w:val="en-US"/>
        </w:rPr>
        <w:t>Nature and Elements of “Superior Criminal Responsibility”</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292. According to the jurisprudence of the Tribunal, paragraphs (1) and (3) of Article 7 </w:t>
      </w:r>
      <w:r w:rsidRPr="004D74E4">
        <w:rPr>
          <w:rFonts w:ascii="Times New Roman" w:eastAsia="Times New Roman" w:hAnsi="Times New Roman" w:cs="Times New Roman"/>
          <w:i/>
          <w:iCs/>
          <w:sz w:val="24"/>
          <w:szCs w:val="24"/>
          <w:lang w:val="en-US"/>
        </w:rPr>
        <w:lastRenderedPageBreak/>
        <w:t>of the [1993 ICTY] Statute connote distinct categories of individual criminal responsibility, which, if not encompassed in one count, may constitute the basis for two separate offences. Notwithstanding this distinction, the modes of liability of instigation and aiding and abetting, with which the Accused is charged pursuant to Article 7(1) of the Statute, share a common feature with that of superior criminal responsibility pursuant to Article 7(3) of the Statute in that both are accessory to principal crimes committed by other direct perpetrators.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293. However, whereas for a finding of instigation and aiding and abetting, there ought to be a certain contribution to the commission of the principal crime, superior criminal responsibility is characterised by the mere omission of preventing or punishing crimes committed by (subordinate) others. Therefore, it is not uncommon to find the superior described as responsible “for the acts of his subordinates”. This does not mean, however, that the superior shares the same responsibility as the subordinate who commits the crime in terms of Article 7(1) of the Statute, but that the superior bears responsibility for his own omission in failing to act. In this sense, the superior cannot be considered as if he had committed the crime himself, but merely for his neglect of duty with regard to crimes committed by subordinates. By this essential element being distinct from the subordinate’s responsibility under Article 7(1) of the Statute, the superior’s responsibility under 7(3) of the Statute can indeed be called a responsibility sui generis.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294. Taking together what has to be proven for individual criminal responsibility under Article 7(3) of the Statute, both with regard to the crime base performed by others and the superior’s responsibility, four elements must be fulfilled: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an act or omission incurring criminal responsibility according to Articles 2 to 5 and 7(1) of the Statute has been committed by other(s) than the accused (‘principal crime’);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there existed a superior-subordinate-relationship between the accused and the principal perpetrator(s) (‘superior-subordinate-relationship’);</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accused as a superior knew or had reason to know that the subordinate was about to commit such crimes or had done so (‘knew or had reason to know’);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(iv) the accused as a superior failed to take the necessary and reasonable measures to prevent such crimes or punish the perpetrator(s) thereof (‘failure to prevent or punish’).</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2. </w:t>
      </w:r>
      <w:r w:rsidRPr="004D74E4">
        <w:rPr>
          <w:rFonts w:ascii="Times New Roman" w:eastAsia="Times New Roman" w:hAnsi="Times New Roman" w:cs="Times New Roman"/>
          <w:i/>
          <w:iCs/>
          <w:sz w:val="24"/>
          <w:szCs w:val="24"/>
          <w:u w:val="single"/>
          <w:lang w:val="en-US"/>
        </w:rPr>
        <w:t>Scope of the “Principal Crime”</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295. Until recently, both the requirement of a principal crime (committed by others than the accused) and its performance in any of the modes of liability provided for in Article 7(1) appeared so obvious as to hardly need to be explicitly stated. Since this position, however, has been challenged by the Defence, some clarification is needed.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297. The Defence submits that Article 7(3) of the Statute, when declaring superiors responsible for crimes “committed” by subordinates, merely refers to the “commission” mode of Article 7(1) of the Statute, whereas all other modes of liability provided for in this Article are not included and, thus, cannot serve as the basis for superior criminal responsibility. Therefore, according to the Defence, a superior can be held responsible only if the subordinates “committed” the crimes themselves, and not if they merely aided and abetted the crimes of others. Furthermore, the Defence seems to interpret the reference in Article 7(3) of the Statute to “acts” in such a way that only positive contributions of subordinates to a crime may trigger criminal responsibility of the superior, whereas for mere passive omissions by subordinates, such as allowing crimes to be committed by others, the superior would not be obliged to prevent or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298. This Trial Chamber has already dealt with these legal aspects, and gave its </w:t>
      </w:r>
      <w:r w:rsidRPr="004D74E4">
        <w:rPr>
          <w:rFonts w:ascii="Times New Roman" w:eastAsia="Times New Roman" w:hAnsi="Times New Roman" w:cs="Times New Roman"/>
          <w:i/>
          <w:iCs/>
          <w:sz w:val="24"/>
          <w:szCs w:val="24"/>
          <w:lang w:val="en-US"/>
        </w:rPr>
        <w:lastRenderedPageBreak/>
        <w:t>position on them in the case of Prosecutor v. Boškoski and Tarčulovski. It will accordingly, for the purposes of, and considering the particulars of this case, limit itself to the following reconfirmations and clarifications.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299. First, as regards the principal question whether “committing” in Article 7(3) of the Statute is to be understood in a broad or narrow manner, the Trial Chamber holds that the better arguments speak for the former. As the use of “committing” in various Articles (1, 2, 4, 5, 9, 16 and 29) of the Statute shows, this term is open to different interpretations, depending on the context in which it is used. Whereas Article 7(1) of the Statute lists various forms of individual criminal liability in terms of perpetration and participation, Article 7(3) of the Statute deals with criminal responsibility on the level of a superior by determining his or her duties. Even if this is done within the same Article, varied language in two different sections speaks against rather than for its understanding in only one sense. This is particularly true if, as submitted by the Defence, Article 7(1) and 7(3) of the Statute provide two “separate pillars” of responsibility, in which case they might even be regulated in two different Articles. Consequently, the possibility of a different interpretation can certainly not be excluded.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300. Since a broad interpretation of “committing” in Article 7(3) of the Statute cannot be excluded, decisive weight must be given to the purpose of superior criminal responsibility: it aims at obliging commanders to ensure that subordinates do not violate international humanitarian law, either by harmful acts or by omitting a protective duty. This enforcement of international humanitarian law would be impaired to an inconceivable degree if a superior had to prevent subordinates only from killing or maltreating in person, while he could look the other way if he observed that subordinates “merely” aided and abetted others in procuring the same evil.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301. For these and other reasons which, taking into account the relevant case law of this Tribunal, are elaborated in more detail in the Boškoski case, the Trial Chamber holds that the criminal responsibility of a superior under Article 7(3) of the Statue is not limited to crimes committed by subordinates in person but encompasses any modes of criminal responsibility proscribed in Article 7(1) of the Statute, in particular, instigating as well as otherwise aiding and abetting.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302. Second, as regards the nature of the “acts” referred to in Article 7(3) of the Statute, the Trial Chamber holds that a superior’s criminal responsibility for crimes of subordinates is not limited to the subordinates’ active perpetration or participation, but also comprises their committing by omission. First of all, this position is supported by the common usage of “act” and “committing” as legal umbrella-terms for conduct that consists of actively causing a certain result to occur or in failing to prevent its occurrence. Moreover, even where the Statute describes criminalised breaches of international laws and conventions in an active manner by referral to “acts” against persons or property (Article 2 of the Statute), to any other “acts” enumerated in paragraph 3 (of Article 4 of the [1993 ICTY] Statute) or to other inhumane “acts” (Article 5 of the [1993 ICTY] Statute), this is, in the case law of the Tribunal, consistently understood as comprising both acts and omissions. This has not only been stated in general terms by defining “committing” as covering “physically perpetrating a crime or engendering a culpable omission in violation of criminal law”, but also in regard to particular crimes, such as in this case “murder” and “cruel treatment”, both of which can be perpetrated by acts and omissions.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303. Furthermore, since commission through culpable omission is not limited to perpetration but, according to the case of this Tribunal, is open to all forms of participation, instigating as well as aiding and abetting can also be carried out by omission.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304. In whatever mode, though, omission can incur responsibility only if there was a duty to act in terms of preventing the prohibited result from occurring. Such a duty can, in particular, arise out of responsibility for the safety of the person concerned, derived from humanitarian law or based on a position of authority, or can result from antecedent conduct by which the person concerned has been exposed to a danger.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305. Third, with regard to the consequences for the superior’s responsibility, the Trial Chamber holds that his or her duty to prevent or punish concerns all modes of conduct a subordinate may be criminally responsible for under Article 7(1) of the Statute, be it perpetration by committing the relevant crime (alone or jointly with others) in person or be it participation, as in the form of instigation or otherwise aiding and abetting, and further, that any of these modes of liability may be performed by positive action or culpable omission. The superior’s responsibility for omissions of subordinates is of particular relevance in cases where subordinates are under a protective duty to shield certain persons from being injured, as in the case of detainees kept in custody. If, due to a neglect of protection by subordinates, protected persons sustain injuries, it is these subordinates’ culpable omissions (in terms of Article 7(1) of the Statute) for which the superior is made responsible under Article 7(3) of the Statute. Consequently, if for instance the maltreatment of prisoners by guards, and/or by outsiders not prevented from entering the location, is made possible because subordinates in charge of the prison fail to ensure the security of the detainees by adequate measures, it does not matter any further by whom else, due to the subordinates’ neglect of protection, the protected persons are being injured, nor would it be necessary to establish the identity of the direct perpetrators.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306. Fourth, the Trial Chamber finds that the criminal responsibility of subordinates of the Accused under Article 7(1) of the Statute, by virtue of omission, is sufficiently indicated in the Indictment and in the Prosecution Pre-Trial Brief.</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 </w:t>
      </w:r>
      <w:r w:rsidRPr="004D74E4">
        <w:rPr>
          <w:rFonts w:ascii="Times New Roman" w:eastAsia="Times New Roman" w:hAnsi="Times New Roman" w:cs="Times New Roman"/>
          <w:i/>
          <w:iCs/>
          <w:sz w:val="24"/>
          <w:szCs w:val="24"/>
          <w:u w:val="single"/>
          <w:lang w:val="en-US"/>
        </w:rPr>
        <w:t>“Superior-Subordinate Relationship”</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307. As stated by the Trial Chamber in the Čelebići case, “the doctrine of command responsibility is ultimately predicated upon the power of the superior to control the acts of his subordinates”. This has two implications.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308. First, Article 7(3) of the Statute does not differentiate between “commander” and “superior” as was later done in Article 28 of the Rome Statute, but instead uses exclusively the generic term of “superior”. Consequently, the scope of Article 7(3) of the Statute extends beyond classical “command responsibility” to a truly “superior criminal responsibility”, and does not only include military commanders within its scope of liability, but also political leaders and other civilian superiors in possession of authority.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309. The second implication is that, in relation to the power of the superior to control, it is immaterial whether that power is based on a de jure or a de facto position. Although formal appointment within a hierarchical structure of command may still prove to be the best basis for incurring individual criminal responsibility as a superior, the broadening of this liability as described above is supported by the fact that the borderline between military and civil authority can be fluid. This is particularly the case with regard to many contemporary conflicts where there may be only de facto self-proclaimed governments and/or de facto armies and paramilitary groups subordinate thereto.</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310. Thus, regardless of which chain of command or position of authority the superior-subordinate relationship may be based, it is immaterial whether the subordination of the perpetrator to the accused as superior is direct or indirect, and formal or factual. In the same vein, the mere ad hoc or temporary nature of a military unit or an armed </w:t>
      </w:r>
      <w:r w:rsidRPr="004D74E4">
        <w:rPr>
          <w:rFonts w:ascii="Times New Roman" w:eastAsia="Times New Roman" w:hAnsi="Times New Roman" w:cs="Times New Roman"/>
          <w:i/>
          <w:iCs/>
          <w:sz w:val="24"/>
          <w:szCs w:val="24"/>
          <w:lang w:val="en-US"/>
        </w:rPr>
        <w:lastRenderedPageBreak/>
        <w:t>group does not per se exclude a relationship of subordination between the member of the unit or group and its commander or leader.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311. Within this rather broad platform, however, proof of a superior-subordinate relationship ultimately depends on the existence of effective control which requires that the superior must have had the material ability to prevent or punish the commission of the principal crimes. On the one hand, this needs more than merely having “general influence” on the behaviour of others. Likewise, merely being tasked with coordination does not necessarily mean to have command and control. On the other hand, effective control does not presuppose formal authority to issue binding orders or disciplinary sanctions, as the relevant threshold rather depends on the factual situation, i.e., the ability to maintain or enforce compliance of others with certain rules and orders. Whether this sort of control is directly exerted upon a subordinate or mediated by other sub-superiors or subordinates is immaterial, as long as the responsible superior would have means to prevent the relevant crimes from being committed or to take efficient measures for having them sanctioned. In the same vein, proof of the existence of a superior-subordinate relationship does not require the identification of the principal perpetrators, particularly not by name, nor that the superior had knowledge of the number or identity of possible intermediaries, provided that it is at least established that the individuals who are responsible for the commission of the crimes were within a unit or a group under the control of the superior.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312. Although it is obvious that the requisite level of control is a matter to be determined on the basis of the evidence presented in each case, the jurisprudence of the Tribunal provides certain criteria that are more or less indicative of the existence of some authority in terms of effective control. This is in particular true with regard to the formality of the procedure used for appointment of a superior, the power of the superior to issue orders or take disciplinary action, the fact that subordinates show in the superior’s presence greater discipline than when he is absent, or the capacity to transmit reports to competent authorities for the taking of proper measures. Likewise, the capacity to sign orders is an indicator of effective control, provided that the signature on a document is not purely formal or merely aimed at implementing a decision made by others, but that the indicated power is supported by the substance of the document or that it is obviously complied with. An accused’s high public profile, manifested through public appearances and statements or by participation in high-profile international negotiations, although not establishing effective control per se, is an additional indicator of effective control. On the other hand, effective control does not necessarily presuppose a certain rank, so that even a rank-less individual commanding a small group of men can have superior criminal responsibility. Nor is it required that the superior generally exercises the trappings of de jure authority.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313. If a superior is proven to have possessed the effective control to prevent or punish relevant crimes, his or her own individual criminal responsibility is not excluded by the concurrent responsibility of other superiors. If, however, a superior has functioned as a member of a collegiate body with authority shared among various members, the power or authority actually devolved on an accused may be assessed on a case-by-case basis, taking into account the cumulative effect of the accused’s various functions.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314. As concerns the point in time at which the superior must have had effective control over his subordinates and at which he should have acted to prevent or punish the relevant crimes, it seems to be commonly accepted that the critical time is when those crimes were committed. Since this, however, may be true only with regard to the duty to prevent crimes from occurring, but not necessarily so for the duty to punish crimes which have been committed, this element will be further examined in connection with </w:t>
      </w:r>
      <w:r w:rsidRPr="004D74E4">
        <w:rPr>
          <w:rFonts w:ascii="Times New Roman" w:eastAsia="Times New Roman" w:hAnsi="Times New Roman" w:cs="Times New Roman"/>
          <w:i/>
          <w:iCs/>
          <w:sz w:val="24"/>
          <w:szCs w:val="24"/>
          <w:lang w:val="en-US"/>
        </w:rPr>
        <w:lastRenderedPageBreak/>
        <w:t>those duties.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 Mens Rea </w:t>
      </w:r>
      <w:r w:rsidRPr="004D74E4">
        <w:rPr>
          <w:rFonts w:ascii="Times New Roman" w:eastAsia="Times New Roman" w:hAnsi="Times New Roman" w:cs="Times New Roman"/>
          <w:i/>
          <w:iCs/>
          <w:sz w:val="24"/>
          <w:szCs w:val="24"/>
          <w:u w:val="single"/>
          <w:lang w:val="en-US"/>
        </w:rPr>
        <w:t>– “Knew or had Reason to Know”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316. The basic mental requirement for superior criminal responsibility, although neither explicitly set forth in the Statute nor discussed to any significant extent in the case law of the Tribunal, is first of all that a superior be aware of his own position of authority, i.e., that he or she has effective control, under the specific circumstances, over the subordinates who committed or were about to commit the relevant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317. Beyond this general requirement of mens rea, individual criminal responsibility under Article 7(3) requires no more than the superior either (a) having known or (b) having had reason to know that his subordinates were about to commit relevant criminal acts or had already done so. Whereas the former requires proof of actual knowledge, the latter requires proof only of some grounds which would have enabled the superior to become aware of the relevant crimes of his or her subordinates. By permitting the attribution of criminal responsibility to a superior for what is in actual fact a lack of due diligence in supervising the conduct of his subordinates, Article 7(3) in this respect sets itself apart by being satisfied with a mens rea falling short of the threshold requirement of intent under Article 7(1) of the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318. Nevertheless, superior criminal responsibility by no means involves the imposition of “strict liability”, for even if it may be described as the “imputed responsibility or criminal negligence”, a mental element is required at least in so far as an accused must have been aware of his position as a superior and of the reason that should have alerted him to relevant crimes of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Actual Knowledge</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319. The actual knowledge of the superior, in terms of awareness that his subordinates were about to commit or have committed relevant crimes, cannot be presumed. In the absence of direct evidence, however, actual knowledge may still be established by way of circumstantial evidence. Although in this regard, the superior’s position may per se appear to be a significant indication from which knowledge of a subordinate’s criminal conduct can be inferred, such status is not to be understood as a conclusive criterion but must be supported by additional factors. According to the case law of the Tribunal, circumstantial evidence can in particular be gained from the indicia listed by the United Nations Commission of Experts in its final report on the armed conflict in the former Yugoslavia, such as the type and scope of illegal acts, the time during which they occurred, the number and type of troops involved, the logistics involved, if any, the geographical location of the acts, their widespread occurrence, the tactical tempo of operations, the modus operandi of similar illegal acts, the officers and staff involved and the location of the commander at the time.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320. Although the required knowledge is in principle the same both for military and civil superiors, the various indications must be assessed in light of the accused’s position of command. This may, in particular, imply that the threshold required to prove knowledge of a superior exercising more informal types of authority is higher than for those operating within a highly disciplined and formalised chain of command with established reporting and monitoring systems.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Imputed Knowledge</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321. Different from actual knowledge, be it proven by direct or circumstantial evidence, is the alternative of having had “reason to know”. Here, the superior is deemed not to have possessed actual knowledge. Instead, the superior can be held responsible for having had reason to know, had he made use of information which, by virtue of his superior position and in compliance with his duties, was available to him, that </w:t>
      </w:r>
      <w:r w:rsidRPr="004D74E4">
        <w:rPr>
          <w:rFonts w:ascii="Times New Roman" w:eastAsia="Times New Roman" w:hAnsi="Times New Roman" w:cs="Times New Roman"/>
          <w:i/>
          <w:iCs/>
          <w:sz w:val="24"/>
          <w:szCs w:val="24"/>
          <w:lang w:val="en-US"/>
        </w:rPr>
        <w:lastRenderedPageBreak/>
        <w:t>subordinates were about to commit or had already committed the relevant crimes. In these terms, this mode of mental state may indeed be coined “imputed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322. In determining whether a superior had “reason to know” that subordinates were committing or were about to commit a crime, it must be shown that the superior was in possession of information which put him/her on notice of criminal acts committed or about to be committed by subordinates. This determination does not require the superior to have actually acquainted himself/herself with the information in his or her possession, nor that the information would, if read, compel the conclusion of the existence of such crimes. It rather suffices that the information was available to the superior and that it indicated the need for additional investigation in order to ascertain whether offences were being committed or about to be committed by subordinates. Although the information may be general in nature, it must be sufficiently specific to demand further clarification. This does not necessarily mean that the superior may be held liable for failing to personally acquire such information in the first place. However, as soon as the superior has been put on notice of the risk of illegal acts by subordinates, he or she is expected to stay vigilant and to inquire about additional information, rather than doing nothing or remaining “wilfully blind”.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323. Whether the relevant information has become available to the superior in written or oral form is immaterial. In particular, it is not necessary for the information to have been submitted in the form of a specific report. Examples of information which have been found to place a superior on notice of the risk of criminal conduct by a subordinate include that of a subordinate having a notoriously violent or unstable character and that of a subordinate drinking prior to being sent on a mission. Even where such indications are present, the Trial Chamber would find that a “reason to know” existed only if, as appears also to be required by the Appeals Chamber, these indications point to the same type of crimes as the superior was supposed to prevent or punish, as opposed to merely general criminal activity.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 </w:t>
      </w:r>
      <w:r w:rsidRPr="004D74E4">
        <w:rPr>
          <w:rFonts w:ascii="Times New Roman" w:eastAsia="Times New Roman" w:hAnsi="Times New Roman" w:cs="Times New Roman"/>
          <w:i/>
          <w:iCs/>
          <w:sz w:val="24"/>
          <w:szCs w:val="24"/>
          <w:u w:val="single"/>
          <w:lang w:val="en-US"/>
        </w:rPr>
        <w:t>“Failure to Prevent or Punish”</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Two Distinct Duties</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325. In order to incur individual criminal responsibility under Article 7(3) of the Statute, the superior having actual or imputed knowledge of crimes being about to be committed or having been committed by his subordinates must have “failed to take the necessary and reasonable measures to prevent such acts or to punish the perpetrators thereof”. Thus, what a superior is liable for is not just the failure to have acquired sufficient knowledge about the criminal conduct of his subordinates, but ultimately the failure to react appropriately by preventing or punishing the relevant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326. As a mode of liability based on omission, superior criminal responsibility presupposes a duty of the superior the purpose of which is, first and foremost, the prevention of crimes of subordinates that are about to be committed, and in the second place, the punishment of subordinates who have already committed crimes. This duty does not, in terms of an alternative, permit a superior to choose, i.e., to either prevent the crimes or to await their commission and then punish. The superior’s obligations are instead consecutive: it is his primary duty to intervene as soon as he becomes aware of crimes about to be committed, while taking measures to punish may only suffice, as substitute, if the superior became aware of these crimes only after their commission. Consequently, a superior’s failure to prevent the commission of the crime by a subordinate, where he had the ability to do so, cannot simply be remedied by subsequently punishing the subordinate for the crime. Therefore, the failure to prevent or to punish constitutes two distinct, but related, aspects of superior responsibility </w:t>
      </w:r>
      <w:r w:rsidRPr="004D74E4">
        <w:rPr>
          <w:rFonts w:ascii="Times New Roman" w:eastAsia="Times New Roman" w:hAnsi="Times New Roman" w:cs="Times New Roman"/>
          <w:i/>
          <w:iCs/>
          <w:sz w:val="24"/>
          <w:szCs w:val="24"/>
          <w:lang w:val="en-US"/>
        </w:rPr>
        <w:lastRenderedPageBreak/>
        <w:t>which correlate to the timing of a subordinate’s commission of a crime. Hence, the duty to prevent concerns future crimes whereas the duty to punish concerns past crimes of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Necessary and Reasonable Measures to Prevent</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327. The duty to take necessary and reasonable measures to prevent crimes from being committed presupposes that a superior is in a position to take the required measures prior to, or at least, during the commission of the crimes to be prevented. This implies that, both in temporal and in functional terms, the superior, as soon and as long as he or she has effective control over subordinates which he or she knows, or has reason to know, are about to commit relevant crimes, must counteract with appropriate measures. This requirement of actual control, in terms of the coincidence of the time at which the relevant crimes are to be prevented and the superior’s effective power of taking the necessary measures, is substantially the same as that which is reflected by different terms in the case law of the Tribunal.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328. This basic requirement, however, needs further determination with regard to what a superior must prevent and at what time he must do so. While the case law on the matter is scarce, one decision seems to suggest that only the commission of a completed, as opposed to inchoate, crime must be prevented. Other judgements, however, understand the duty to prevent as existing “at any stage before the commission of a subordinate crime” and refer to the knowledge of a superior that such crime was “being prepared or planned”, thus imposing a duty upon a superior to already intervene at the planning and preparation stage of the subordinate’s crime. In the Trial Chamber’s view, this latter position finds support both in the language of the Statute and in the concept of superior criminal responsibility. Article 7(3) of the Statute obliges a superior to prevent a subordinate’s “acts” which, according to the underlying modes of liability set out in Article 7(1) of the Statute comprise not only the “execution” but also the “planning” and “preparation” of crimes. Thus, it cannot be merely the completion of a crime which must be prevented, but also its planning and preparation, if for no other reason than as a matter of efficiency. Further, since a superior is duty bound to take preventive measures when he or she becomes aware that his or her subordinates “are about to commit such acts’, and, as stated before, such acts comprise the commission of a crime from its planning and preparation until its completed execution, the superior, being aware of what might occur if not prevented, must intervene against imminent planning or preparation of such acts. This means, first, that it is not only the execution and full completion of a subordinate’s crimes which a superior must prevent, but the earlier planning or preparation. Second, the superior must intervene as soon as he becomes aware of the planning or preparation of crimes to be committed by his subordinates and as long as he has the effective ability to prevent them from starting or continuing.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329. The type of measures a superior must take in order to prevent the crimes of his subordinates has been described as a matter of evidence rather than of substantive law. This characterisation is correct in the sense that the appropriate measures to be taken may vary from case to case depending upon the particular circumstances.945 Therefore any attempt to formulate a general standard in abstracto may not be meaningful. This cannot mean, however, that the necessary and reasonable measures a superior is expected to take may be determined without reference to a normative yardstick. Such guidance can be drawn from four criteria: first, as a superior cannot be asked for more than what is in his or her power, the kind and extent of measures to be taken ultimately depend on the degree of effective control over the conduct of subordinates at the time a superior is expected to act; second, in order to be efficient, a superior must undertake </w:t>
      </w:r>
      <w:r w:rsidRPr="004D74E4">
        <w:rPr>
          <w:rFonts w:ascii="Times New Roman" w:eastAsia="Times New Roman" w:hAnsi="Times New Roman" w:cs="Times New Roman"/>
          <w:i/>
          <w:iCs/>
          <w:sz w:val="24"/>
          <w:szCs w:val="24"/>
          <w:lang w:val="en-US"/>
        </w:rPr>
        <w:lastRenderedPageBreak/>
        <w:t>all measures which are necessary and reasonable to prevent subordinates from planning, preparing or executing the prospective crime; third, the more grievous and/or imminent the potential crimes of subordinates appear to be, the more attentive and quicker the superior is expected to react; and fourth, since a superior is duty bound only to undertake what appears appropriate under the given conditions, he or she is not obliged to do the impossible.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330. It should be emphasised, however, that these guiding criteria must be applied in light of the case-specific situation. As distinguished by the Trial Chamber in the Halilović case, the duty to prevent cannot simply be founded upon those general obligations a military commander or civilian superior may have with regard to ensuring order among, or exercising control over, troops or subordinates, for example, by informing them of their legal responsibilities and cautioning them to act in an orderly and lawful fashion. Although a superior’s neglect of such elementary obligations may be a contributing factor considered in the assessment of a failure to prevent subordinates’ crimes, it does not entail superior criminal responsibility per se. What is required is a finding that the superior, in view of the factual circumstances of the case, failed to do what would have been necessary, reasonable and possible to prevent the criminal activities of his subordinates. However, a superior cannot simply be relieved of the special obligation to prevent subordinates’ crimes by the mere showing of adherence to general obligations. Thus, while a superior cannot be held responsible solely for neglecting a general obligation, neither can he or she avoid superior criminal responsibility by proving diligence in meeting those general duties while failing to take the necessary measures under his or her special obligation in the particular circumstances.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331. Provided that, in the individual case, the aforementioned criteria are met, according to the case law of the Tribunal, the superior may have to take certain measures as are necessary and reasonable for preventing crimes by his or her subordinates. First, beyond issuing mere routine instructions, a superior may have to give special orders aimed at bringing unlawful practices of subordinates in compliance with the rules of war954 and to secure the implementation of these orders. Second, where information indicates, a superior may be required to investigate whether crimes are about to be committed, to protest against or criticise criminal action, to take disciplinary measures against the commission of atrocities, or to report to and/or to insist before a superior authority that immediate action be taken. Such measures may be required of a superior even if he or she lacks the formal capacity or legal competence to perform them in person. Requiring measures to be taken beyond a superior’s formal powers961 reflects a definition of responsibility that is based more on the superior’s material ability to effectively control than on formal status. An obvious case of failure would be if a superior, despite awareness of the criminal activities of his or her subordinates, did nothing, for instance by simply ignoring such information. A further example of failure would be that of a superior who failed to give any instructions to subordinates due to his frequent absence, provided of course that the superior’s lack of presence was not necessitated by other overriding obligations.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(c) </w:t>
      </w:r>
      <w:r w:rsidRPr="004D74E4">
        <w:rPr>
          <w:rFonts w:ascii="Times New Roman" w:eastAsia="Times New Roman" w:hAnsi="Times New Roman" w:cs="Times New Roman"/>
          <w:i/>
          <w:iCs/>
          <w:sz w:val="24"/>
          <w:szCs w:val="24"/>
          <w:u w:val="single"/>
          <w:lang w:val="en-US"/>
        </w:rPr>
        <w:t>Necessary and Reasonable Measures to Punish</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332. As stated previously, the duty to punish is a subsidiary duty that becomes relevant when the superior learns of the crime of a subordinate after its commission. If a superior, however, was already aware of the crime while it was ongoing, he or she can be found responsible both for the failure to prevent the crime and for not having punished it.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333. Just as with the duty to prevent, the basic requirement of a duty to punish needs </w:t>
      </w:r>
      <w:r w:rsidRPr="004D74E4">
        <w:rPr>
          <w:rFonts w:ascii="Times New Roman" w:eastAsia="Times New Roman" w:hAnsi="Times New Roman" w:cs="Times New Roman"/>
          <w:i/>
          <w:iCs/>
          <w:sz w:val="24"/>
          <w:szCs w:val="24"/>
          <w:lang w:val="en-US"/>
        </w:rPr>
        <w:lastRenderedPageBreak/>
        <w:t>further determination. Specifically, the question arises, first, what stage a crime needs to have reached in order for the superior to take measures to punish; and, second, it needs to be determined what position of authority the superior must have held at that time.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334. With regard to the first issue, the usual description of the superior’s duty, as “arising after the commission of the crime”, seems to suggest that only completed crimes may be sanctioned. This, however, is only partly conclusive. On the one hand, unless the attempt to commit a crime is punishable as such, superior criminal responsibility according to Article 7(3) of the Statute appears indeed to presuppose that the crime of a subordinate must have been completed in the same way as would be necessary for other modes of participation. On the other hand, this is not to say that only a subordinate who completes a crime should be punished. Since Article 7(3) of the Statute, in referring to Article 7(1) of the Statute, does not restrict the participation in a crime exclusively to acts which complete its execution, but includes those acts which comprise its planning and preparation, it is necessary only to prove that the criminal activities of a subordinate finally leads to a completed principal crime. This means that the superior must also bring to justice those subordinates who contributed to the principal crime merely by participating in the planning and preparation of it. Thus, although it is certainly true that without a violation of the law there is not yet a violator to be punished, such a violator can already be seen in a subordinate participating in the direct crime of others.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335. Similar considerations of a coherent system of prevention and punishment could also provide guidance as to what position the superior must have held while the crime of a subordinate was committed and as to when it was to be punished. The superior must certainly have effective control of the relevant subordinates at the time when measures of investigation and punishment are to be taken against them. Such a link, however, appears less essential, if necessary at all, with regard to the time at which the crime was committed. The duty to prevent calls for action by the superior prior to the commission of the crime, and thus presupposes his power to control the conduct of his subordinates. The duty to punish, by contrast, follows the commission of a crime of which the superior need not have been aware, and thus at the moment of commission was in fact out of his or her control to prevent. Since a superior in such circumstances is obliged to take punitive measures notwithstanding his or her inability to prevent the crime due to his or her lack of awareness and control, it seems only logical that such an obligation would also extend to the situation wherein there has been a change of command following the commission of a crime by a subordinate. The new commander in such a case, now exercising power over his or her subordinates and being made aware of their crimes committed prior to the change of command, for the sake of coherent prevention and control, should not let them go unpunished. This is best understood by realising that a superior’s duty to punish is not derived from a failure to prevent the crime, but rather is a subsidiary duty of its own. The cohesive interlinking of preventing and punishing would be disrupted if the latter were made dependent on the superior’s control at the time of commission of the crimes. Consequently, for a superior’s duty to punish, it should be immaterial whether he or she had assumed control over the relevant subordinates prior to their committing the crime. Since the Appeals Chamber, however, has taken a different view [Hadžihasanović case, Decision on Interlocutory Appeal Challenging Jurisdiction in Relation to Command Responsibility, 16 July 2003] for reasons which will not be questioned here, the Trial Chamber finds itself bound to require that with regard to the duty to punish, the superior must have had control over the perpetrators of a relevant crime both at the </w:t>
      </w:r>
      <w:r w:rsidRPr="004D74E4">
        <w:rPr>
          <w:rFonts w:ascii="Times New Roman" w:eastAsia="Times New Roman" w:hAnsi="Times New Roman" w:cs="Times New Roman"/>
          <w:i/>
          <w:iCs/>
          <w:sz w:val="24"/>
          <w:szCs w:val="24"/>
          <w:lang w:val="en-US"/>
        </w:rPr>
        <w:lastRenderedPageBreak/>
        <w:t>time of its commission and at the time that measures to punish were to be taken.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336. In principle, the same criteria required for the duty to prevent, apply with respect to the duty to punish, with the following qualification: whereas measures to prevent must be taken as soon as the superior becomes aware of the risk of potential illegal acts about to be committed by subordinates, the duty to punish commences only if, and when, the commission of a crime by a subordinate can be reasonably suspected. Under these conditions, the superior has to order or execute appropriate sanctions or, if not yet able to do so, he or she must at least conduct an investigation and establish the facts in order to ensure that offenders under his or her effective control are brought to justice. The superior need not conduct the investigation or dispense the punishment in person, but he or she must at least ensure that the matter is investigated and transmit a report to the competent authorities for further investigation or sanction. As in the case of preventing crimes, the superior’s own lack of legal competence does not relieve him from pursuing what his or her material ability enables him or her to do. Since the duty to punish aims at preventing future crimes of subordinates, a superior’s responsibility may also arise from his or her failure to create or sustain, amongst the persons under his or her control, an environment of discipline and respect for the law.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6. </w:t>
      </w:r>
      <w:r w:rsidRPr="004D74E4">
        <w:rPr>
          <w:rFonts w:ascii="Times New Roman" w:eastAsia="Times New Roman" w:hAnsi="Times New Roman" w:cs="Times New Roman"/>
          <w:i/>
          <w:iCs/>
          <w:sz w:val="24"/>
          <w:szCs w:val="24"/>
          <w:u w:val="single"/>
          <w:lang w:val="en-US"/>
        </w:rPr>
        <w:t>Relationship Between a Superior’s Failure and Subordinates’ Crimes</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338. In a similar way as the various modes of participation according to Article 7(1) of the Statute require a causal contribution to the principal crime, superior responsibility according to Article 7(3) of the Statute would need some sort of causal link to the principal crime committed by subordinates. Although the superior’s measures must be directed at preventing imminent crimes of subordinates or at deterring future crimes through punishment, and thereby at least pursue a causal aim, this represents mere finality on the level of the superior’s intention. As concerns objective causality, however, it is well established case law of the Tribunal that it is not an element of superior criminal responsibility to prove that without the superior’s failure to prevent, the crimes of his subordinates would not have been committed. This is so for good reasons. First, with regard to the superior’s failure to punish, it would make no sense to require a causal link between an offence committed by a subordinate and the subsequent failure of a superior to punish the perpetrator of that same offence. Second, even with regard to the superior’s failure to prevent, a requirement of causation would run counter to the very basis of this type of superior responsibility as criminal liability of omission. For if it had to be proven, and in fact is proven, that the superior’s conduct causally contributed to the commission of the crimes of subordinates, then the borderline between Article 7(3) of the Statute and participation according to Article 7(1) of the Statute would be transgressed and, thus, superior criminal responsibility would become superfluous. Hence, it is not necessary that the superior’s failure to act cause the commission of the crimes of subordinates. However, if measures taken by the superior have in fact been successful in preventing or repressing relevant crimes of subordinates, this can serve as prima facie evidence that he did not fail in his duties.</w:t>
      </w:r>
      <w:r>
        <w:rPr>
          <w:rFonts w:ascii="Times New Roman" w:eastAsia="Times New Roman" w:hAnsi="Times New Roman" w:cs="Times New Roman"/>
          <w:i/>
          <w:iCs/>
          <w:noProof/>
          <w:sz w:val="24"/>
          <w:szCs w:val="24"/>
        </w:rPr>
        <w:drawing>
          <wp:inline distT="0" distB="0" distL="0" distR="0">
            <wp:extent cx="151130" cy="142875"/>
            <wp:effectExtent l="19050" t="0" r="1270" b="0"/>
            <wp:docPr id="437" name="Imagen 4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341. Thus far, the case law of the Tribunal has followed a varied course with respect to these matters. In the Čelebići Trial Judgement, the accused was, in a single conviction, found guilty with regard to each of two counts, both for his own direct participation (for having wilfully caused great suffering and cruel treatment respectively) under Article 7(1) of the [1993 ICTY] Statute and for his superior responsibility (for not having prevented his subordinates from participating in those violent acts) under Article 7(3) of the Statute. The Trial Chamber, however, did not take this dual criminal </w:t>
      </w:r>
      <w:r w:rsidRPr="004D74E4">
        <w:rPr>
          <w:rFonts w:ascii="Times New Roman" w:eastAsia="Times New Roman" w:hAnsi="Times New Roman" w:cs="Times New Roman"/>
          <w:i/>
          <w:iCs/>
          <w:sz w:val="24"/>
          <w:szCs w:val="24"/>
          <w:lang w:val="en-US"/>
        </w:rPr>
        <w:lastRenderedPageBreak/>
        <w:t>responsibility into account in considering the sentence. The Appeals Chamber in the Čelebići case went further, leaving room even for – alternatively – “imposing punishment on the accused for two separate offences encompassed in the one count” or for either aggravating his responsibility under Article 7(3) of the Statute with his direct participation or aggravating his direct responsibility under Article 7(1) of the Statute with his position of authority. Between these Trial and Appeal Judgements in the Čelebići case, however, the Trial Chamber in the Blaškić case, in considering it “illogical” to hold a superior liable for participation in crimes (under Article 7(1) of the Statute) and, at the same time, for not preventing them (under Article 7(3) of the Statute), implicitly suggested that it would even exclude the possibility of dual liability on the same count based on the same facts. Such a result would leave room for responsibility under both heads only where a commander’s failure to prevent or punish crimes of his or her subordinates may be “the basis for his liability for either aiding and abetting or instigating the commission of further crimes”. While this “either-or” approach of the Trial Chamber in the Blaškić case did not find further following and was even implicitly contradicted by the Trial Chamber’s finding in the Stakić case that “specific acts could satisfy the requirements of both Articles”, the Appeals Chamber in the Aleksovski case already opened a new course in holding that the appellant’s superior responsibility (in terms of Article 7(3) of the Statute) seriously “aggravated” his offences (in terms of Article 7(1) of the Statute). Furthermore, without explicitly excluding a conviction under both Articles, in a case of one’s own participation and failing as a superior, the Trial Chamber in the Kordić case would nonetheless find this type of criminal responsibility “better characterised by Article 7(1)”. Again with some variation, in merely considering it “inappropriate” to convict under both heads of responsibility for the same count based on the same acts – and, thus, by no means excluding a dual conviction as “illogical” – the Trial Chamber in the Krnojelac case claimed its “discretion” to choose which is the most appropriate heading of responsibility under which to attach criminal responsibility to the accused, while ultimately, however, finding his criminality “better characterised” as that of an aider and abettor (according to Article 7(1) of the Statute) and by taking his position as superior as an aggravating factor into account. Lastly, in finding it not merely “not appropriate”, but even constituting a legal error to convict in relation to the same counts based on the same facts under both Articles 7(1) and 7(3) of the Statute, the Appeals Chamber in the Blaškić case held that where the legal requirements pertaining to both of these heads of responsibility are met under the same count, “a Trial Chamber should enter a conviction on the basis of Article 7(1) only, and consider the accused’s superior position as an aggravating factor in sentencing”.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342. In the Trial Chamber’s view, because the charges of Articles 7(1) and 7(3) of the Statute are raised in two different counts of the Indictment, namely Counts 3 and 5, the aforementioned precedents do not appear to be conclusive for this case because all concern instances in which Articles 7(1) and 7(3) were invoked in one count on basically the same facts. Nevertheless, the Trial Chamber does not consider this formal splitting in two counts (rather than being combined into one) so decisive that principally different results would be feasible. In giving particular significance to the crime base to which the individual criminal responsibility is attached, and to the peculiar content of wrongfulness by which each of the two types of responsibilities in Articles 7(1) and 7(3) of the Statute are characterised, the Trial Chamber finds that active involvement by way of participating in the principal crime carries greater weight than failure by omission. Further, the Trial Chamber finds that participation in the crime means to have made a causal contribution to the impairment of the protected </w:t>
      </w:r>
      <w:r w:rsidRPr="004D74E4">
        <w:rPr>
          <w:rFonts w:ascii="Times New Roman" w:eastAsia="Times New Roman" w:hAnsi="Times New Roman" w:cs="Times New Roman"/>
          <w:i/>
          <w:iCs/>
          <w:sz w:val="24"/>
          <w:szCs w:val="24"/>
          <w:lang w:val="en-US"/>
        </w:rPr>
        <w:lastRenderedPageBreak/>
        <w:t>interest, whereas the failure as a superior need not necessarily contribute to the injury as such, but may merely involve the omission of his duty, as is particularly evident in the case of failure to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343. These differences in the substance and degree of wrongfulness of active participation and passive non-preventing or non-punishing crimes of subordinates warrant the following holding. First, if the accused’s conduct fulfils the elements both of commission or of participation according to Article 7(1) of the Statute and of superior criminal responsibility according to Article 7(3) of the Statute with regard to the same principal crime on basically the same facts, regardless of whether indicted in the same or in different counts, the accused will be convicted only under the heading of Article 7(1) of the Statute in terms of the more comprehensive wrongdoing. Second, however, as the final sentence should reflect the totality of the culpable conduct, the additional wrongfulness associated with an accused’s failure in his duties as a superior in terms of Article 7(3) of the Statute must be taken into account as an aggravating factor in the sentencing. Third, since the status of an accused and his neglect of legal obligations can be a general sentencing factor in any event, his or her position as the superior of subordinates who have committed crimes may serve as an aggravating factor even if not all elements of Article 7(3) of the Statute are fulfilled.</w:t>
      </w:r>
      <w:r>
        <w:rPr>
          <w:rFonts w:ascii="Times New Roman" w:eastAsia="Times New Roman" w:hAnsi="Times New Roman" w:cs="Times New Roman"/>
          <w:i/>
          <w:iCs/>
          <w:noProof/>
          <w:sz w:val="24"/>
          <w:szCs w:val="24"/>
        </w:rPr>
        <w:drawing>
          <wp:inline distT="0" distB="0" distL="0" distR="0">
            <wp:extent cx="151130" cy="142875"/>
            <wp:effectExtent l="19050" t="0" r="1270" b="0"/>
            <wp:docPr id="438" name="Imagen 4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It is the Trial Chamber’s considered opinion that, as a general rule, the treatment of prisoners in armed conflict, including their physical and mental integrity, cannot be relegated to a position of importance inferior to other considerations, military or otherwise, however important they may be. This general rule is, of course, predicated on the assumption that at all times, the person entrusted with this responsibility, is in a position to fulfil this obligation. It does not, and cannot, apply when, for instance, there is the impossibility to act, or when it would be utterly unreasonable to expect one to act, as in the case of a life-threatening situation. The Trial Chamber is here dealing with the responsibility of a commander, who, more often than not, can discharge such responsibilities by delegating part of them to a subordinate and enquiring from time to time, and in the absence of reports, by at least requiring them in whatever format. The said general rule, therefore, is applicable when all this is possible. What is unacceptable for the Trial Chamber is that commanders, who like the Accused, positively know that detainees have been exposed to murder and cruel treatment, are discharged from their said obligations under international law to protect prisoners, by merely delegating the responsibilities in that regard to subordinates without further enquiries.</w:t>
      </w:r>
      <w:r>
        <w:rPr>
          <w:rFonts w:ascii="Times New Roman" w:eastAsia="Times New Roman" w:hAnsi="Times New Roman" w:cs="Times New Roman"/>
          <w:i/>
          <w:iCs/>
          <w:noProof/>
          <w:sz w:val="24"/>
          <w:szCs w:val="24"/>
        </w:rPr>
        <w:drawing>
          <wp:inline distT="0" distB="0" distL="0" distR="0">
            <wp:extent cx="151130" cy="142875"/>
            <wp:effectExtent l="19050" t="0" r="1270" b="0"/>
            <wp:docPr id="439" name="Imagen 4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Appeals Chamber recalls that the concept of effective control is the threshold to be reached in establishing a superior-subordinate relationship for the purpose of Article 7(3) of the [1993 ICTY] Statute. Whether the effective control descends from the superior to the subordinate culpable of the crime through intermediary subordinates is immaterial as a matter of law; instead, what matters is whether the superior has the material ability to prevent or punish the criminally responsible subordinate. The separate question of whether – due to proximity or remoteness of control – the superior indeed possessed effective control is a matter of evidence, not of substantive law. Likewise, whether the subordinate is found to have participated in the crimes through intermediaries is immaterial as long as his criminal responsibility is established beyond reasonable doubt.</w:t>
      </w:r>
      <w:r>
        <w:rPr>
          <w:rFonts w:ascii="Times New Roman" w:eastAsia="Times New Roman" w:hAnsi="Times New Roman" w:cs="Times New Roman"/>
          <w:i/>
          <w:iCs/>
          <w:noProof/>
          <w:sz w:val="24"/>
          <w:szCs w:val="24"/>
        </w:rPr>
        <w:drawing>
          <wp:inline distT="0" distB="0" distL="0" distR="0">
            <wp:extent cx="151130" cy="142875"/>
            <wp:effectExtent l="19050" t="0" r="1270" b="0"/>
            <wp:docPr id="440" name="Imagen 4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41. … At a minimum, the actus reus of commission by omission requires an elevated degree of “concrete influence”.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43. … The Appeals Chamber recalls that omission proper may lead to individual </w:t>
      </w:r>
      <w:r w:rsidRPr="004D74E4">
        <w:rPr>
          <w:rFonts w:ascii="Times New Roman" w:eastAsia="Times New Roman" w:hAnsi="Times New Roman" w:cs="Times New Roman"/>
          <w:i/>
          <w:iCs/>
          <w:sz w:val="24"/>
          <w:szCs w:val="24"/>
          <w:lang w:val="en-US"/>
        </w:rPr>
        <w:lastRenderedPageBreak/>
        <w:t>criminal responsibility under Article 7(1) of the [1993 ICTY] Statute where there is a legal duty to act. The Appeals Chamber has never set out the requirements for a conviction for omission in detail. However, at a minimum, the offender’s conduct would have to meet the basic elements of aiding and abetting. Thus, his omission must be directed to assist, encourage or lend moral support to the perpetration of a crime and have a substantial effect upon the perpetration of the crime (actus reus). The aider and abettor must know that his omission assists in the commission of the crime of the principal perpetrator and must be aware of the essential elements of the crime which was ultimately committed by the principal (mens rea).</w:t>
      </w:r>
      <w:r>
        <w:rPr>
          <w:rFonts w:ascii="Times New Roman" w:eastAsia="Times New Roman" w:hAnsi="Times New Roman" w:cs="Times New Roman"/>
          <w:i/>
          <w:iCs/>
          <w:noProof/>
          <w:sz w:val="24"/>
          <w:szCs w:val="24"/>
        </w:rPr>
        <w:drawing>
          <wp:inline distT="0" distB="0" distL="0" distR="0">
            <wp:extent cx="151130" cy="142875"/>
            <wp:effectExtent l="19050" t="0" r="1270" b="0"/>
            <wp:docPr id="441" name="Imagen 4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91. It is well established that the Prosecution must prove effective control beyond reasonable doubt in establishing a superior-subordinate relationship within the meaning of Article 7(3) of the [1993 ICTY] Statute. For that purpose, de jure authority is not synonymous with effective control. Whereas the possession of de jure powers may certainly suggest a material ability to prevent or punish criminal acts of subordinates, it may be neither necessary nor sufficient to prove such ability. If de jure power always results in a presumption of effective control, then the Prosecution would be exempted from its burden to prove effective control beyond reasonable doubt. The Appeals Chamber is therefore unable to agree with the Prosecution’s proposed legal presumption.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92. The Appeals Chamber acknowledges that its jurisprudence might have suggested otherwise, using the terms “presume” or “prima facie evidence of effective control” [Čelebići case, Judgement on Appeal, § 197]. The import of such language has not always been clear. Although in some common law jurisdictions “prima facie evidence” leads by definition to a burden-shifting presumption, the Appeals Chamber underscores that before the International Tribunal the Prosecution still bears the burden of proving beyond reasonable doubt that the accused had effective control over his subordinates. The possession of de jure authority, without more, provides only some evidence of such effective control. Before the International Tribunal there is no such presumption to the detriment of an accused.</w:t>
      </w:r>
      <w:r>
        <w:rPr>
          <w:rFonts w:ascii="Times New Roman" w:eastAsia="Times New Roman" w:hAnsi="Times New Roman" w:cs="Times New Roman"/>
          <w:i/>
          <w:iCs/>
          <w:noProof/>
          <w:sz w:val="24"/>
          <w:szCs w:val="24"/>
        </w:rPr>
        <w:drawing>
          <wp:inline distT="0" distB="0" distL="0" distR="0">
            <wp:extent cx="151130" cy="142875"/>
            <wp:effectExtent l="19050" t="0" r="1270" b="0"/>
            <wp:docPr id="442" name="Imagen 4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Appeals Chamber … recalls its finding in the Halilović Appeal Judgement that the general duty of commanders to take the necessary and reasonable measures is well rooted in customary international law and stems from their position of authority. The Appeals Chamber stresses again that “‘necessary’ measures are the measures appropriate for the superior to discharge his obligation (showing that he genuinely tried to prevent or punish) and ‘reasonable’ measures are those reasonably falling within the material powers of the superior” and that what constitutes “necessary and reasonable” measures to fulfil a commander’s duty is not a matter of substantive law but of evidence. [Halilović case, Judgement on Appeal, § 63] The correct legal standard is solely whether the superior failed to take the necessary and reasonable measures to prevent the criminal act or punish the perpetrator thereof. While this single standard will have to be applied differently in different circumstances, “the artificial distinction between ‘general’ and ‘specific’ obligations creates a confusing and unhelpful dichotomy.” [Halilović case, Judgement on Appeal, § 64].</w:t>
      </w:r>
      <w:r>
        <w:rPr>
          <w:rFonts w:ascii="Times New Roman" w:eastAsia="Times New Roman" w:hAnsi="Times New Roman" w:cs="Times New Roman"/>
          <w:i/>
          <w:iCs/>
          <w:noProof/>
          <w:sz w:val="24"/>
          <w:szCs w:val="24"/>
        </w:rPr>
        <w:drawing>
          <wp:inline distT="0" distB="0" distL="0" distR="0">
            <wp:extent cx="151130" cy="142875"/>
            <wp:effectExtent l="19050" t="0" r="1270" b="0"/>
            <wp:docPr id="443" name="Imagen 4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the Stanišić case before the ICTY in 2005, the accused was charged with crimes against humanity (persecutions, murder, torture, inhumane acts and deportation), punishable under Article 5 of the 1993 ICTY Statute, and violations of the laws or customs of war (murder, torture and cruel treatment), punishable under Article 3 of the 1993 ICTY Statute, for his role in a campaign to “permanently remove and ethnically </w:t>
      </w:r>
      <w:r w:rsidRPr="004D74E4">
        <w:rPr>
          <w:rFonts w:ascii="Times New Roman" w:eastAsia="Times New Roman" w:hAnsi="Times New Roman" w:cs="Times New Roman"/>
          <w:i/>
          <w:iCs/>
          <w:sz w:val="24"/>
          <w:szCs w:val="24"/>
          <w:lang w:val="en-US"/>
        </w:rPr>
        <w:lastRenderedPageBreak/>
        <w:t>cleanse, by force or other means, Bosnian Muslims, Bosnian Croats and other non-Serbs [from areas of Bosnia and Herzegovina]”.</w:t>
      </w:r>
      <w:r>
        <w:rPr>
          <w:rFonts w:ascii="Times New Roman" w:eastAsia="Times New Roman" w:hAnsi="Times New Roman" w:cs="Times New Roman"/>
          <w:i/>
          <w:iCs/>
          <w:noProof/>
          <w:sz w:val="24"/>
          <w:szCs w:val="24"/>
        </w:rPr>
        <w:drawing>
          <wp:inline distT="0" distB="0" distL="0" distR="0">
            <wp:extent cx="151130" cy="142875"/>
            <wp:effectExtent l="19050" t="0" r="1270" b="0"/>
            <wp:docPr id="444" name="Imagen 4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13. Mićo Stanišić while holding the position of superior authority, is … individually criminal responsible for the acts or omissions of his subordinates pursuant to Article 7(3) of the [1993 ICTY Statute]. Mićo Stanišić in his capacity as Minister of Interior exercised de jure and de facto command and control over the members and agents of the RS MUP [Interior Ministry of the Republika Srpska] who participated in the crimes alleged in this indictment.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14. Mićo Stanišić knew or had reason to know that crimes alleged in this indictment were about to be committed or had been committed by his subordinates and he failed to take necessary and reasonable measures to prevent such acts or punish the perpetrators thereof. Mićo Stanišić’s duty included an obligation to investigate and establish the facts of the crime, to put an end to the criminal activity, to impose appropriate punitive measures on the perpetrator, and to take measures to prevent or deter further criminal acts committed by his subordinates.</w:t>
      </w:r>
      <w:r>
        <w:rPr>
          <w:rFonts w:ascii="Times New Roman" w:eastAsia="Times New Roman" w:hAnsi="Times New Roman" w:cs="Times New Roman"/>
          <w:i/>
          <w:iCs/>
          <w:noProof/>
          <w:sz w:val="24"/>
          <w:szCs w:val="24"/>
        </w:rPr>
        <w:drawing>
          <wp:inline distT="0" distB="0" distL="0" distR="0">
            <wp:extent cx="151130" cy="142875"/>
            <wp:effectExtent l="19050" t="0" r="1270" b="0"/>
            <wp:docPr id="445" name="Imagen 4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Boškoski and Tarčulovski case before the ICTY in 2005, the accused, Ljube Boškoski and Johan Tarčulovski, were charged with violations of the laws or customs of war (murder, wanton destruction, cruel treatment), punishable under Article 3 of the 1993 ICTY Statute, for their role in directing an unlawful attack on civilians and civilian objects in the village of Ljuboten.</w:t>
      </w:r>
      <w:r>
        <w:rPr>
          <w:rFonts w:ascii="Times New Roman" w:eastAsia="Times New Roman" w:hAnsi="Times New Roman" w:cs="Times New Roman"/>
          <w:i/>
          <w:iCs/>
          <w:noProof/>
          <w:sz w:val="24"/>
          <w:szCs w:val="24"/>
        </w:rPr>
        <w:drawing>
          <wp:inline distT="0" distB="0" distL="0" distR="0">
            <wp:extent cx="151130" cy="142875"/>
            <wp:effectExtent l="19050" t="0" r="1270" b="0"/>
            <wp:docPr id="446" name="Imagen 4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4D74E4">
        <w:rPr>
          <w:rFonts w:ascii="Times New Roman" w:eastAsia="Times New Roman" w:hAnsi="Times New Roman" w:cs="Times New Roman"/>
          <w:i/>
          <w:iCs/>
          <w:sz w:val="24"/>
          <w:szCs w:val="24"/>
          <w:lang w:val="en-US"/>
        </w:rPr>
        <w:t>Ljube Boškoski is charged with superior responsibility for the acts of regular and reserve police, including special police units, as well as acts committed by prison guards, hospital personnel and civilians as described in the Amended Indictment counts. A superior is responsible for the criminal acts of his subordinates if he knew or had reason to know that his subordinates were about to commit such acts or had done so, and the superior failed to take the necessary and reasonable measures to prevent such acts or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447" name="Imagen 4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[I]t is clear that in the context of Article 7(3) [of the 1993 ICTY Statute] and, in particular, in the case of a superior who does not have personal power to punish subordinates, such as political leaders, what is required is that there be a report to the competent authorities which is likely to give rise to an investigation or the initiation of appropriate proceedings. The superior’s responsibility is to take active steps to ensure that offenders will be punished.</w:t>
      </w:r>
      <w:r>
        <w:rPr>
          <w:rFonts w:ascii="Times New Roman" w:eastAsia="Times New Roman" w:hAnsi="Times New Roman" w:cs="Times New Roman"/>
          <w:i/>
          <w:iCs/>
          <w:noProof/>
          <w:sz w:val="24"/>
          <w:szCs w:val="24"/>
        </w:rPr>
        <w:drawing>
          <wp:inline distT="0" distB="0" distL="0" distR="0">
            <wp:extent cx="151130" cy="142875"/>
            <wp:effectExtent l="19050" t="0" r="1270" b="0"/>
            <wp:docPr id="448" name="Imagen 4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Prlić case before the ICTY in 2005, the accused were charged with grave breaches of the 1949 Geneva Conventions and violations of the laws or customs of war, for their role in a campaign to</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politically and militarily subjugate, permanently remove and ethnically cleanse Bosnian Muslims and other non-Croats who lived in areas on the territory of the Republic of Bosnia and Herzegovina which were claimed to be part of the Croatian Community (and later Republic) of Herceg-Bosna, and to join these areas as part of a “Greater Croatia” … by force, fear or threat of force, persecution, imprisonment and detention, forcible transfer and deportation, appropriation and destruction of property and other means … punishable under Articles 2, 3, and 5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449" name="Imagen 4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[E]ach of the accused is criminally responsible as a superior official or officer for the criminal acts or omissions of subordinates or other persons about or over whom he had effective de jure and/or de facto control, where he knew or had reason to know that such persons were about to commit or had committed such acts or omissions and failed to take necessary and reasonable measures to prevent such acts or omissions or punish such persons. Each of the accused acted as a superior over or through other persons or subordinates about whom he exercised, or could have exercised, effective control who </w:t>
      </w:r>
      <w:r w:rsidRPr="004D74E4">
        <w:rPr>
          <w:rFonts w:ascii="Times New Roman" w:eastAsia="Times New Roman" w:hAnsi="Times New Roman" w:cs="Times New Roman"/>
          <w:i/>
          <w:iCs/>
          <w:sz w:val="24"/>
          <w:szCs w:val="24"/>
          <w:lang w:val="en-US"/>
        </w:rPr>
        <w:lastRenderedPageBreak/>
        <w:t>were involved in the commission of crimes charged in this indictment, and knew or had reason to know that one or more such persons was about to commit or had committed such acts or omissions and failed to take necessary and reasonable measures to prevent such acts or punish, remove or discipline such persons.</w:t>
      </w:r>
      <w:r>
        <w:rPr>
          <w:rFonts w:ascii="Times New Roman" w:eastAsia="Times New Roman" w:hAnsi="Times New Roman" w:cs="Times New Roman"/>
          <w:i/>
          <w:iCs/>
          <w:noProof/>
          <w:sz w:val="24"/>
          <w:szCs w:val="24"/>
        </w:rPr>
        <w:drawing>
          <wp:inline distT="0" distB="0" distL="0" distR="0">
            <wp:extent cx="151130" cy="142875"/>
            <wp:effectExtent l="19050" t="0" r="1270" b="0"/>
            <wp:docPr id="450" name="Imagen 4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In its judgment in the Limaj case in 2005, the ICTY Trial Chamber reaffirmed that: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principle of individual criminal responsibility of superiors for failure to prevent or to punish crimes committed by subordinates is an established principle of international customary law, applicable to both international and internal armed conflicts.</w:t>
      </w:r>
      <w:r>
        <w:rPr>
          <w:rFonts w:ascii="Times New Roman" w:eastAsia="Times New Roman" w:hAnsi="Times New Roman" w:cs="Times New Roman"/>
          <w:i/>
          <w:iCs/>
          <w:noProof/>
          <w:sz w:val="24"/>
          <w:szCs w:val="24"/>
        </w:rPr>
        <w:drawing>
          <wp:inline distT="0" distB="0" distL="0" distR="0">
            <wp:extent cx="151130" cy="142875"/>
            <wp:effectExtent l="19050" t="0" r="1270" b="0"/>
            <wp:docPr id="451" name="Imagen 4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520. It has been held that three elements need to be satisfied in order to invoke individual criminal responsibility under Article 7(3) [of the 1993 ICTY Statute]: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 the existence of a superior-subordinate relationship;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 the superior knew or had reason to know that the criminal act was about to be or had been committed; and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failed to take the necessary and reasonable measures to prevent the criminal act or punish the perpetrator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(a) </w:t>
      </w:r>
      <w:r w:rsidRPr="004D74E4">
        <w:rPr>
          <w:rFonts w:ascii="Times New Roman" w:eastAsia="Times New Roman" w:hAnsi="Times New Roman" w:cs="Times New Roman"/>
          <w:i/>
          <w:iCs/>
          <w:sz w:val="24"/>
          <w:szCs w:val="24"/>
          <w:u w:val="single"/>
          <w:lang w:val="en-US"/>
        </w:rPr>
        <w:t>Superior-subordinate relationship</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521. The superior-subordinate relationship lies in the very heart of the doctrine of a commander’s liability for the crimes committed by his subordinates. It is the position of command over and the power to control the acts of the perpetrator which forms the legal basis for the superior’s duty to act, and for his corollary liability for a failure to do so.</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522. The existence of the position of command may arise from the formal or de jure status of a superior, or from the existence of de facto powers of control. It derives essentially from the “actual possession or non-possession of powers of control over the actions of subordinates.” In determining the degree of control to be exercised by the superior over the subordinate, the Appeals Chamber endorsed the effective control standard, as the material ability to prevent or punish criminal conduct. The existence of a superior-subordinate relationship does “not […] import a requirement of direct or formal subordination”. Likewise, there is no requirement that the relationship between the superior and the subordinate be permanent in nature. Further, the Chamber recalls that “the test of effective control […] implies that more than one person may be held responsible for the same crime committed by a subordinate.”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(b) </w:t>
      </w:r>
      <w:r w:rsidRPr="004D74E4">
        <w:rPr>
          <w:rFonts w:ascii="Times New Roman" w:eastAsia="Times New Roman" w:hAnsi="Times New Roman" w:cs="Times New Roman"/>
          <w:i/>
          <w:iCs/>
          <w:sz w:val="24"/>
          <w:szCs w:val="24"/>
          <w:u w:val="single"/>
          <w:lang w:val="en-US"/>
        </w:rPr>
        <w:t>Mental element: the superior knew or had reason to know</w:t>
      </w:r>
      <w:r w:rsidRPr="006155D3">
        <w:rPr>
          <w:rFonts w:ascii="Times New Roman" w:eastAsia="Times New Roman" w:hAnsi="Times New Roman" w:cs="Times New Roman"/>
          <w:i/>
          <w:iCs/>
          <w:sz w:val="24"/>
          <w:szCs w:val="24"/>
          <w:u w:val="single"/>
          <w:lang w:val="en-US"/>
        </w:rPr>
        <w:br/>
      </w:r>
      <w:r w:rsidRPr="004D74E4">
        <w:rPr>
          <w:rFonts w:ascii="Times New Roman" w:eastAsia="Times New Roman" w:hAnsi="Times New Roman" w:cs="Times New Roman"/>
          <w:i/>
          <w:iCs/>
          <w:sz w:val="24"/>
          <w:szCs w:val="24"/>
          <w:lang w:val="en-US"/>
        </w:rPr>
        <w:t>523. For a superior to be held responsible under Article 7(3) of the [1993 ICTY] Statu[t]e for crimes committed by a subordinate, it must be established that he knew or had reason to know that the subordinate was about to commit or had committed such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524. While a superior’s actual knowledge that his subordinates were committing or were about to commit a crime cannot be presumed, it may be established by circumstantial evidence, including the number, type and scope of illegal acts, time during which the illegal acts occurred, number and types of troops and logistics involved, geographical location, whether the occurrence of the acts is widespread, tactical tempo of operations, modus operandi of similar illegal acts, officers and staff involved, and location of the commander at the time.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525. In determining whether a superior “had reason to know” that his subordinates were committing or about to commit a crime, it must be shown that specific information was in fact available to him which would have provided notice of offences committed or about to be committed by his subordinates. The information must in fact be available to the superior who may not be held liable for failing to acquire such information in the first place. However the information in fact available need not be such that, by itself, it </w:t>
      </w:r>
      <w:r w:rsidRPr="004D74E4">
        <w:rPr>
          <w:rFonts w:ascii="Times New Roman" w:eastAsia="Times New Roman" w:hAnsi="Times New Roman" w:cs="Times New Roman"/>
          <w:i/>
          <w:iCs/>
          <w:sz w:val="24"/>
          <w:szCs w:val="24"/>
          <w:lang w:val="en-US"/>
        </w:rPr>
        <w:lastRenderedPageBreak/>
        <w:t>was sufficient to compel the conclusion of the existence of such crimes. It is sufficient that the superior be in possession of sufficient information, even general in nature, to be on notice of the likelihood of illegal acts by his subordinates, i.e., so as to justify further inquiry in order to ascertain whether such acts were indeed being or about to be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(c) </w:t>
      </w:r>
      <w:r w:rsidRPr="004D74E4">
        <w:rPr>
          <w:rFonts w:ascii="Times New Roman" w:eastAsia="Times New Roman" w:hAnsi="Times New Roman" w:cs="Times New Roman"/>
          <w:i/>
          <w:iCs/>
          <w:sz w:val="24"/>
          <w:szCs w:val="24"/>
          <w:u w:val="single"/>
          <w:lang w:val="en-US"/>
        </w:rPr>
        <w:t>Necessary and reasonable measures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526. The question of whether a superior has failed to take the necessary and reasonable measures to prevent the commission of a crime or punish the perpetrators thereof is connected to his possession of effective control. A superior will be held responsible if he failed to take such measures that are within his material ability. Whether the superior had explicit legal capacity to do so is immaterial provided that he had the material ability to act.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527. Under Article 7(3), the superior has a duty both to prevent the commission of the offence and punish the perpetrators. These are not alternative obligations. The duty to prevent arises from the time a superior acquires knowledge, or has reasons to know that a crime is being or is about to be committed, while the duty to punish arises after the superior acquires knowledge of the commission of the crime. A superior must act from the moment that he acquires such knowledge. His obligations to prevent will not be met by simply waiting and punishing afterwards.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528. Whether a superior has discharged his duty to prevent the commission of a crime will depend on his material ability to intervene in a specific situation. Factors which may be taken into account in making that determination include the superior’s failure to secure reports that military actions have been carried out in accordance with international law, the failure to issue orders aiming at bringing the relevant practices into accord with the rules of war, the failure to protest against or to criticize criminal action, the failure to take disciplinary measures to prevent the commission of atrocities by the troops under the superior’s command, and the failure to insist before a superior authority that immediate action be taken.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529. A superior’s duty to punish the perpetrators of a crime encompasses the obligation to conduct an effective investigation with a view to establishing the facts. The obligation on the part of the superior is to take active steps to ensure that the perpetrators will be punished. To that end, the superior may exercise his own powers of sanction, or if he lacks such powers, report the perpetrators to the competent authorities.</w:t>
      </w:r>
      <w:r>
        <w:rPr>
          <w:rFonts w:ascii="Times New Roman" w:eastAsia="Times New Roman" w:hAnsi="Times New Roman" w:cs="Times New Roman"/>
          <w:i/>
          <w:iCs/>
          <w:noProof/>
          <w:sz w:val="24"/>
          <w:szCs w:val="24"/>
        </w:rPr>
        <w:drawing>
          <wp:inline distT="0" distB="0" distL="0" distR="0">
            <wp:extent cx="151130" cy="142875"/>
            <wp:effectExtent l="19050" t="0" r="1270" b="0"/>
            <wp:docPr id="452" name="Imagen 4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Čermak and Markač case before the ICTY in 2005, the accused were charged with crimes against humanity (persecution, deportation, inhumane acts and murder) and violations of the laws or customs of war (plunder, wanton destruction, murder and cruel treatment) for their alleged role in a campaign to permanently remove the Serb population from the Krajina region of Croatia.</w:t>
      </w:r>
      <w:r>
        <w:rPr>
          <w:rFonts w:ascii="Times New Roman" w:eastAsia="Times New Roman" w:hAnsi="Times New Roman" w:cs="Times New Roman"/>
          <w:i/>
          <w:iCs/>
          <w:noProof/>
          <w:sz w:val="24"/>
          <w:szCs w:val="24"/>
        </w:rPr>
        <w:drawing>
          <wp:inline distT="0" distB="0" distL="0" distR="0">
            <wp:extent cx="151130" cy="142875"/>
            <wp:effectExtent l="19050" t="0" r="1270" b="0"/>
            <wp:docPr id="453" name="Imagen 4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40. [… E]ach accused is charged with and criminally responsible for the criminal acts and/or omissions of his subordinates which he knowingly failed to prevent or punish. Each accused was a superior to subordinates over whom he possessed effective control (that is, the material ability to prevent or punish), who were involved in the commission of crimes charged in this indictment. Each accused knew and/or had reason to know that one or more such subordinates was about to commit or had committed such crimes and failed to take necessary and reasonable measures to prevent such crimes or punish, remove or discipline such persons.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41. Each accused knew and/or had reason to know of the crimes charged in this indictment, which were about to be or had been committed by his subordinates, by and through various means, including but not limited to: (a) the exercise of command functions over and concerning his subordinates, including their receipt of reports and </w:t>
      </w:r>
      <w:r w:rsidRPr="004D74E4">
        <w:rPr>
          <w:rFonts w:ascii="Times New Roman" w:eastAsia="Times New Roman" w:hAnsi="Times New Roman" w:cs="Times New Roman"/>
          <w:i/>
          <w:iCs/>
          <w:sz w:val="24"/>
          <w:szCs w:val="24"/>
          <w:lang w:val="en-US"/>
        </w:rPr>
        <w:lastRenderedPageBreak/>
        <w:t>information in the course of these functions; (b) the operation of headquarters and field communication systems; (c) their personal presence, involvement and observations in various operations in the Krajina region during the time covered by this indictment; (d) knowledge and information concerning the conduct of various Croatian forces and Special Police in previous, ongoing and similar operations; (e) media reports of crimes and suspected crimes; and (f) communications and meetings with members and representatives of the international community (including UN monitors and others), non-governmental organisations and media.</w:t>
      </w:r>
      <w:r>
        <w:rPr>
          <w:rFonts w:ascii="Times New Roman" w:eastAsia="Times New Roman" w:hAnsi="Times New Roman" w:cs="Times New Roman"/>
          <w:i/>
          <w:iCs/>
          <w:noProof/>
          <w:sz w:val="24"/>
          <w:szCs w:val="24"/>
        </w:rPr>
        <w:drawing>
          <wp:inline distT="0" distB="0" distL="0" distR="0">
            <wp:extent cx="151130" cy="142875"/>
            <wp:effectExtent l="19050" t="0" r="1270" b="0"/>
            <wp:docPr id="454" name="Imagen 4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Rašević case before the ICTY in 2006, the accused, Mitar Rašević, commander of the guards at Kazneno-Popravni Dom (“KP Dom”, a detention centre in Foča, Bosnia and Herzegovina) until at least October 1994, and Savo Todović, deputy commander of the KP Dom until at least August 1994, were charged with several counts of violations of the laws or customs of war, punishable under Article 3 of the 1993 ICTY Statute, and crimes against humanity, punishable under Article 5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455" name="Imagen 4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accused Rašević], while holding the position of commander of the prison guards and [the accused Todović], while holding the position of deputy commander of the KP Dom from 20 April 1992 until 9 August 1993, are also, or alternatively, criminally responsible as superiors for the acts of their subordinates pursuant to Article 7(3) of the [1993 ICTY Statute]. A superior is responsible for the criminal acts of his subordinates if he knew or had reason to know that his subordinates were about to commit such acts or had done so and the superior fa iled to take necessary and reasonable measures to prevent such acts or to punish the perpetrators.</w:t>
      </w:r>
      <w:r>
        <w:rPr>
          <w:rFonts w:ascii="Times New Roman" w:eastAsia="Times New Roman" w:hAnsi="Times New Roman" w:cs="Times New Roman"/>
          <w:i/>
          <w:iCs/>
          <w:noProof/>
          <w:sz w:val="24"/>
          <w:szCs w:val="24"/>
        </w:rPr>
        <w:drawing>
          <wp:inline distT="0" distB="0" distL="0" distR="0">
            <wp:extent cx="151130" cy="142875"/>
            <wp:effectExtent l="19050" t="0" r="1270" b="0"/>
            <wp:docPr id="456" name="Imagen 4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Delić case before the ICTY in 2006, the accused, a former commander of the Army of the Republic of Bosnia and Herzegovina (ARBiH), was charged with murder, cruel treatment and rape as violations of the laws or customs of war pursuant to Articles 3 and 7(3)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457" name="Imagen 4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4D74E4">
        <w:rPr>
          <w:rFonts w:ascii="Times New Roman" w:eastAsia="Times New Roman" w:hAnsi="Times New Roman" w:cs="Times New Roman"/>
          <w:i/>
          <w:iCs/>
          <w:sz w:val="24"/>
          <w:szCs w:val="24"/>
          <w:lang w:val="en-US"/>
        </w:rPr>
        <w:t xml:space="preserve">19. Rasim Delić, while holding the position of Commander of the ARBiH … is criminally responsible for the acts or omissions of his subordinates, pursuant to Article 7(3) of the [1993 ICTY Statute]. A superior is responsible for the acts or omissions of his subordinate(s) if he knew or had reason to know that his subordinate(s) were about to commit such acts or had done so and the superior failed to take the necessary and reasonable measures to prevent such acts or to punish the perpetrators thereof.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20. Rasim Delić, as Commander of the Main Staff, exercised de jure and de facto command and control over the ARBiH forces that participated in the crimes alleged in this Indictment. Rasim Delić knew or had reason to know that the crimes alleged in this Indictment were about to be committed or had been committed by his subordinates and he failed to take the necessary and reasonable measures to prevent such acts or punish the perpetrators thereof. The duty of Rasim Delić to punish included an obligation to investigate and establish the facts of the crimes alleged in this Indictment, to put an end to the criminal activity, to impose appropriate punitive measures and to report the crimes to competent authorities. Rasim Delić knew that by failing to prevent or punish breaches of international humanitarian law, he would be personally liable for such breaches of the said law.</w:t>
      </w:r>
      <w:r>
        <w:rPr>
          <w:rFonts w:ascii="Times New Roman" w:eastAsia="Times New Roman" w:hAnsi="Times New Roman" w:cs="Times New Roman"/>
          <w:i/>
          <w:iCs/>
          <w:noProof/>
          <w:sz w:val="24"/>
          <w:szCs w:val="24"/>
        </w:rPr>
        <w:drawing>
          <wp:inline distT="0" distB="0" distL="0" distR="0">
            <wp:extent cx="151130" cy="142875"/>
            <wp:effectExtent l="19050" t="0" r="1270" b="0"/>
            <wp:docPr id="458" name="Imagen 4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From the wording of Article 7(3) [of the 1993 ICTY Statute] it is clear that the duty to prevent attaches where the subordinate “was about to commit such acts”, but before the actual offence was committed. Thus, the duty to prevent crimes rests on a superior at any stage before the commission of a crime by a subordinate if the superior acquires knowledge, or has reason to know, that the crime is about to be committed.</w:t>
      </w:r>
      <w:r>
        <w:rPr>
          <w:rFonts w:ascii="Times New Roman" w:eastAsia="Times New Roman" w:hAnsi="Times New Roman" w:cs="Times New Roman"/>
          <w:i/>
          <w:iCs/>
          <w:noProof/>
          <w:sz w:val="24"/>
          <w:szCs w:val="24"/>
        </w:rPr>
        <w:drawing>
          <wp:inline distT="0" distB="0" distL="0" distR="0">
            <wp:extent cx="151130" cy="142875"/>
            <wp:effectExtent l="19050" t="0" r="1270" b="0"/>
            <wp:docPr id="459" name="Imagen 4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 in original omitted;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lastRenderedPageBreak/>
        <w:t>In the Dragomir Milošević case before the ICTY in 2006, the accused was charged with: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crimes […] committed by his subordinates which he knew or had reason to know about and failed to take reasonable and necessary measures to prevent or punish. As Commander of the Sarajevo Romanija Corps, Dragomir Milošević was a superior to subordinates over whom he possessed effective control (that is, the material ability to prevent or punish) who were involved in the commission of crimes charged in this Indictment. He knew and/or had reason to know that one or more of his subordinates were about to commit or had committed such crimes through various means, including but not limited to: a) written or verbal protests from representatives of the UN and, via the UN, from the representatives of the Republic of Bosnia-Herzegovina Army (ABiH); b) media reports of crimes and suspected crimes; c) the exercise of command functions in relation to his subordinates, including receiving reports and information about his subordinates and their activities. Dragomir Milošević failed to take necessary and reasonable measures to prevent such crimes or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60" name="Imagen 4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The accused in the Gotovina case before the ICTY in 2007 allegedly were part of an operation to remove the Serb population from the Krajina region. In the Joinder Indictment, the Prosecutor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47. Pursuant to Article 7(3) [of the 1993 ICTY Statute], each accused is charged with and criminally responsible for the criminal acts and/or omissions of his subordinates which he knowingly failed to prevent or punish. Each accused was a superior to subordinates over whom he possessed effective control (that is, the material ability to prevent or punish), who were involved in the commission of crimes charged in this Joinder Indictment. Each accused knew and/or had reason to know that one or more such subordinates was about to commit or had committed such crimes and failed to take necessary and reasonable measures to prevent such crimes or punish the perpetrators thereof.</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48. Each accused knew and/or had reason to know of the crimes charged in this Joinder Indictment, which were about to be or had been committed by his subordinates, by and through various means, including but not limited to: (a) the exercise of command functions over and concerning his subordinates, including their receipt of reports and information in the course of these functions; (b) the operation of headquarters and field communication systems; (c) their personal presence, involvement and observations in various operations in the Krajina region during the time covered by this Joinder Indictment; (d) knowledge and information concerning the conduct of various Croatian forces in previous, ongoing and similar operations; (e) media reports of crimes and suspected crimes; and (f) communications and meetings with members and representatives of the international community, namely, the United nations monitors and other non-governmental organisations and media.</w:t>
      </w:r>
      <w:r>
        <w:rPr>
          <w:rFonts w:ascii="Times New Roman" w:eastAsia="Times New Roman" w:hAnsi="Times New Roman" w:cs="Times New Roman"/>
          <w:i/>
          <w:iCs/>
          <w:noProof/>
          <w:sz w:val="24"/>
          <w:szCs w:val="24"/>
        </w:rPr>
        <w:drawing>
          <wp:inline distT="0" distB="0" distL="0" distR="0">
            <wp:extent cx="151130" cy="142875"/>
            <wp:effectExtent l="19050" t="0" r="1270" b="0"/>
            <wp:docPr id="461" name="Imagen 4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Milutinović case, the accused were charged with violations of the laws or customs of war and crimes against humanity as members of a joint criminal enterprise to, amongst other things, modify the ethnic balance in Kosovo to ensure Serbian control of the province through a campaign of terror and violence directed at the Kosovo Albanian population. In its judgment in 2009, the Trial Chamber considered the nature of a superior’s responsibility to prevent and punish the commission of crimes by his or her subordinates under Article 7(3) of the 1993 ICTY Statute, stating: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The duty to prevent and the duty to punish are distinct and separate responsibilities under international law, and an omission to carry out either duty may give rise to its own charge in an indictment. An accused superior cannot make up for his failure to prevent the commission of a crime or underlying offence simply by punishing the </w:t>
      </w:r>
      <w:r w:rsidRPr="004D74E4">
        <w:rPr>
          <w:rFonts w:ascii="Times New Roman" w:eastAsia="Times New Roman" w:hAnsi="Times New Roman" w:cs="Times New Roman"/>
          <w:i/>
          <w:iCs/>
          <w:sz w:val="24"/>
          <w:szCs w:val="24"/>
          <w:lang w:val="en-US"/>
        </w:rPr>
        <w:lastRenderedPageBreak/>
        <w:t>perpetrators afterwards. In other words, even if the superior discharges his legal obligation to punish the perpetrators, he may still be convicted in respect of the crimes or underlying offences that they committed because he failed to prevent such commission in the first place. Notwithstanding the status of the failure to prevent and the failure to punish as separate forms of responsibility, the majority of the requirements for liability under these two forms are identical, including that there must have existed a superior-subordinate relationship, that the accused must have known or had reason to know of subordinate crimes or underlying offences, and that the accused must have failed to take measures that were necessary and reasonable.</w:t>
      </w:r>
      <w:r>
        <w:rPr>
          <w:rFonts w:ascii="Times New Roman" w:eastAsia="Times New Roman" w:hAnsi="Times New Roman" w:cs="Times New Roman"/>
          <w:i/>
          <w:iCs/>
          <w:noProof/>
          <w:sz w:val="24"/>
          <w:szCs w:val="24"/>
        </w:rPr>
        <w:drawing>
          <wp:inline distT="0" distB="0" distL="0" distR="0">
            <wp:extent cx="151130" cy="142875"/>
            <wp:effectExtent l="19050" t="0" r="1270" b="0"/>
            <wp:docPr id="462" name="Imagen 4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An accused has “reason to know” if he has information available to him putting him on notice of the need for additional investigation, in order to ascertain whether his subordinates were about to engage, were engaging, or had engaged in conduct constituting a crime or underlying offence under the Statute of the Tribunal. This information does not need to be specific; if a military commander, for example, has received information that some of the soldiers under his command have a violent or unstable character, or have been drinking prior to being sent on a mission, he may be considered as having the requisite knowledge. It is not required that he actually acquainted himself with such information: it suffices that such information was available to him. Trial Chambers have held that a stricter test should be applied to non-military superiors than to military superiors in this regard, but this Chamber adheres to the approach of the Appeals Chamber in Čelebići, which did not distinguish between the two categories of superior. Furthermore, if an accused deliberately refrains from obtaining further information, despite having the means to do so, he may be considered to have had “reason to know”. However, the accused’s duty to investigate further only arises from the time at which admonitory information becomes available to him, and a failure to seek out such information in the first place will not, on its own, trigger liability under Article 7(3) [of the 1993 ICTY Statute].</w:t>
      </w:r>
      <w:r>
        <w:rPr>
          <w:rFonts w:ascii="Times New Roman" w:eastAsia="Times New Roman" w:hAnsi="Times New Roman" w:cs="Times New Roman"/>
          <w:i/>
          <w:iCs/>
          <w:noProof/>
          <w:sz w:val="24"/>
          <w:szCs w:val="24"/>
        </w:rPr>
        <w:drawing>
          <wp:inline distT="0" distB="0" distL="0" distR="0">
            <wp:extent cx="151130" cy="142875"/>
            <wp:effectExtent l="19050" t="0" r="1270" b="0"/>
            <wp:docPr id="463" name="Imagen 4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Popović case, which dealt with crimes involving the deaths of approximately 8,000 Muslim men in or around Srebrenica beginning in July 1995, each of the seven accused was charged with violations of the laws or customs of war and with crimes against humanity for crimes that included, inter alia, murder and extermination. In addition, five of the seven accused were also charged with genocide and conspiracy to commit genocide. In its judgment in the case in 2010, the ICTY Trial Chamber considered the conditions required to show effective control, an element of superior responsibility under Article 7(3) of the 1993 ICTY Statute, stating: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2022. The jurisprudence of the Tribunal places emphasis on the existence of effective control to establish superior responsibility under Article 7(3) of the [1993 ICTY] Statute. The Trial Chamber notes that effective control is assessed in this context in order to determine the existence of a superior-subordinate relationship between the relevant individuals. As the Appeals Chamber has held, “[t]he basis of the superior-subordinate relationship is the power of the superior to control the actions of his subordinates.” [Kordić and Čerkez case, Judgement on Appeal, § 840]</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2023. Thus, the test of effective control relates to the relationship between the individuals and is not limited to a consideration of whether actual control is being exercised at any given moment. Otherwise the responsibility would be significantly narrowed – restricted to those who were in control and not reaching those who could have taken that control to prevent these crimes or punish them. Thus, in assessing effective control for these purposes, the issue is not whether the superior was in </w:t>
      </w:r>
      <w:r w:rsidRPr="004D74E4">
        <w:rPr>
          <w:rFonts w:ascii="Times New Roman" w:eastAsia="Times New Roman" w:hAnsi="Times New Roman" w:cs="Times New Roman"/>
          <w:i/>
          <w:iCs/>
          <w:sz w:val="24"/>
          <w:szCs w:val="24"/>
          <w:lang w:val="en-US"/>
        </w:rPr>
        <w:lastRenderedPageBreak/>
        <w:t>command or exercising control at any given moment but rather whether he or she had the material ability to prevent or punish the perpetrators of the crimes. It is this ability that evidences a superior-subordinate relationship. As stated by the Appeals Chamber even more specifically, “it is necessary that the superior have effective control over the persons committing the underlying violations of international humanitarian law, in the sense of having the material ability to prevent and punish the commission of these offences.” [Čelebići case, Judgement, § 378]</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2024. In addition, the Trial Chamber notes that while the three components – superior-subordinate relationship; knowledge or reason to know; and failure to take measures – should be considered individually, there are factors that may be relevant to all of these. The physical location of a superior, responsibilities at the time, the information flow, and communication facilities with subordinates are all considerations which may affect the ability to control, knowledge and what is a reasonable measure available at the critical time. However, in considering such factors in relation to effective control, the issue is not solely whether these factors affect the ability to control, but rather whether they did so in a manner or to such an extent so as to alter an existing superior or subordinate relationship between the relevant parties.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2025. It is also necessary to distinguish the military concept of the “singleness of command” from the assessment of effective control. For the proper functioning of an army, there can be only one individual in command of any particular unit at one time. However, as the test for the superior-subordinate relationship rests on the ability to effectively control – as opposed to the exercise of that control – there is no exclusivity to a determination of effective control. It is clear from the jurisprudence that the superior-subordinate relationship may be direct or indirect. Thus “what is required is the establishment of the superior’s effective control over the subordinate, whether that subordinate is immediately answerable to that superior or more remotely under his command”. [Halilović case, Judgement, § 63] Similarly, in Strugar it was recognized that the test of effective control implies that “more than one person may be held responsible for the same crime committed by a subordinate.” [Strugar case, Judgement, § 365] Clearly, therefore, effective control is not limited at any point in time to one individual.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2026. In addition, given the underlying purpose of the law relating to superior responsibility, a superior cannot rely on a principle of singleness of command, designed to ensure army efficiency, in order to escape responsibilities which relate to the suppression of the gravest of crimes. In essence, for it to be effective, that responsibility cannot be reserved exclusively for those who were exercising control or were “in command” and thereby could prevent or punish, but must also extend to those who had the material ability to do so.</w:t>
      </w:r>
      <w:r>
        <w:rPr>
          <w:rFonts w:ascii="Times New Roman" w:eastAsia="Times New Roman" w:hAnsi="Times New Roman" w:cs="Times New Roman"/>
          <w:i/>
          <w:iCs/>
          <w:noProof/>
          <w:sz w:val="24"/>
          <w:szCs w:val="24"/>
        </w:rPr>
        <w:drawing>
          <wp:inline distT="0" distB="0" distL="0" distR="0">
            <wp:extent cx="151130" cy="142875"/>
            <wp:effectExtent l="19050" t="0" r="1270" b="0"/>
            <wp:docPr id="464" name="Imagen 4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Special Court for Sierra Leone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indictment in the Bockarie case before the SCSL in 2003, the Prosecution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[P]ursuant to Article 6.3. of the [2002 Statute of the Special Court for Sierra Leone], [the accused], while holding positions of superior responsibility and exercising command and control over his subordinates, is individually criminally responsible for the crimes referred to in Articles 2, 3 and 4 of the Statute. The </w:t>
      </w:r>
      <w:r w:rsidRPr="004D74E4">
        <w:rPr>
          <w:rFonts w:ascii="Times New Roman" w:eastAsia="Times New Roman" w:hAnsi="Times New Roman" w:cs="Times New Roman"/>
          <w:b/>
          <w:bCs/>
          <w:i/>
          <w:iCs/>
          <w:sz w:val="24"/>
          <w:szCs w:val="24"/>
          <w:lang w:val="en-US"/>
        </w:rPr>
        <w:t>ACCUSED</w:t>
      </w:r>
      <w:r w:rsidRPr="004D74E4">
        <w:rPr>
          <w:rFonts w:ascii="Times New Roman" w:eastAsia="Times New Roman" w:hAnsi="Times New Roman" w:cs="Times New Roman"/>
          <w:i/>
          <w:iCs/>
          <w:sz w:val="24"/>
          <w:szCs w:val="24"/>
          <w:lang w:val="en-US"/>
        </w:rPr>
        <w:t xml:space="preserve"> is responsible for the criminal acts of his subordinates in that he knew or had reason to know that the subordinate was about to commit such acts or had done so and the </w:t>
      </w:r>
      <w:r w:rsidRPr="004D74E4">
        <w:rPr>
          <w:rFonts w:ascii="Times New Roman" w:eastAsia="Times New Roman" w:hAnsi="Times New Roman" w:cs="Times New Roman"/>
          <w:b/>
          <w:bCs/>
          <w:i/>
          <w:iCs/>
          <w:sz w:val="24"/>
          <w:szCs w:val="24"/>
          <w:lang w:val="en-US"/>
        </w:rPr>
        <w:t>ACCUSED</w:t>
      </w:r>
      <w:r w:rsidRPr="004D74E4">
        <w:rPr>
          <w:rFonts w:ascii="Times New Roman" w:eastAsia="Times New Roman" w:hAnsi="Times New Roman" w:cs="Times New Roman"/>
          <w:i/>
          <w:iCs/>
          <w:sz w:val="24"/>
          <w:szCs w:val="24"/>
          <w:lang w:val="en-US"/>
        </w:rPr>
        <w:t xml:space="preserve">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65" name="Imagen 4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indictment in the Koroma case before the SCSL in 2003, the Prosecution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In addition, or alternatively, pursuant to Article 6.3. of the [2002 Statute of the Special </w:t>
      </w:r>
      <w:r w:rsidRPr="004D74E4">
        <w:rPr>
          <w:rFonts w:ascii="Times New Roman" w:eastAsia="Times New Roman" w:hAnsi="Times New Roman" w:cs="Times New Roman"/>
          <w:i/>
          <w:iCs/>
          <w:sz w:val="24"/>
          <w:szCs w:val="24"/>
          <w:lang w:val="en-US"/>
        </w:rPr>
        <w:lastRenderedPageBreak/>
        <w:t xml:space="preserve">Court for Sierra Leone], [the accused], while holding positions of superior responsibility and exercising command and control over his subordinates, is individually criminally responsible for the crimes referred to in Articles 2, 3 and 4 of the Statute. The </w:t>
      </w:r>
      <w:r w:rsidRPr="004D74E4">
        <w:rPr>
          <w:rFonts w:ascii="Times New Roman" w:eastAsia="Times New Roman" w:hAnsi="Times New Roman" w:cs="Times New Roman"/>
          <w:b/>
          <w:bCs/>
          <w:i/>
          <w:iCs/>
          <w:sz w:val="24"/>
          <w:szCs w:val="24"/>
          <w:lang w:val="en-US"/>
        </w:rPr>
        <w:t>ACCUSED</w:t>
      </w:r>
      <w:r w:rsidRPr="004D74E4">
        <w:rPr>
          <w:rFonts w:ascii="Times New Roman" w:eastAsia="Times New Roman" w:hAnsi="Times New Roman" w:cs="Times New Roman"/>
          <w:i/>
          <w:iCs/>
          <w:sz w:val="24"/>
          <w:szCs w:val="24"/>
          <w:lang w:val="en-US"/>
        </w:rPr>
        <w:t xml:space="preserve"> is responsible for the criminal acts of his subordinates in that he knew or had reason to know that the subordinate was about to commit such acts or had done so and the </w:t>
      </w:r>
      <w:r w:rsidRPr="004D74E4">
        <w:rPr>
          <w:rFonts w:ascii="Times New Roman" w:eastAsia="Times New Roman" w:hAnsi="Times New Roman" w:cs="Times New Roman"/>
          <w:b/>
          <w:bCs/>
          <w:i/>
          <w:iCs/>
          <w:sz w:val="24"/>
          <w:szCs w:val="24"/>
          <w:lang w:val="en-US"/>
        </w:rPr>
        <w:t>ACCUSED</w:t>
      </w:r>
      <w:r w:rsidRPr="004D74E4">
        <w:rPr>
          <w:rFonts w:ascii="Times New Roman" w:eastAsia="Times New Roman" w:hAnsi="Times New Roman" w:cs="Times New Roman"/>
          <w:i/>
          <w:iCs/>
          <w:sz w:val="24"/>
          <w:szCs w:val="24"/>
          <w:lang w:val="en-US"/>
        </w:rPr>
        <w:t xml:space="preserve">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66" name="Imagen 4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indictment in the Sankoh case before the SCSL in 2003, the Prosecution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[P]ursuant to Article 6.3. of the [2002 Statute of the Special Court for Sierra Leone], [the accused], while holding positions of superior responsibility and exercising command and control over his subordinates, is individually criminally responsible for the crimes referred to in Articles 2, 3 and 4 of the Statute. The </w:t>
      </w:r>
      <w:r w:rsidRPr="004D74E4">
        <w:rPr>
          <w:rFonts w:ascii="Times New Roman" w:eastAsia="Times New Roman" w:hAnsi="Times New Roman" w:cs="Times New Roman"/>
          <w:b/>
          <w:bCs/>
          <w:i/>
          <w:iCs/>
          <w:sz w:val="24"/>
          <w:szCs w:val="24"/>
          <w:lang w:val="en-US"/>
        </w:rPr>
        <w:t>ACCUSED</w:t>
      </w:r>
      <w:r w:rsidRPr="004D74E4">
        <w:rPr>
          <w:rFonts w:ascii="Times New Roman" w:eastAsia="Times New Roman" w:hAnsi="Times New Roman" w:cs="Times New Roman"/>
          <w:i/>
          <w:iCs/>
          <w:sz w:val="24"/>
          <w:szCs w:val="24"/>
          <w:lang w:val="en-US"/>
        </w:rPr>
        <w:t xml:space="preserve"> is responsible for the criminal acts of his subordinates in that he knew or had reason to know that the subordinate was about to commit such acts or had done so and the </w:t>
      </w:r>
      <w:r w:rsidRPr="004D74E4">
        <w:rPr>
          <w:rFonts w:ascii="Times New Roman" w:eastAsia="Times New Roman" w:hAnsi="Times New Roman" w:cs="Times New Roman"/>
          <w:b/>
          <w:bCs/>
          <w:i/>
          <w:iCs/>
          <w:sz w:val="24"/>
          <w:szCs w:val="24"/>
          <w:lang w:val="en-US"/>
        </w:rPr>
        <w:t>ACCUSED</w:t>
      </w:r>
      <w:r w:rsidRPr="004D74E4">
        <w:rPr>
          <w:rFonts w:ascii="Times New Roman" w:eastAsia="Times New Roman" w:hAnsi="Times New Roman" w:cs="Times New Roman"/>
          <w:i/>
          <w:iCs/>
          <w:sz w:val="24"/>
          <w:szCs w:val="24"/>
          <w:lang w:val="en-US"/>
        </w:rPr>
        <w:t xml:space="preserve">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67" name="Imagen 4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Fofana and Kondewa case in 2007, the SCSL Trial Chamber stated with respect to the requirements of superior responsibility pursuant to Article 6(3) of the 2002 Statute of the Special Court for Sierra Leone: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232. The Chamber notes that the Prosecution, in addition or in the alternative, alleges that the Accused are responsible pursuant to Article 6(3) of the [2002 Statute of the Special Court for Sierra Leone] for the crimes alleged in Counts 1 through 8 of the Indictment since these crimes were allegedly committed while the Accused were holding positions of superior responsibility and exercising command and control over their subordinates.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233. The principle of superior responsibility is today anchored firmly in customary international law. The Chamber endorses the views expressed by the ICTY Appeals Chamber in Celebici that the individual criminal responsibility of superiors for failure to prevent or to punish crimes committed by subordinates was already an established principle of customary international law in 1992, whether the crimes charged were committed in the context of an international or an internal armed conflict. The Chamber further concurs with the finding of the Appeals Chamber of the Ad Hoc Tribunals that the principle of individual criminal responsibility of superiors is applicable, albeit not exactly in the same way, to both civilian and military superiors.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234. The Chamber is of the opinion that the nature of responsibility pursuant to Article 6(3) is based upon the duty of a superior to act, which consists of a duty to prevent and a duty to punish criminal acts of his subordinates. It is thus the failure to act when under a duty to do so which is the essence of this form of responsibility. It is responsibility for an omission where a superior may be held criminally responsible when he fails to take the necessary and reasonable measures to prevent the criminal act or punish the offender.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235. The Chamber takes the view that the following three elements must be satisfied in order to invoke individual criminal responsibility under Article 6(3) of the Statute: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 between the superior and the offender of the criminal act;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 the superior knew or had reason to know that the criminal act was about to be or had been committed; and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(iii) the superior failed to take the necessary and reasonable measures to prevent the criminal act or punish the offender thereof.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lastRenderedPageBreak/>
        <w:t xml:space="preserve">4.2.1 </w:t>
      </w:r>
      <w:r w:rsidRPr="004D74E4">
        <w:rPr>
          <w:rFonts w:ascii="Times New Roman" w:eastAsia="Times New Roman" w:hAnsi="Times New Roman" w:cs="Times New Roman"/>
          <w:i/>
          <w:iCs/>
          <w:sz w:val="24"/>
          <w:szCs w:val="24"/>
          <w:u w:val="single"/>
          <w:lang w:val="en-US"/>
        </w:rPr>
        <w:t>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236. Under Article 6(3) of the Statute, a superior is someone who possesses the power or the authority in either a de jure or a de facto capacity to prevent the commission of a crime by a subordinate or to punish the offender of the crime after the crime has been committed. It is thus this power or authority of the superior to control the actions of his subordinates which forms the basis of the 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237. The power or authority of the superior to prevent or to punish does not arise solely from a de jure status of a superior conferred upon him by official appointment. Someone may also be judged to be a superior based on the existence of de facto powers or degree of control. This may often be the case in contemporary conflicts where only de facto armies and paramilitary groups subordinated to self-proclaimed governments may exist.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238. In assessing the degree of control to be exercised by the superior over the subordinate, the Appeals Chambers of the Ad Hoc Tribunals have determined that the “effective control” test should be applied. According to this test, the superior must possess the “material ability to prevent or punish criminal conduct”. The indicators of effective control are more a matter of evidence than of substantive law. The Chamber adopts the view that this is the appropriate test to apply in determining whether a superior-subordinate relationship exists. Mere substantial influence that does not meet the threshold of effective control is not sufficient under customary international law to serve as a means of exercising superior criminal responsibility. Moreover, de jure power in and of itself is not conclusive of whether a superior-subordinate relationship exists, although it may be evidentially relevant to such a determination. The Chamber is therefore of the view that the effective control test must be satisfied even if the Accused has de jure status as a superior.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239. Hierarchy, subordination and chains of command need not be established in the sense of a formal organisation structure as long as the test of effective control is met. The superior can also be found responsible for a crime committed by a subordinate two levels down in the chain of command.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240. The Chamber further endorses the finding of the ICTY Appeals Chamber that an Accused could not be held liable under Article 6(3) of the Statute for crimes committed by a subordinate before the said Accused assumed command over that subordinate. In order to “hold a commander liable for the acts of troops who operated under his command on a temporary basis it must be shown that at the time when the acts charged in the indictment were committed, these troops were under the effective control of that commander.”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241. A superior-subordinate relationship may be of a military of civilian character. When examining whether a superior exercises effective control over his subordinates, the Chamber must take into account inherent differences in the nature of military and civilian superior-subordinate relationships. Effective control may not be exercised in the same manner by a civilian superior and by a military commander and, therefore, may be established by the evidence to have been exercised in a different manner. Whether the evidence regarding a civilian’s de jure or de facto authority establishes effective control over subordinates must be determined on a case-by-case basis.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4.2.2. </w:t>
      </w:r>
      <w:r w:rsidRPr="004D74E4">
        <w:rPr>
          <w:rFonts w:ascii="Times New Roman" w:eastAsia="Times New Roman" w:hAnsi="Times New Roman" w:cs="Times New Roman"/>
          <w:i/>
          <w:iCs/>
          <w:sz w:val="24"/>
          <w:szCs w:val="24"/>
          <w:u w:val="single"/>
          <w:lang w:val="en-US"/>
        </w:rPr>
        <w:t>Mental Element: the Superior Knew or Had Reason to Know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242. In order to hold a superior responsible under Article 6(3) of the Statu[t]e for crimes committed by a subordinate, the Chamber is of the opinion that the Prosecution must prove that the superior knew or had reason to know that his subordinate was about to commit or had committed such crimes. Responsibility under Article 6(3) of the Statute is not a form of strict liability.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243. The actual knowledge of the superior, i.e. that he knew that his subordinate was about to commit or had committed the crime, cannot be presumed and, in the absence of direct evidence, may be established by circumstantial evidence. Various factors or indicia may be considered by the Chamber when determining the actual knowledge of the superior. Such indicia would include: the number, type and scope of the illegal acts; the time during which the illegal acts occurred; the number and type of subordinates involved; the logistics involved, if any; the means of communication available; the geographical location of the acts; the widespread occurrence of the acts; the tactical tempo of operations; the modus operandi of similar illegal acts; the officers and staff involved; and the location of the superior at the time and the proximity of the acts to the location of the superior.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244. The Chamber accepts the jurisprudence of the Ad Hoc Tribunals that the “had reason to know” standard will only be satisfied if information was available to the superior which would have put him on notice of offences committed by his subordinates or about to be committed by his subordinates. Such information need not be such that, by itself, it was sufficient to compel the conclusion of the existence of such crimes. It need not, for example, take “the form of specific reports submitted pursuant to a monitoring system” and “does not need to provide specific information about unlawful acts committed or about to be committed”. It can be general in nature, but it must be sufficiently alarming so as to alert the superior to the risk of the crimes being committed or about to be committed, and to justify further inquiry in order to ascertain whether indeed such crimes were committed or were about to be committed by his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245. The information in question must in fact be available to the superior, who may not be held liable for failing to acquire such information in the first place. In any event, an assessment of the mental element required by Article 6(3) of the Statute should be conducted in the particular circumstances of each case, taking into account the specific situation of the superior concerned at the time in question.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4.2.3. </w:t>
      </w:r>
      <w:r w:rsidRPr="004D74E4">
        <w:rPr>
          <w:rFonts w:ascii="Times New Roman" w:eastAsia="Times New Roman" w:hAnsi="Times New Roman" w:cs="Times New Roman"/>
          <w:i/>
          <w:iCs/>
          <w:sz w:val="24"/>
          <w:szCs w:val="24"/>
          <w:u w:val="single"/>
          <w:lang w:val="en-US"/>
        </w:rPr>
        <w:t>Necessary and Reasonable Measures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246. The Chamber is of the opinion that a superior may be held responsible pursuant to Article 6(3) of the Statute if he has failed to take necessary and reasonable measures to prevent the commission of a crime or punish the perpetrators thereof. The question of whether a superior has failed to take such measures is connected to his possession of effective control. In other words, a superior will be liable if he failed to take measures that are within his material ability. Hence, the question of whether the superior had the explicit legal capacity to do so is irrelevant if it is proven that he had the material ability to act.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247. Under Article 6(3), the superior has a duty both to prevent the commission of the offence and punish the perpetrators. These are not alternative obligations – they involve different crimes committed at different times: the failure to punish concerns past crimes committed by subordinates, whereas the failure to prevent concerns future crimes of subordinates. The duty to prevent arises from the time a superior acquires knowledge, or has reason to know that a crime is being or is about to be committed, while the duty to punish arises after the superior acquires knowledge of the commission of the crime. “A superior must act from the moment that he acquires such knowledge. His obligation to prevent will not be met by simply waiting and punishing afterwards.”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248. The Chamber is of the opinion that whether a superior has discharged his duty to prevent the commission of a crime will depend on his material ability to intervene in a specific situation. In making this determination, the Chamber may take into account factors such as those which have been enumerated in the Strugar case on the basis of the case law developed by military tribunals in the aftermath of World War II: the </w:t>
      </w:r>
      <w:r w:rsidRPr="004D74E4">
        <w:rPr>
          <w:rFonts w:ascii="Times New Roman" w:eastAsia="Times New Roman" w:hAnsi="Times New Roman" w:cs="Times New Roman"/>
          <w:i/>
          <w:iCs/>
          <w:sz w:val="24"/>
          <w:szCs w:val="24"/>
          <w:lang w:val="en-US"/>
        </w:rPr>
        <w:lastRenderedPageBreak/>
        <w:t>superior’s failure to secure reports that military actions have been carried out in accordance with international law, the failure to issue orders aimed at bringing the relevant practices into accord with the rules of war, the failure to protest against or to criticise criminal action, the failure to take disciplinary measures to prevent the commission of atrocities by the troops under the superior’s command and the failure to insist before a superior authority that immediate action be taken. As part of his duty to prevent subordinates from committing crimes, the Chamber is of the view that a superior also has the obligation to prevent his subordinates from following unlawful orders given by other superiors.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249. The Chamber notes that a causal link between the superior’s failure to prevent the subordinates’ crimes and the occurrence of these crimes is not an element of the superior’s responsibility; it is a question of fact rather than of law. “Command responsibility is responsibility for omission, which is culpable due to the duty imposed by international law upon a commander” and does not require his involvement in the crime.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250. The Chamber is of the opinion that the duty imposed on a superior to punish subordinate offenders includes the obligation to investigate the crime or to have the matter investigated to establish the facts in order to assist in the determination of the proper course of conduct to be adopted. The superior has the obligation to take active steps to ensure that the offender will be punished. The Chamber further takes the view that in order to discharge this obligation, the superior may exercise his own powers of sanction, or if he lacks such powers, report the offender to the competent authorities.</w:t>
      </w:r>
      <w:r>
        <w:rPr>
          <w:rFonts w:ascii="Times New Roman" w:eastAsia="Times New Roman" w:hAnsi="Times New Roman" w:cs="Times New Roman"/>
          <w:i/>
          <w:iCs/>
          <w:noProof/>
          <w:sz w:val="24"/>
          <w:szCs w:val="24"/>
        </w:rPr>
        <w:drawing>
          <wp:inline distT="0" distB="0" distL="0" distR="0">
            <wp:extent cx="151130" cy="142875"/>
            <wp:effectExtent l="19050" t="0" r="1270" b="0"/>
            <wp:docPr id="468" name="Imagen 4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[emphasis added]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2008, the Appeals Chamber, in considering effective control, an element of superior responsibility under Article 6(3) of the 2002 Statute of the Special Court for Sierra Leone,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Appeals Chamber concurs that effective control must be established at the time of commission of the alleged crimes. The Appeals Chamber is of the view, however, that even though an accused cannot be convicted for criminal acts falling outside the period of the Indictment, evidence of matters occurring outside the timeframe of the Indictment may be taken into account where relevant and probative of the accused’s responsibility as a superior.</w:t>
      </w:r>
      <w:r>
        <w:rPr>
          <w:rFonts w:ascii="Times New Roman" w:eastAsia="Times New Roman" w:hAnsi="Times New Roman" w:cs="Times New Roman"/>
          <w:i/>
          <w:iCs/>
          <w:noProof/>
          <w:sz w:val="24"/>
          <w:szCs w:val="24"/>
        </w:rPr>
        <w:drawing>
          <wp:inline distT="0" distB="0" distL="0" distR="0">
            <wp:extent cx="151130" cy="142875"/>
            <wp:effectExtent l="19050" t="0" r="1270" b="0"/>
            <wp:docPr id="469" name="Imagen 4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indictment in the Brima case before the SCSL in 2005, the Prosecution stated, pursuant to Article 6(3) of the 2002 Statute of the Special Court for Sierra Leone: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[The accused], while holding positions of superior responsibility and exercising effective control over their subordinates, are each individually criminally responsible for the crimes referred to in Articles 2, 3 and 4 of the [2002 Statute of the Special Court for Sierra Leone]. Each Accused is responsible for the criminal acts of his subordinates in that he knew or had reason to know that the subordinate was about to commit such acts or had done so and each Accused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70" name="Imagen 4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780. Article 6(3) of the [2002 Statute of the Special Court for Sierra Leone] provides: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any of the acts referred to in Articles 2 to 4 of the present Statute was committed by a subordinate does not relieve his or her superior of criminal responsibility if he or she knew or had reason to know that the subordinate was about to commit such acts or had done so and the superior had failed to take the necessary and reasonable measures to prevent such acts or to punish the perpetrators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(a) Elements of Superior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781. As is evident from its terms, Article 6(3) of the Statute requires a three-pronged test for criminal liability to attach:</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lastRenderedPageBreak/>
        <w:t>1. The existence of a superior-subordinate relationship between the accused as superior and the perpetrator of the crime;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2. The accused knew or had reason to know that the crime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3. The Accused failed to take necessary and reasonable measures to prevent the crime or punish the perpetrators thereof. [see Čelebići Trial Judgement, §. 346]</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782. The principle that an individual may be held responsible as a superior in the course of an armed conflict is enshrined in customary international law. The scope of Article 6(3) does not only include military commanders, but also political leaders and other civilian superiors in possession of authority.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783. Under Article 6(3) of the Statute, a superior is held responsible for an omission, i.e., for the failure to perform an act required by international law. The culpable omission of a superior consists of his or her failure to prevent or punish crimes under the Statute committed by subordinates. Hence, a superior is responsible not for the principal crimes, but rather for what has been described as a “dereliction” or “neglect of duty” to prevent or punish the perpetrators of serious crimes. Responsibility of a superior is not limited to crimes committed by subordinates in person, but encompasses any modes of criminal liability proscribed in Article 6(1) of the Statute. It follows that a superior can be held responsible for failure to prevent or punish a crime which was planned, ordered, instigated or aided and abetted by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 Existence of a 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784. The doctrine of command responsibility is “ultimately predicated upon the power of the superior to control the acts of his subordinates.” [Čelebići Trial Judgement, §. 377] It is immaterial whether the power of the superior over the subordinates is based on de jure or on de facto authority, as long as the superior possessed the material ability to prevent or punish the commission of the offence. This requirement has been widely referred to as the exercise of “effective control”. It may be presumed that the existence of de jure authority prima facie results in effective control unless proof to the contrary is produced. Substantial influence over the conduct of others falls short of effective control.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785. Indications for effective control include the formality of the procedure used for appointment of a superior, the power of the superior to issue orders or take disciplinary action, the fact that subordinates show greater discipline in the superior’s presence, the level of profile, manifested through public appearances and statements, or the capacity to transmit reports to competent authorities for the taking of proper measures.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786. A superior may be held responsible for crimes committed by individuals temporarily subordinated to him, provided he exercises effective control over them. Further, superior responsibility is not excluded by the concurrent responsibility of other superiors in a chain of command. If a superior has functioned as a member of a collegiate body with authority shared among various members, the power or authority actually devolved on an accused may be assessed on a case-by-case basis, taking into account the cumulative effect of the accused’s various functions.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787. However, in a conflict characterised by the participation of irregular armies or rebel groups, the traditional indicia of effective control provided in the jurisprudence may not be appropriate or useful. As the Trial Chamber has observed, the formality of an organisation’s structure is relevant to, but not determinative of, the question of the effective control of its leaders. The less developed the structure, the more important it becomes to focus on the nature of the superior’s authority rather than his or her formal designation.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788. The Trial Chamber considers that indicia which may be useful to assess the ability </w:t>
      </w:r>
      <w:r w:rsidRPr="004D74E4">
        <w:rPr>
          <w:rFonts w:ascii="Times New Roman" w:eastAsia="Times New Roman" w:hAnsi="Times New Roman" w:cs="Times New Roman"/>
          <w:i/>
          <w:iCs/>
          <w:sz w:val="24"/>
          <w:szCs w:val="24"/>
          <w:lang w:val="en-US"/>
        </w:rPr>
        <w:lastRenderedPageBreak/>
        <w:t>of superiors in such irregular armies to exercise effective control over their subordinates, include that the superior had first entitlement to the profits of war, such as looted property and natural resources; exercised control over the fate of vulnerable persons such as women and children; the superior had independent access to and/or control of the means to wage war, including arms and ammunition and communications equipment; the superior rewarded himself or herself with positions of power and influence; the superior had the capacity to intimidate subordinates into compliance and was willing to do so; the superior was protected by personal security guards, loyal to him or her, akin to a modern praetorian guard; the superior fuels or represents the ideology of the movement to which the subordinates adhere; and the superior interacts with external bodies or individuals on behalf of the group.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789. Nonetheless, the key traditional indicia of effective control remain central, although they may be more loosely defined. For example, the power of the superior to issue orders is crucial, although these orders may be criminal in nature. Similarly, the superior must be capable of taking disciplinary action, even though the measures taken may be more brutal and arbitrarily utilised.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790. Identification of the principal perpetrator, particularly by name, is not required to establish a superior-subordinate relationship. It is sufficient to identify the subordinates as belonging to a unit or group controlled by the superior.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(ii) Actual or Imputed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791. For a superior to be held responsible pursuant to Article 6(3) of the Statute, it must be established that he knew or had reason to know that the subordinate was about to commit or had committed such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a. Actual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792. Actual knowledge may be defined as the awareness that the relevant crimes were committed or about to be committed. There is no presumption of such knowledge but, in the absence of direct evidence, it may be established through circumstantial evidence. Factors indicative of actual knowledge include, first of all, an individual’s superior position and the superior’s geographical and temporal proximity to the crimes; also, the type and scope of crimes, the time during which they occurred, the number and type of troops and logistics involved, the widespread occurrence of crimes, the tactical tempo of operations, the modus operandi of similar illegal acts and the officers and staff involved.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793. The evidence required to demonstrate actual knowledge may differ depending on the position of authority held by a superior and the level of responsibility in the chain of command. The membership of the accused in an organised and disciplined structure with reporting and monitoring mechanisms has been found to facilitate proof of actual knowledge. Conversely, the standard of proof of the actual knowledge of a superior exercising a more informal type of authority will be higher.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b. Imputed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794. In determining whether a superior “had reason to know”, or imputed knowledge, that his or her subordinates were committing or about to commit a crime, it must be shown that specific information was available which would have put the superior on notice of crimes committed or about to be committed. The superior may not be held liable for failing to acquire such information in the first place. However, it suffices for the superior to be in possession of sufficient information, even general in nature, written or oral, of the likelihood of illegal acts by subordinates. In other words: failure to conclude, or conduct additional inquiry, in spite of alarming information amounts to imputed knowledge. It is not necessary that the information would compel the conclusion of the existence of concrete crimes. Rather, the information must have put </w:t>
      </w:r>
      <w:r w:rsidRPr="004D74E4">
        <w:rPr>
          <w:rFonts w:ascii="Times New Roman" w:eastAsia="Times New Roman" w:hAnsi="Times New Roman" w:cs="Times New Roman"/>
          <w:i/>
          <w:iCs/>
          <w:sz w:val="24"/>
          <w:szCs w:val="24"/>
          <w:lang w:val="en-US"/>
        </w:rPr>
        <w:lastRenderedPageBreak/>
        <w:t>the accused on notice of the “present and real risk” that crimes under the Statute were committed, or about to be committed. Examples of such information include that a subordinate has a violent or unstable character and that a subordinate has been drinking prior to being sent on a mission. Furthermore, reports addressed to the superior, the level of training and instruction of subordinate officers are factors to be taken into account when determining imputed knowledge.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795. The Brima Defence objects to an expansive interpretation of the imputed knowledge standard, especially to hold “a commander […] liable for the most serious of crimes under a mere negligence standard.” Similarly, the Kamara and Kanu Defences oppose the application of strict liability. The Kamara Defence says that superiors are not under a duty to know, and are only liable when they had “information which should have enabled them to conclude in the circumstances at the time, that [the perpetrator] was committing or was going to commit such a breach and if they did not take feasible measures within their power to prevent or repress the breach”.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796. It is clear from the case law referred to above that solely negligent ignorance is insufficient to attribute imputed knowledge. What is required is the superior’s factual awareness of information which should have prompted him or her to acquire further knowledge. Responsibility pursuant to Article 6(3) of the Statute will attach when the superior remains wilfully blind to the criminal acts of his or her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(iii) Failure to Prevent or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797. It must be established that the superior failed to take the necessary and reasonable measures to prevent or punish the crimes of his or her subordinates. These are two distinct duties: it is the superior’s primary duty to intervene as soon as he or she becomes aware of crimes about to be committed, while taking measures to punish will only suffice if the superior did not become aware of these crimes until after they were committed.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798. As regards the duty to prevent the crimes of subordinates, the type of necessary and reasonable measures a superior must take is a matter of evidence rather than one of substantive law. Generally, it can be said that the measures required of the superior are limited to those within his or her material ability under the circumstances, including those that may lie beyond his or her formal powers. The kind and extent of measures to be taken depend on the degree of effective control exercised by the superior at the relevant time, and on the severity and imminence of the crimes that are about to be committed. A superior must prevent not only the execution and completion of a subordinate’s crimes, but also their earlier planning and preparation. The superior must intervene as soon as he becomes aware of the planning or preparation of crimes to be committed by his subordinates and as long as he has the effective ability to prevent them from starting or continuing.</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799. The duty to punish only arises once a crime under the Statute has been committed. A superior is bound to conduct a meaningful investigation with a view to establish the facts, order or execute appropriate sanctions, or report the perpetrators to the competent authorities in case the superior lacks sanctioning powers. According to the ICTY Appeals Chamber, there is no support in customary international law for the proposition that a commander can be held responsible for crimes committed by a subordinate prior to the commander’s assumption of command over that subordinate.</w:t>
      </w:r>
      <w:r>
        <w:rPr>
          <w:rFonts w:ascii="Times New Roman" w:eastAsia="Times New Roman" w:hAnsi="Times New Roman" w:cs="Times New Roman"/>
          <w:i/>
          <w:iCs/>
          <w:noProof/>
          <w:sz w:val="24"/>
          <w:szCs w:val="24"/>
        </w:rPr>
        <w:drawing>
          <wp:inline distT="0" distB="0" distL="0" distR="0">
            <wp:extent cx="151130" cy="142875"/>
            <wp:effectExtent l="19050" t="0" r="1270" b="0"/>
            <wp:docPr id="471" name="Imagen 4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xml:space="preserve">  </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Article 6(1) and 6(3) of the [2002 Statute of the Special Court for Sierra Leone] denote different categories of individual criminal responsibility. Where both Article 6(1) and Article 6(3) responsibility are alleged under the same count, and where the legal requirements pertaining to both of these heads of responsibility are met, it would </w:t>
      </w:r>
      <w:r w:rsidRPr="004D74E4">
        <w:rPr>
          <w:rFonts w:ascii="Times New Roman" w:eastAsia="Times New Roman" w:hAnsi="Times New Roman" w:cs="Times New Roman"/>
          <w:i/>
          <w:iCs/>
          <w:sz w:val="24"/>
          <w:szCs w:val="24"/>
          <w:lang w:val="en-US"/>
        </w:rPr>
        <w:lastRenderedPageBreak/>
        <w:t>constitute a legal error invalidating a judgement to enter a concurrent conviction under both provisions. Where a Trial Chamber enters a conviction on the basis of Article 6(1) only, an accused’s superior position may be considered as an aggravating factor in sentencing.</w:t>
      </w:r>
      <w:r>
        <w:rPr>
          <w:rFonts w:ascii="Times New Roman" w:eastAsia="Times New Roman" w:hAnsi="Times New Roman" w:cs="Times New Roman"/>
          <w:i/>
          <w:iCs/>
          <w:noProof/>
          <w:sz w:val="24"/>
          <w:szCs w:val="24"/>
        </w:rPr>
        <w:drawing>
          <wp:inline distT="0" distB="0" distL="0" distR="0">
            <wp:extent cx="151130" cy="142875"/>
            <wp:effectExtent l="19050" t="0" r="1270" b="0"/>
            <wp:docPr id="472" name="Imagen 4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2008, the Appeals Chamber, in considering the elements required for criminal responsibility as a superior under Article 6(3) of the 2002 Statute of the Special Court for Sierra Leone,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257. In addition to military commanders, superior responsibility under Article 6(3) of the Statute encompasses political leaders and other civilian superiors in positions of authority. A superior is one who possesses the power or authority to either prevent a subordinate’s crimes or punish the subordinate after the crime has been committed. The power or authority may arise from a de jure or a de facto command relationship. Whether it is de jure or de facto, the superior-subordinate relationship must be one of effective control, however short or temporary in nature. Effective control refers to the material ability to prevent or punish criminal conduct. The test of effective control is the same for both military and civilian superiors.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258. … The terms “command” and “control” are two related but distinct concepts. The term “command” refers to powers that attach to a military superior, while the term “control,” which has a wider meaning encompasses both military and civilian superiors.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266. … The powers of a superior to issue orders and make binding decisions are indicative of his ability to exercise effective control.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289. The Appeals Chamber recalls that the existence of a superior-subordinate relationship is paramount to the determination of superior responsibility. Critical to the finding of a superior-subordinate relationship is that the commander exercised “effective control” over his subordinates. Effective control refers to the material ability of a superior, whether military or civilian, de jure or de facto, to prevent or punish his subordinates’ crimes. “Substantial influence” or “persuasive ability” which falls short of effective control is insufficient for a finding of superior responsibility. A finding that a superior exercised effective control is a question of fact to be determined on a case-by-case basis.</w:t>
      </w:r>
      <w:r>
        <w:rPr>
          <w:rFonts w:ascii="Times New Roman" w:eastAsia="Times New Roman" w:hAnsi="Times New Roman" w:cs="Times New Roman"/>
          <w:i/>
          <w:iCs/>
          <w:noProof/>
          <w:sz w:val="24"/>
          <w:szCs w:val="24"/>
        </w:rPr>
        <w:drawing>
          <wp:inline distT="0" distB="0" distL="0" distR="0">
            <wp:extent cx="151130" cy="142875"/>
            <wp:effectExtent l="19050" t="0" r="1270" b="0"/>
            <wp:docPr id="473" name="Imagen 4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the indictment in the Sesay case before the SCSL in 2006, the Prosecution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[P]ursuant to Article 6.3. of the [2002 Statute of the Special Court for Sierra Leone], [the accused], while holding positions of superior responsibility and exercising effective control over their subordinates, are individually criminally responsible for the crimes referred to in Articles 2, 3 and 4 of the Statute. Each Accused is responsible for the criminal acts of his subordinates in that he knew or had reason to know that the subordinate was about to commit such acts or had done so and each Accused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74" name="Imagen 4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In its judgment in the case in 2009, the Trial Chamber considered the elements of superior responsibility under Article 6(3) of the 2002 Statute of the Special Court for Sierra Leone. The Trial Chamber stated: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282. The Chamber subscribes to the principle that superior responsibility is today anchored firmly in customary international law. To this end, the Chamber endorses the views of the ICTY Appeals Chamber in Celebici that the individual criminal responsibility of superiors for failure to prevent or to punish crimes committed by subordinates was already an established principle of customary international law in </w:t>
      </w:r>
      <w:r w:rsidRPr="004D74E4">
        <w:rPr>
          <w:rFonts w:ascii="Times New Roman" w:eastAsia="Times New Roman" w:hAnsi="Times New Roman" w:cs="Times New Roman"/>
          <w:i/>
          <w:iCs/>
          <w:sz w:val="24"/>
          <w:szCs w:val="24"/>
          <w:lang w:val="en-US"/>
        </w:rPr>
        <w:lastRenderedPageBreak/>
        <w:t>1992 whether the crimes charged were committed in the context of an international or an internal armed conflict. The Chamber further adopts the finding of the Appeals Chamber of the Ad Hoc Tribunals that the principle of individual criminal responsibility of superiors is applicable to both civilian and military superiors.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283. The Chamber is of the opinion that the nature of responsibility pursuant to Article 6(3) [of the 2002 Statute of the Special Court for Sierra Leone] is based upon the duty of a superior to act, which consists of a duty to prevent and a duty to punish criminal acts of his subordinates. Therefore, “it is the failure to act when under a duty to do so which is the essence of this form of responsibility.” [ICTY, Halilović case, Judgement, § 38] It is responsibility for an omission in which a superior may be held criminally responsible when he fails to take the necessary and reasonable measures to prevent the criminal act or to punish the offender, as the case may be.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284. The Chamber is satisfied that superior responsibility encompasses criminal conduct by subordinates under all modes of participation under Article 6(1) of the Statute. “It follows that a superior can be held criminally responsible for his subordinates’ planning, instigating, ordering, committing or otherwise aiding and abetting a crime.” [ICTY, Orić case, Judgement on Appeal, § 21]</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285. The Chamber opines that the following three elements must be satisfied in order to invoke individual criminal responsibility under Article 6(3) of the Statute: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 The existence of a superior-subordinate relationship between the superior and the offender of the criminal act;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 The superior knew or had reason to know that the criminal act was about to be or had been committed; and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(iii) The superior failed to take the necessary and reasonable measures to prevent the criminal act or punish the offender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4.2.1. 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286. Under Article 6(3) of the Statute, a superior is someone who possesses the power or authority in either a de jure or a de facto capacity to prevent the commission of a crime by a subordinate or to punish the offender of the crime after the crime has been committed. This Chamber considers that it is thus this power or authority of the superior to control the actions of his subordinates which forms the basis of the superior-subordinate relationship.</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287. The Appeals Chamber has confirmed that the “effective control” test must be applied in determining whether a superior-subordinate relationship exists. According to this test, the superior must possess the “material ability to prevent or punish criminal conduct”. The indicators of effective control are more a matter of evidence than of substantive law and must be determined on a case-by-case basis. Mere substantial influence that does not meet the threshold of effective control is not sufficient under customary international law to serve as a means of exercising superior criminal responsibility.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288. The power or authority of the superior to prevent or to punish does not arise solely from a de jure status of a superior conferred upon him by official appointment. Someone may also be considered to be a superior based on the existence of de facto powers or degree of control. This may often be the case in contemporary conflicts where only de facto armies and paramilitary groups subordinated to self-proclaimed governments may exist.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289. Moreover, while possession of de jure powers may “suggest a material ability to prevent or punish criminal acts of subordinates, it may be neither necessary nor sufficient to prove such ability […]” The possession of de jure authority, without more, provides only some evidence of effective control. In other words, while the de jure </w:t>
      </w:r>
      <w:r w:rsidRPr="004D74E4">
        <w:rPr>
          <w:rFonts w:ascii="Times New Roman" w:eastAsia="Times New Roman" w:hAnsi="Times New Roman" w:cs="Times New Roman"/>
          <w:i/>
          <w:iCs/>
          <w:sz w:val="24"/>
          <w:szCs w:val="24"/>
          <w:lang w:val="en-US"/>
        </w:rPr>
        <w:lastRenderedPageBreak/>
        <w:t>authority may be evidentially relevant to such a determination, the Prosecution will still bear the burden of proving effective control beyond reasonable doubt.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290. The necessity of proving that the principal perpetrator was the subordinate of the Accused “does not require direct or formal subordination. Rather the Accused has to be, by virtue of his position, senior in some sort of formal or informal hierarchy to the perpetrators.” [ICTY, Halilović case, Judgement on Appeal, § 59] Hierarchy, subordination and chains of command need not be established in the sense of a formal organisational structure as long as the test of effective control is met. Further, “there is no requirement that the superior-subordinate relationship be immediate in nature for a Commander to be found liable for the acts of his subordinate.” [ICTY, Strugar case, Judgement, § 363]</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291. A superior-subordinate relationship may be of a military or civilian character. In both cases, the test for establishing the existence of a superior-subordinate relationship is that of effective control. When examining whether a superior exercises effective control over his subordinates, the Chamber must take into account inherent differences in the nature of military and civilian superior-subordinate relationships. Effective control may not be exercised in the same manner by a civilian superior and by a military Commander and, therefore, may be established by the evidence to have been exercised in a different manner. Whether the evidence regarding a civilian’s de jure or de facto authority establishes effective control over subordinates must be determined on a case-by-case basis.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292. In applying the test of effective control, this Chamber will consider inter alia the following indicators which would demonstrate that the Accused exercised effective control: the nature of the Accused’s position, including his position within the military or political structure; the procedure for appointment and the actual tasks performed; his capacity to issue orders and whether or not such orders are actually executed by his subordinates; the fact that subordinates show greater discipline in the presence of the Accused than when he is absent; the authority of the Accused to invoke disciplinary measures; the nature of negotiations in which the Accused has represented the armed group; and the authority of the Accused to release or transfer prisoners. The Chamber is satisfied that the absence of any other authority over the perpetrators in no way implies that an Accused exercised effective control. Any evidence of prior indiscipline or non-compliance with orders by subordinates is relevant in this determination of effective control. The fact that a superior is compelled to use force to control some of his subordinates does not automatically lead to the conclusion that the superior does not exercise effective control over them as this could, in some situations, even demonstrate that the superior has the material ability to prevent and punish the commission of crimes.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293. The Chamber has also considered indicia which may be particularly useful in assessing the ability of superiors in irregular armies to exercise effective control such as: the superior’s entitlement to looted property and natural resources; control over the fate of vulnerable persons such as women and children; access to or control of arms, ammunition and communications equipment; protection by loyal personal security guards; the propagation of the ideology of the movement to which the subordinates adhere; the interaction with external bodies or individuals on behalf of the group; the ability to reward himself with positions of power and influence and to intimidate subordinates into compliance.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294. This Chamber has also considered when a superior may be held liable for a failure to fulfil his duty to prevent or punish and, in particular, whether a superior may be held liable for a failure to punish his subordinates for an act that occurred before he </w:t>
      </w:r>
      <w:r w:rsidRPr="004D74E4">
        <w:rPr>
          <w:rFonts w:ascii="Times New Roman" w:eastAsia="Times New Roman" w:hAnsi="Times New Roman" w:cs="Times New Roman"/>
          <w:i/>
          <w:iCs/>
          <w:sz w:val="24"/>
          <w:szCs w:val="24"/>
          <w:lang w:val="en-US"/>
        </w:rPr>
        <w:lastRenderedPageBreak/>
        <w:t>assumed effective control over those subordinates.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295. The Chamber notes that, by a three-two majority, the ICTY Appeals Chamber in the Hadzihasanovic et al. case held that individual criminal responsibility for superior command responsibility did not exist at customary international law for crimes that occurred before an Accused became a superior over the subordinates in question. Justice Shahabuddeen and Justice Hunt strongly dissented. In the most recent Appeal Judgement in Oric, the majority of the Chamber, which included Justice Shahabuddeen, declined to pronounce on the issue on the basis that it was not necessary based on the particular findings in the Oric Appeal. Justice Shahabuddeen clearly stated, however, that he agreed with the two dissenting Judges that the holding in the Hadzihasanovic et al. was wrong in law. This Chamber is not bound by decisions of the ICTY Appeals Chamber, but will, however, consider all relevant jurisprudence and be guided by these decisions as appropriate.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296. This Chamber has already held that the individual criminal responsibility of superiors for failure to prevent or to punish crimes committed by subordinates is firmly established in customary international law. The Chamber considers that any application of the principle of superior responsibility that can reasonably fall within the application of this principle would therefore also exist at customary international law. Customary international law cannot be expected to address every possible factual permutation and if a particular factual situation can reasonably fall within the application of the principle of superior command responsibility as it exists at customary international law, then the principle can be so applied.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297. Article 6(3) of the Statute provides that a Commander is criminally responsible if he “knew or had reason to know that the subordinate was about to commit such [criminal] acts or had done so and the superior had failed to take the necessary and reasonable measures to prevent such acts or to punish the perpetrators thereof.” This language is identical to Article 6(3) of the ICTR Statute and Article 7(3) of the ICTY Statute.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298. The language of this provision is broad, and clearly envisions a superior’s responsibility for preventing acts that are about to be committed and for punishing acts that have already been committed. A superior is not held criminally liable for the criminal act itself, but rather for a failure in his duty to either prevent or punish the subordinate as the case may be. The Chamber adopts the statement of the ICTY Appeals Chamber in Krnojelac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It cannot be overemphasised that, where superior responsibility is concerned, an accused is not charged with the crimes of his subordinates but with his failure to carry out his duty as a superior to exercise control. [ICTY, Krnojelac case, Judgement on Appeal, § 171]</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299. Given this basis of superior responsibility, the Chamber considers that the focus of the liability must be on the time during which the superior failed in his duty to prevent or punish. Thus, the Chamber is satisfied that, in order to incur criminal responsibility as a superior, the superior must have had effective control over the perpetrator at the time at which the superior is said to have failed to exercise his powers to prevent or to punish. While in practice the superior will also often have effective control at the time that the subordinate commits or is about to commit a criminal act, this in itself is not required. Thus, if a superior assumes command after a crime has been committed by his subordinates and he knows or has reason to know that such a crime has been committed, the Chamber is of the opinion that to assume his responsibility as a superior officer, he will have the duty to punish the perpetrators from the moment he assumes effective control.</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300. The Chamber considers that this principle was properly stated by the Trial Chamber in Oric:</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superior must certainly have effective control of the relevant subordinates at the time when measures of investigation and punishment are to be taken against them. Such a link, however, appears less essential, if necessary at all, with regard to the time at which the crime was committed. The duty to prevent calls for action by the superior prior to the commission of the crime, and thus presupposes his power to control the conduct of his subordinates. The duty to punish, by contrast, follows the commission of a crime of which the superior need not have been aware, and thus at the moment of commission was in fact out of his or her control to prevent. Since a superior in such circumstances is obliged to take punitive measures notwithstanding his or her ability to prevent the crime due to his lack or her lack of awareness and control, it seems only logical that such an obligation would also extend to the situation wherein there has been a change of command following the commission of a crime by a subordinate. The new Commander in such a case, now exercising power over his or her subordinates and being made aware of their crimes committed prior to the change of command, for the sake of coherent prevention and control, should not let them go unpunished…. Consequently, for a superior’s duty to punish, it should be immaterial whether he or she had assumed control over the relevant subordinates prior to their committing the crime. [ICTY, Orić case, Judgement, § 335]</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301. The Chamber is also satisfied that this holding is consistent with the ICTY Appeals Chamber in Celebici which concluded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As long as a superior has effective control over subordinates, to the extent that he can prevent them from committing crimes or punish them after they committed the crimes, he would be held responsible for the commission of the crimes if he failed to exercise such abilities of control. [ICTY, Čelebići case, Judgement on Appeal, § 198]</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302. The Chamber has also considered the sources of law relied on by the majority in the Hadzihasanovic et al. Appeal Decision to determine the content of superior responsibility at customary international law. Article 86(2) of [the 1977] Additional Protocol I provides: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fact that a breach of the Conventions or of this Protocol was committed by a subordinate does not absolve his superiors from penal disciplinary responsibility, as the case may be, if they knew, or had information which should have enabled them to conclude in the circumstances at the time, that he was committing or was going to commit such a breach and if they did not take all feasible measures within their power to prevent or repress the breach.</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303. Similarly, in relation to the duties of Commanders, Article 87(3) of Protocol I states: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High Contracting Parties and Parties to the conflict shall require any Commander who is aware that subordinates or other persons under his control are going to commit or have committed a breach of the Conventions or of this Protocol, to initiate such steps as are necessary to prevent such violations of the Conventions or this Protocol, and, where appropriate, to initiate disciplinary or penal action against violators thereof.</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 xml:space="preserve">304. The Chamber is of the opinion that both of these provisions must be read together to properly understand their full content. While Article 86(2) refers to knowledge that a subordinate was committing or was about to commit a crime, Article 87(3) places a duty on Commanders whose subordinates are “going to commit or have committed a breach”. Thus, while the majority of the ICTY Appeals Chamber in Hadzihasanovic et al. relied on Article 86(2) to conclude that a superior could only be liable for subordinates who were under his effective control at the time of the criminal act, this </w:t>
      </w:r>
      <w:r w:rsidRPr="004D74E4">
        <w:rPr>
          <w:rFonts w:ascii="Times New Roman" w:eastAsia="Times New Roman" w:hAnsi="Times New Roman" w:cs="Times New Roman"/>
          <w:i/>
          <w:iCs/>
          <w:sz w:val="24"/>
          <w:szCs w:val="24"/>
          <w:lang w:val="en-US"/>
        </w:rPr>
        <w:lastRenderedPageBreak/>
        <w:t>Chamber concludes that this interpretation is not consistent with the Articles when read together. Moreover, this Chamber considers that such an interpretation would be inconsistent with the object and purpose of the Additional Protocol and would “leave a gaping hole in the protection which international humanitarian law seeks to provide for the victims of the crimes committed contrary to that law.” [ICTY, Hadžihasanović case, Appeal Decision on Command Responsibility, Dissenting Opinion of Judge Hunt, § 22]</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305. The Chamber has also considered Article 28 of the [1998] ICC Statute which, in a very complex provision compared to that of Article 6(3) of the SCSL Statute, refers to a military Commander who “either knew or, owing to the circumstances at the time, should have known that the forces were committing or about to commit such crimes.” While this Chamber does consider that the ICC Statu[t]e has value in determining the state of customary international law, the Chamber is also cognisant of the fact that the ICC Statute was also often the product of delicate negotiations and compromises. Furthermore, if this provision is interpreted to mean that the Commander must have known of the crimes either before or during their commission, then this would also mean that superiors who exercised effective control at the time of the criminal acts, but only found out about the crimes after they had been completed, would be under no obligation to either report the matter for investigation or to punish.</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306. For all of these reasons, this Chamber is satisfied that the principle of superior responsibility as it exists in customary international law does include the situation in which a Commander can be held liable for a failure to punish subordinates for a crime that occurred before he assumed effective control. While it must clearly be established that the superior exercised effective control over the subordinate who committed the crime at the time that there was an alleged failure in his duty to punish, it is not necessary that the effective control also existed at the time of the criminal act.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307. Similarly, in order to hold a Commander liable for the acts of subordinates who operated under his command on a temporary basis, it must be demonstrated that the Commander had “effective control over subordinates, to the extent that he can prevent them from committing crimes or punish them after they committed the crimes […]”. [ICTY, Čelebići case, Judgement on Appeal, § 198] This Chamber understands that the relevant time period for the effective control of the superior relates again to the time during which the superior is alleged to have failed to prevent or failed to punish the subordinates for the criminal acts.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4.2.2. Mental Element: the Superior Knew or Had Reason to Know</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308. In order to hold a superior responsible under Article 6(3) of the Statute for crimes committed by a subordinate, the Chamber is of the opinion that the Prosecution must prove that the superior knew or had reason to know that his subordinate was about to commit or had committed such crimes. Responsibility under Article 6(3) of the Statute is not a form of strict liability.</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309. The actual knowledge of the superior, that is, that he knew that his subordinate was about to commit or had committed the crime, may not be presumed and may be established by direct evidence or through circumstantial evidence from which it may be inferred that the Commander had in fact acquired such knowledge. The superior must have knowledge of the alleged criminal conduct of his subordinates and not simply knowledge of the occurrence of the crimes themselves. Various factors or indicia may be considered by the Chamber when determining the actual knowledge of the superior. Such indicia would include: the number, type and scope of the illegal acts; the time during which the illegal acts occurred; the number and type of subordinates involved; the logistics involved, if any; the means of communication available; the geographical location of the acts; the widespread occurrence of the acts; the tactical tempo of </w:t>
      </w:r>
      <w:r w:rsidRPr="004D74E4">
        <w:rPr>
          <w:rFonts w:ascii="Times New Roman" w:eastAsia="Times New Roman" w:hAnsi="Times New Roman" w:cs="Times New Roman"/>
          <w:i/>
          <w:iCs/>
          <w:sz w:val="24"/>
          <w:szCs w:val="24"/>
          <w:lang w:val="en-US"/>
        </w:rPr>
        <w:lastRenderedPageBreak/>
        <w:t>operations; the modus operandi of similar illegal acts; the officers and staff involved; and the location of the superior at the time and the proximity of the acts to the location of the superior.</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310. The Chamber accepts the jurisprudence of the Ad Hoc Tribunals that the “had reason to know” standard will only be satisfied if information was available to the superior which would have put him on notice of offences committed by his subordinates or about to be committed by his subordinates. Such information need not be such that, by itself, it was sufficient to compel the conclusion of the existence of such crimes. It need not, for instance, take “the form of specific reports submitted pursuant to a monitoring system” and “does not need to provide specific information about unlawful acts committed or about to be committed”. It can be general in nature, but it must be sufficiently alarming so as to alert the superior to the risk of the crimes being committed or about to be committed, and to justify further inquiry in order to ascertain whether indeed such crimes were committed or were about to be committed by his subordinates. The superior need only have notice of a risk that crimes might be carried out and there is no requirement that this be a strong risk or a substantial likelihood.</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311. While a superior’s knowledge of and failure to punish his subordinates’ past offences is insufficient on its own to conclude that the superior knew that future offences would be committed, such knowledge may constitute sufficiently alarming information to justify further inquiry. The Chamber endorses the views of the ICTY Appeals Chamber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 Trial Chamber may take into account the failure by a superior to punish the crime in question. Such a failure is indeed relevant to the determination of whether, in the circumstances of a case, a superior possessed information that was sufficiently alarming to put him on notice of the risk that similar crimes might subsequently be carried out by subordinates and justify further inquiry. In this regard, the Appeals Chamber stresses that a superior’s failure to punish a crime of which he has actual knowledge is likely to be understood by his subordinates at least as acceptance, if not encouragement, of such conduct with the effect of increasing the risk of new crimes being committed. [ICTY, Hadžihasanović case, Judgement on Appeal, § 30]</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312. The superior cannot be held liable for having failed in his duty to obtain such information in the first place. The information in question must be available to the superior, but the superior need not have actually acquainted himself with the information. Thus, the superior cannot remain wilfully blind to information that is available to him. In any event, an assessment of the mental element required by Article 6(3) of the Statute should be conducted in the particular circumstances of each case, taking into account the specific situation of the superior concerned at the time in question.</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4.2.3. Necessary and Reasonable Measures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313. The Chamber is of the opinion that a superior may be held responsible pursuant to Article 6(3) of the Statute if he has failed to take necessary and reasonable measures to prevent the commission of a crime or punish the perpetrators thereof. Necessary measures are those measures appropriate for the superior to discharge his obligation by showing that he genuinely tried to prevent or punish a crime. Reasonable measures can be said to be those “reasonably falling within the material powers of the superior.” The determination of what constitutes necessary and reasonable measures that fulfil the duty of the Commander must be made on a case-by-case basis and is not a matter of substantive law, but of evidence.</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 xml:space="preserve">314. Under Article 6(3), the superior has a duty both to prevent the commission of the offence and punish the perpetrators. These are not alternative obligations – they involve </w:t>
      </w:r>
      <w:r w:rsidRPr="004D74E4">
        <w:rPr>
          <w:rFonts w:ascii="Times New Roman" w:eastAsia="Times New Roman" w:hAnsi="Times New Roman" w:cs="Times New Roman"/>
          <w:i/>
          <w:iCs/>
          <w:sz w:val="24"/>
          <w:szCs w:val="24"/>
          <w:lang w:val="en-US"/>
        </w:rPr>
        <w:lastRenderedPageBreak/>
        <w:t>different crimes committed at different times: “the failure to punish concerns past crimes committed by subordinates, whereas the failure to prevent concerns future crimes of subordinates.” [ICTY, Blaškić case, Judgement on Appeal, § 83] The duty to prevent arises from the time a superior acquires knowledge, or has reason to know that a crime is being or is about to be committed, while the duty to punish arises after the superior acquires knowledge of the commission of the crime. “A superior must act from the moment that he acquires such knowledge. His obligations to prevent will not be met by simply waiting and punishing afterwards.” [ICTY, Limaj case, Judgement, § 527]</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315. The Chamber is of the opinion that whether a superior has discharged his duty to prevent the commission of a crime will depend on his material ability to intervene in a specific situation. In making this determination, the Chamber may take into account factors such as those which have been enumerated in the Strugar case on the basis of the case law developed by the military tribunals in the aftermath of World War II: the superior’s failure to secure reports that military actions had been carried out in accordance with international law, the failure to issue orders aimed at bringing the relevant practices into accord with the rules of war, the failure to protest against or to criticise criminal action, the failure to take disciplinary measures to prevent the commission of atrocities by the fighters under the superior’s command and the failure to insist before a superior authority that immediate action be taken. As part of his duty to prevent subordinates from committing crimes, the Chamber is of the view that a superior also has the obligation to prevent his subo rdinates from following unlawful orders given by other superiors.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316. The Chamber notes that a causal link between the superior’s failure to prevent his subordinates’ crimes and the occurrence of these crimes is not an element of the superior’s responsibility; it is a question of fact rather than of law. “Command responsibility is responsibility for omission, which is culpable due to the duty imposed by international law upon a Commander” and does not require his involvement in the crime. [ICTY, Hadžihasanović case, Judgement on Appeal, § 39]</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317. The Chamber is of the opinion that the duty imposed on a superior to punish subordinate offenders includes the obligation to investigate the crime or to have the matter investigated to establish the facts in order to assist in the determination of the proper course of conduct to be adopted. The superior has the obligation to take active steps to ensure that the offender will be punished. The Chamber further takes the view that, in order to discharge this obligation, the superior may exercise his own powers of sanction, or if he lacks such powers, report the offender to the competent authorities.</w:t>
      </w:r>
      <w:r>
        <w:rPr>
          <w:rFonts w:ascii="Times New Roman" w:eastAsia="Times New Roman" w:hAnsi="Times New Roman" w:cs="Times New Roman"/>
          <w:i/>
          <w:iCs/>
          <w:noProof/>
          <w:sz w:val="24"/>
          <w:szCs w:val="24"/>
        </w:rPr>
        <w:drawing>
          <wp:inline distT="0" distB="0" distL="0" distR="0">
            <wp:extent cx="151130" cy="142875"/>
            <wp:effectExtent l="19050" t="0" r="1270" b="0"/>
            <wp:docPr id="475" name="Imagen 4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74E4">
        <w:rPr>
          <w:rFonts w:ascii="Times New Roman" w:eastAsia="Times New Roman" w:hAnsi="Times New Roman" w:cs="Times New Roman"/>
          <w:i/>
          <w:iCs/>
          <w:sz w:val="24"/>
          <w:szCs w:val="24"/>
          <w:lang w:val="en-US"/>
        </w:rPr>
        <w:t>  [footnotes in original omitted; 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4D74E4">
        <w:rPr>
          <w:rFonts w:ascii="Times New Roman" w:eastAsia="Times New Roman" w:hAnsi="Times New Roman" w:cs="Times New Roman"/>
          <w:i/>
          <w:iCs/>
          <w:sz w:val="24"/>
          <w:szCs w:val="24"/>
          <w:lang w:val="en-US"/>
        </w:rPr>
        <w:t>499. … The Appeals Chamber affirms the Trial Chamber’s statement of the law that “[t]he duty to prevent arises from the time a superior acquires knowledge, or has reason to know that a crime is being or is about to be committed, while the duty to punish arises after the superior acquires knowledge of the commission of the crime.” [SCSL, Sesay case, Judgement, § 314]</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(iii) Punishment of subordinate offenders</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502. … As a matter of law, the Prosecution is under an obligation to prove that a superior failed to take the necessary and reasonable measures to punish perpetrators of a crime. In the Prosecution’s Final Trial Brief, it quotes from a passage in the Strugar Trial Judgment to establish that a superior’s duty to punish includes, at the very least, “an obligation to investigate possible crimes, to establish the facts, and if the superior has no power to sanction, to report them to the competent authorities.” [ICTY, Strugar case, Judgement, § 376]</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lastRenderedPageBreak/>
        <w:t>…</w:t>
      </w:r>
      <w:r w:rsidRPr="006155D3">
        <w:rPr>
          <w:rFonts w:ascii="Times New Roman" w:eastAsia="Times New Roman" w:hAnsi="Times New Roman" w:cs="Times New Roman"/>
          <w:i/>
          <w:iCs/>
          <w:sz w:val="24"/>
          <w:szCs w:val="24"/>
          <w:lang w:val="en-US"/>
        </w:rPr>
        <w:br/>
      </w:r>
      <w:r w:rsidRPr="004D74E4">
        <w:rPr>
          <w:rFonts w:ascii="Times New Roman" w:eastAsia="Times New Roman" w:hAnsi="Times New Roman" w:cs="Times New Roman"/>
          <w:i/>
          <w:iCs/>
          <w:sz w:val="24"/>
          <w:szCs w:val="24"/>
          <w:lang w:val="en-US"/>
        </w:rPr>
        <w:t>503. In its section on the applicable law, the Trial Chamber held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duty imposed on a superior to punish subordinate offenders includes the obligation to investigate the crime or to have the matter investigated to establish the facts in order to assist in the determination of the proper course of conduct to be adopted. The superior has the obligation to take active steps to ensure that the offender will be punished. The Chamber further takes the view that, in order to discharge this obligation, the superior may exercise his own powers of sanction, or if he lacks such powers, report the offender to the competent authorities. [SCSL, Sesay case, Judgement, § 317]</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w:t>
      </w:r>
      <w:r w:rsidRPr="006155D3">
        <w:rPr>
          <w:rFonts w:ascii="Times New Roman" w:eastAsia="Times New Roman" w:hAnsi="Times New Roman" w:cs="Times New Roman"/>
          <w:i/>
          <w:iCs/>
          <w:sz w:val="24"/>
          <w:szCs w:val="24"/>
          <w:lang w:val="en-US"/>
        </w:rPr>
        <w:br/>
        <w:t>505. The Appeals Chamber affirms the view that it need not be the superior who undertakes the actual investigation or institutes the punishment; however, the superior must at least ensure the matter is in fact investigated. This may be established through referral of the matter to the competent authorities.</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855. Where a commander receives information of the alleged commission of crimes by his subordinates, he may not remain wilfully blind to those reports.</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 xml:space="preserve">860. In order to demonstrate that a superior had reason to know of crimes committed or about to be committed by his subordinates, for purposes of establishing liability under Article 6(3) of the Statute, it must be established whether, in the circumstances of the case, he possessed information sufficiently alarming to justify further inquiry. </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873. … The Appeals Chamber recalls that customary international law recognises three essential elements in order for a superior to be found guilty for a crime under command responsibility. One of those elements is the existence of a superior-subordinate relationship, by virtue of which the superior exercises effective control over the subordinate. During the existence of that relationship, superiors can be found guilty of the underlying crime of the subordinate if they knew or had reason to know of the crime and if they failed to prevent the crime or punish the perpetrator.</w:t>
      </w:r>
      <w:r w:rsidRPr="006155D3">
        <w:rPr>
          <w:rFonts w:ascii="Times New Roman" w:eastAsia="Times New Roman" w:hAnsi="Times New Roman" w:cs="Times New Roman"/>
          <w:i/>
          <w:iCs/>
          <w:sz w:val="24"/>
          <w:szCs w:val="24"/>
          <w:lang w:val="en-US"/>
        </w:rPr>
        <w:br/>
        <w:t>874. The Trial Chamber recognised the need for the coextensive existence of these three elements. In addition, the Trial Chamber reasoned in obiter dicta that if the crime is committed prior to the formation of the superior-subordinate relationship, but a superior subsequently gains effective control over the subordinate who committed the crime and the superior has notice of the previously committed crime and fails to punish the subordinate, the superior is still, in the opinion of the Trial Chamber, liable for the crime inasmuch as his duty to punish under responsible command existed simultaneously with effective control and notice. However, such situation described by the Trial Chamber did not arise at all on the facts as found by it in this case. … Neither did the Trial Chamber offer any explanation as to why this apparent extension of liability under command responsibility was consistent with customary international law in effect at the time of the commission of the crimes.</w:t>
      </w:r>
      <w:r>
        <w:rPr>
          <w:rFonts w:ascii="Times New Roman" w:eastAsia="Times New Roman" w:hAnsi="Times New Roman" w:cs="Times New Roman"/>
          <w:i/>
          <w:iCs/>
          <w:noProof/>
          <w:sz w:val="24"/>
          <w:szCs w:val="24"/>
        </w:rPr>
        <w:drawing>
          <wp:inline distT="0" distB="0" distL="0" distR="0">
            <wp:extent cx="151130" cy="142875"/>
            <wp:effectExtent l="19050" t="0" r="1270" b="0"/>
            <wp:docPr id="476" name="Imagen 4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the indictment in the Taylor case before the SCSL in 2007, the Prosecution stated:</w:t>
      </w:r>
      <w:r w:rsidRPr="006155D3">
        <w:rPr>
          <w:rFonts w:ascii="Times New Roman" w:eastAsia="Times New Roman" w:hAnsi="Times New Roman" w:cs="Times New Roman"/>
          <w:i/>
          <w:iCs/>
          <w:sz w:val="24"/>
          <w:szCs w:val="24"/>
          <w:lang w:val="en-US"/>
        </w:rPr>
        <w:br/>
        <w:t xml:space="preserve">[P]ursuant to Article 6.3. of the [2002 Statute of the Special Court for Sierra Leone], the </w:t>
      </w:r>
      <w:r w:rsidRPr="006155D3">
        <w:rPr>
          <w:rFonts w:ascii="Times New Roman" w:eastAsia="Times New Roman" w:hAnsi="Times New Roman" w:cs="Times New Roman"/>
          <w:b/>
          <w:bCs/>
          <w:i/>
          <w:iCs/>
          <w:sz w:val="24"/>
          <w:szCs w:val="24"/>
          <w:lang w:val="en-US"/>
        </w:rPr>
        <w:t>ACCUSED</w:t>
      </w:r>
      <w:r w:rsidRPr="006155D3">
        <w:rPr>
          <w:rFonts w:ascii="Times New Roman" w:eastAsia="Times New Roman" w:hAnsi="Times New Roman" w:cs="Times New Roman"/>
          <w:i/>
          <w:iCs/>
          <w:sz w:val="24"/>
          <w:szCs w:val="24"/>
          <w:lang w:val="en-US"/>
        </w:rPr>
        <w:t xml:space="preserve">, while holding positions of superior responsibility and exercising command and control over subordinate members of the RUF [Revolutionary United Front], AFRC [Armed Forces Revolutionary Council], AFRC/RUF Junta or alliance, and/or Liberian fighters, is individually criminally responsible for the crimes referred to in Articles 2, 3 and 4 of the Statute as alleged in this Amended Indictment. The </w:t>
      </w:r>
      <w:r w:rsidRPr="006155D3">
        <w:rPr>
          <w:rFonts w:ascii="Times New Roman" w:eastAsia="Times New Roman" w:hAnsi="Times New Roman" w:cs="Times New Roman"/>
          <w:b/>
          <w:bCs/>
          <w:i/>
          <w:iCs/>
          <w:sz w:val="24"/>
          <w:szCs w:val="24"/>
          <w:lang w:val="en-US"/>
        </w:rPr>
        <w:lastRenderedPageBreak/>
        <w:t>ACCUSED</w:t>
      </w:r>
      <w:r w:rsidRPr="006155D3">
        <w:rPr>
          <w:rFonts w:ascii="Times New Roman" w:eastAsia="Times New Roman" w:hAnsi="Times New Roman" w:cs="Times New Roman"/>
          <w:i/>
          <w:iCs/>
          <w:sz w:val="24"/>
          <w:szCs w:val="24"/>
          <w:lang w:val="en-US"/>
        </w:rPr>
        <w:t xml:space="preserve"> is responsible for the criminal acts of his subordinates in that he knew or had reason to know that the subordinate was about to commit such acts or had done so and the </w:t>
      </w:r>
      <w:r w:rsidRPr="006155D3">
        <w:rPr>
          <w:rFonts w:ascii="Times New Roman" w:eastAsia="Times New Roman" w:hAnsi="Times New Roman" w:cs="Times New Roman"/>
          <w:b/>
          <w:bCs/>
          <w:i/>
          <w:iCs/>
          <w:sz w:val="24"/>
          <w:szCs w:val="24"/>
          <w:lang w:val="en-US"/>
        </w:rPr>
        <w:t>ACCUSED</w:t>
      </w:r>
      <w:r w:rsidRPr="006155D3">
        <w:rPr>
          <w:rFonts w:ascii="Times New Roman" w:eastAsia="Times New Roman" w:hAnsi="Times New Roman" w:cs="Times New Roman"/>
          <w:i/>
          <w:iCs/>
          <w:sz w:val="24"/>
          <w:szCs w:val="24"/>
          <w:lang w:val="en-US"/>
        </w:rPr>
        <w:t xml:space="preserve"> failed to take the necessary and reasonable measures to prevent such acts or to punish the perpetrators thereof.</w:t>
      </w:r>
      <w:r>
        <w:rPr>
          <w:rFonts w:ascii="Times New Roman" w:eastAsia="Times New Roman" w:hAnsi="Times New Roman" w:cs="Times New Roman"/>
          <w:i/>
          <w:iCs/>
          <w:noProof/>
          <w:sz w:val="24"/>
          <w:szCs w:val="24"/>
        </w:rPr>
        <w:drawing>
          <wp:inline distT="0" distB="0" distL="0" distR="0">
            <wp:extent cx="151130" cy="142875"/>
            <wp:effectExtent l="19050" t="0" r="1270" b="0"/>
            <wp:docPr id="477" name="Imagen 4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xml:space="preserve">  </w:t>
      </w:r>
      <w:r w:rsidRPr="004406D2">
        <w:rPr>
          <w:rFonts w:ascii="Times New Roman" w:eastAsia="Times New Roman" w:hAnsi="Times New Roman" w:cs="Times New Roman"/>
          <w:i/>
          <w:iCs/>
          <w:sz w:val="24"/>
          <w:szCs w:val="24"/>
          <w:lang w:val="en-US"/>
        </w:rPr>
        <w:t>[emphasis in original]</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 xml:space="preserve">Extraordinary Chambers in the Courts of Cambodia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the Kaing case before the ECCC, the accused was charged, both individually and as a superior, with, inter alia, various crimes against humanity and grave breaches of the 1949 Geneva Conventions. In its judgment in 2010, the Trial Chamber considered the elements of superior responsibility, stating:</w:t>
      </w:r>
      <w:r w:rsidRPr="006155D3">
        <w:rPr>
          <w:rFonts w:ascii="Times New Roman" w:eastAsia="Times New Roman" w:hAnsi="Times New Roman" w:cs="Times New Roman"/>
          <w:i/>
          <w:iCs/>
          <w:sz w:val="24"/>
          <w:szCs w:val="24"/>
          <w:lang w:val="en-US"/>
        </w:rPr>
        <w:br/>
        <w:t>476. [T]he Nuremberg-era tribunals found that the failure of a superior to carry out his duty to control his subordinates’ criminal conduct could lead to individual criminal responsibility. This principle was later codified in Articles 86 and 87 of the [1977] Protocol Additional to the Geneva Conventions of 12 August 1949, and Relating to the Protection of Victims of International Armed Conflict (“Additional Protocol I”). Though Additional Protocol I was adopted in 1977, the ICTY Appeals Chamber has found that “command responsibility was part of customary international law relating to international armed conflicts before the adoption of [Additional] Protocol I.” [ICTY, Hadžihasanović case, Decision on Interlocutory Appeal Challenging Jurisdiction in Relation to Command Responsibility, § 29] The Chamber considers that this was also the case during the period relevant to the Amended Closing Order.</w:t>
      </w:r>
      <w:r w:rsidRPr="006155D3">
        <w:rPr>
          <w:rFonts w:ascii="Times New Roman" w:eastAsia="Times New Roman" w:hAnsi="Times New Roman" w:cs="Times New Roman"/>
          <w:i/>
          <w:iCs/>
          <w:sz w:val="24"/>
          <w:szCs w:val="24"/>
          <w:lang w:val="en-US"/>
        </w:rPr>
        <w:br/>
        <w:t>477. Jurisprudence from the Nuremberg-era tribunals and more recent international criminal tribunals also indicate that superior responsibility was not confined to military commanders under customary international law during the 1975 to 1979 period. As detailed below, it is the degree of control that an individual exercises over others, rather than the nature of his or her function, that is fundamental to the notion of superior responsibility.</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538. For an accused to be held responsible for the criminal conduct of his or her subordinates pursuant to superior responsibility, three elements must be fulfilled: (a) there must have been a superior-subordinate relationship between the accused and the person who committed the crime; (b) the accused must have known, or had reason to know, that the crime was about to be or had been committed; and (c) the accused must have failed to take the necessary and reasonable measures to prevent the crime or to punish the perpetrator. Each of these elements is discussed in turn below.</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2.7.10.1 Superior-subordinate relationship</w:t>
      </w:r>
      <w:r w:rsidRPr="006155D3">
        <w:rPr>
          <w:rFonts w:ascii="Times New Roman" w:eastAsia="Times New Roman" w:hAnsi="Times New Roman" w:cs="Times New Roman"/>
          <w:i/>
          <w:iCs/>
          <w:sz w:val="24"/>
          <w:szCs w:val="24"/>
          <w:lang w:val="en-US"/>
        </w:rPr>
        <w:br/>
        <w:t>540. Formal designation as a commander or a superior is not required in order to trigger superior responsibility: such responsibility can arise by virtue of a superior’s power, whether in law or in fact, over those who committed the crime. In order to demonstrate the existence of a superior-subordinate relationship, it must be established that the accused exercised effective control over the subordinate. In other words, the accused must have had the material ability to prevent or punish the subordinate’s commission of the crime.</w:t>
      </w:r>
      <w:r w:rsidRPr="006155D3">
        <w:rPr>
          <w:rFonts w:ascii="Times New Roman" w:eastAsia="Times New Roman" w:hAnsi="Times New Roman" w:cs="Times New Roman"/>
          <w:i/>
          <w:iCs/>
          <w:sz w:val="24"/>
          <w:szCs w:val="24"/>
          <w:lang w:val="en-US"/>
        </w:rPr>
        <w:br/>
        <w:t>541. Factors that would demonstrate that an accused exercised effective control over a subordinate include: the nature of the accused’s position, including his or her position within the military or political structure; the procedure for appointment and the actual tasks performed; the accused’s capacity to issue orders and whether or not such orders are actually executed; the fact that subordinates show greater discipline in the presence of the accused; the authority to invoke disciplinary measures; and the authority to release or transfer prisoners.</w:t>
      </w:r>
      <w:r w:rsidRPr="006155D3">
        <w:rPr>
          <w:rFonts w:ascii="Times New Roman" w:eastAsia="Times New Roman" w:hAnsi="Times New Roman" w:cs="Times New Roman"/>
          <w:i/>
          <w:iCs/>
          <w:sz w:val="24"/>
          <w:szCs w:val="24"/>
          <w:lang w:val="en-US"/>
        </w:rPr>
        <w:br/>
      </w:r>
      <w:r w:rsidRPr="006155D3">
        <w:rPr>
          <w:rFonts w:ascii="Times New Roman" w:eastAsia="Times New Roman" w:hAnsi="Times New Roman" w:cs="Times New Roman"/>
          <w:i/>
          <w:iCs/>
          <w:sz w:val="24"/>
          <w:szCs w:val="24"/>
          <w:lang w:val="en-US"/>
        </w:rPr>
        <w:lastRenderedPageBreak/>
        <w:t>542. Further, superior responsibility may ensue on the basis of both direct and indirect relationships of subordination. Every person in the chain of command who exercises effective control over subordinates is responsible for the crimes of those subordinates, provided that the other requirements of superior responsibility are met.</w:t>
      </w:r>
      <w:r w:rsidRPr="006155D3">
        <w:rPr>
          <w:rFonts w:ascii="Times New Roman" w:eastAsia="Times New Roman" w:hAnsi="Times New Roman" w:cs="Times New Roman"/>
          <w:i/>
          <w:iCs/>
          <w:sz w:val="24"/>
          <w:szCs w:val="24"/>
          <w:lang w:val="en-US"/>
        </w:rPr>
        <w:br/>
        <w:t>2.7.10.2 Superior knew or had reason to know</w:t>
      </w:r>
      <w:r w:rsidRPr="006155D3">
        <w:rPr>
          <w:rFonts w:ascii="Times New Roman" w:eastAsia="Times New Roman" w:hAnsi="Times New Roman" w:cs="Times New Roman"/>
          <w:i/>
          <w:iCs/>
          <w:sz w:val="24"/>
          <w:szCs w:val="24"/>
          <w:lang w:val="en-US"/>
        </w:rPr>
        <w:br/>
        <w:t>543. In order to hold a superior responsible under Article 29 (new) of the ECCC Law [Law on the Establishment of the ECCC (2001), as amended in 2004] for crimes committed by a subordinate, the superior must know, or have reason to know, that the subordinate was about to commit or had committed such crimes. The knowledge of the superior may not be presumed but must be established by direct or circumstantial evidence. The superior must have knowledge of the alleged criminal conduct of his or her subordinates and not simply knowledge of the occurrence of the crimes themselves.</w:t>
      </w:r>
      <w:r w:rsidRPr="006155D3">
        <w:rPr>
          <w:rFonts w:ascii="Times New Roman" w:eastAsia="Times New Roman" w:hAnsi="Times New Roman" w:cs="Times New Roman"/>
          <w:i/>
          <w:iCs/>
          <w:sz w:val="24"/>
          <w:szCs w:val="24"/>
          <w:lang w:val="en-US"/>
        </w:rPr>
        <w:br/>
        <w:t>544. A superior will be considered to have reason to know that crimes had been or were about to be committed where, in the circumstances of the case, he or she possessed information sufficiently alarming to justify further inquiry. This information may be general in nature and does not need to contain specific details on the crimes which have been or are about to be committed. The superior cannot be held liable for having failed to seek out such information in the first place. A superior may not, however, deliberately refrain from obtaining the relevant information when it is otherwise available to him or her.</w:t>
      </w:r>
      <w:r w:rsidRPr="006155D3">
        <w:rPr>
          <w:rFonts w:ascii="Times New Roman" w:eastAsia="Times New Roman" w:hAnsi="Times New Roman" w:cs="Times New Roman"/>
          <w:i/>
          <w:iCs/>
          <w:sz w:val="24"/>
          <w:szCs w:val="24"/>
          <w:lang w:val="en-US"/>
        </w:rPr>
        <w:br/>
        <w:t>2.7.10.3 Failure to prevent or punish</w:t>
      </w:r>
      <w:r w:rsidRPr="006155D3">
        <w:rPr>
          <w:rFonts w:ascii="Times New Roman" w:eastAsia="Times New Roman" w:hAnsi="Times New Roman" w:cs="Times New Roman"/>
          <w:i/>
          <w:iCs/>
          <w:sz w:val="24"/>
          <w:szCs w:val="24"/>
          <w:lang w:val="en-US"/>
        </w:rPr>
        <w:br/>
        <w:t>545. An accused may be held liable pursuant to superior responsibility if he or she failed to take necessary and reasonable measures to prevent the commission of a crime or punish its perpetrators. Necessary measures are those appropriate for the superior to discharge his or her obligation, showing a genuine effort to prevent or punish. Reasonable measures are those reasonably falling within the material powers of the superior. The determination of what constitutes necessary and reasonable measures must be made on a case-by-case basis and is not a matter of substantive law, but of evidence.</w:t>
      </w:r>
      <w:r w:rsidRPr="006155D3">
        <w:rPr>
          <w:rFonts w:ascii="Times New Roman" w:eastAsia="Times New Roman" w:hAnsi="Times New Roman" w:cs="Times New Roman"/>
          <w:i/>
          <w:iCs/>
          <w:sz w:val="24"/>
          <w:szCs w:val="24"/>
          <w:lang w:val="en-US"/>
        </w:rPr>
        <w:br/>
        <w:t>546. The failure to punish and the failure to prevent involve different crimes committed at different times: the failure to punish concerns past crimes committed by subordinates, whereas the failure to prevent concerns future crimes of subordinates. They represent two distinct legal obligations, the failure of either one of which entails responsibility under Article 29 (new) of the ECCC Law.</w:t>
      </w:r>
      <w:r w:rsidRPr="006155D3">
        <w:rPr>
          <w:rFonts w:ascii="Times New Roman" w:eastAsia="Times New Roman" w:hAnsi="Times New Roman" w:cs="Times New Roman"/>
          <w:i/>
          <w:iCs/>
          <w:sz w:val="24"/>
          <w:szCs w:val="24"/>
          <w:lang w:val="en-US"/>
        </w:rPr>
        <w:br/>
        <w:t>547. The failure to prevent and the failure to punish are not only legally distinct, but are also factually distinct in terms of the type of knowledge that is involved for each basis of superior responsibility. The duty to prevent arises for a superior from the moment he or she knows or has reason to know that a crime is about to be committed, while the duty to punish only arises after the commission of the crime.</w:t>
      </w:r>
      <w:r>
        <w:rPr>
          <w:rFonts w:ascii="Times New Roman" w:eastAsia="Times New Roman" w:hAnsi="Times New Roman" w:cs="Times New Roman"/>
          <w:i/>
          <w:iCs/>
          <w:noProof/>
          <w:sz w:val="24"/>
          <w:szCs w:val="24"/>
        </w:rPr>
        <w:drawing>
          <wp:inline distT="0" distB="0" distL="0" distR="0">
            <wp:extent cx="151130" cy="142875"/>
            <wp:effectExtent l="19050" t="0" r="1270" b="0"/>
            <wp:docPr id="478" name="Imagen 4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xml:space="preserve">  </w:t>
      </w:r>
      <w:r w:rsidRPr="004406D2">
        <w:rPr>
          <w:rFonts w:ascii="Times New Roman" w:eastAsia="Times New Roman" w:hAnsi="Times New Roman" w:cs="Times New Roman"/>
          <w:i/>
          <w:iCs/>
          <w:sz w:val="24"/>
          <w:szCs w:val="24"/>
          <w:lang w:val="en-US"/>
        </w:rPr>
        <w:t>[footnotes in original omitted]</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Back to top</w:t>
      </w:r>
    </w:p>
    <w:bookmarkStart w:id="78" w:name="_XIInReCr"/>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rPr>
        <w:fldChar w:fldCharType="begin"/>
      </w:r>
      <w:r w:rsidRPr="006155D3">
        <w:rPr>
          <w:rFonts w:ascii="Times New Roman" w:eastAsia="Times New Roman" w:hAnsi="Times New Roman" w:cs="Times New Roman"/>
          <w:i/>
          <w:iCs/>
          <w:sz w:val="24"/>
          <w:szCs w:val="24"/>
          <w:lang w:val="en-US"/>
        </w:rPr>
        <w:instrText xml:space="preserve"> HYPERLINK "javascript:openUrlLight('src_XIInReCr')" </w:instrText>
      </w:r>
      <w:r w:rsidRPr="006155D3">
        <w:rPr>
          <w:rFonts w:ascii="Times New Roman" w:eastAsia="Times New Roman" w:hAnsi="Times New Roman" w:cs="Times New Roman"/>
          <w:i/>
          <w:iCs/>
          <w:sz w:val="24"/>
          <w:szCs w:val="24"/>
        </w:rPr>
        <w:fldChar w:fldCharType="separate"/>
      </w:r>
      <w:r w:rsidRPr="006155D3">
        <w:rPr>
          <w:rFonts w:ascii="Times New Roman" w:eastAsia="Times New Roman" w:hAnsi="Times New Roman" w:cs="Times New Roman"/>
          <w:i/>
          <w:iCs/>
          <w:color w:val="0000FF"/>
          <w:sz w:val="24"/>
          <w:szCs w:val="24"/>
          <w:u w:val="single"/>
          <w:lang w:val="en-US"/>
        </w:rPr>
        <w:t>XI. International Red Cross and Red Crescent Movement</w:t>
      </w:r>
      <w:r w:rsidRPr="006155D3">
        <w:rPr>
          <w:rFonts w:ascii="Times New Roman" w:eastAsia="Times New Roman" w:hAnsi="Times New Roman" w:cs="Times New Roman"/>
          <w:i/>
          <w:iCs/>
          <w:sz w:val="24"/>
          <w:szCs w:val="24"/>
        </w:rPr>
        <w:fldChar w:fldCharType="end"/>
      </w:r>
      <w:bookmarkEnd w:id="78"/>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ICRC</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To fulfil its task of disseminating IHL, the ICRC has delegates around the world teaching armed and security forces that:</w:t>
      </w:r>
      <w:r w:rsidRPr="006155D3">
        <w:rPr>
          <w:rFonts w:ascii="Times New Roman" w:eastAsia="Times New Roman" w:hAnsi="Times New Roman" w:cs="Times New Roman"/>
          <w:i/>
          <w:iCs/>
          <w:sz w:val="24"/>
          <w:szCs w:val="24"/>
          <w:lang w:val="en-US"/>
        </w:rPr>
        <w:br/>
        <w:t>The commander of all forces engaged in a military operation has the general responsibility for ensuring respect for the law of war.</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Respect for the law of war is a matter of order and discipline.</w:t>
      </w:r>
      <w:r w:rsidRPr="006155D3">
        <w:rPr>
          <w:rFonts w:ascii="Times New Roman" w:eastAsia="Times New Roman" w:hAnsi="Times New Roman" w:cs="Times New Roman"/>
          <w:i/>
          <w:iCs/>
          <w:sz w:val="24"/>
          <w:szCs w:val="24"/>
          <w:lang w:val="en-US"/>
        </w:rPr>
        <w:br/>
        <w:t xml:space="preserve">As with order and discipline, the law of war must be respected and enforced in all </w:t>
      </w:r>
      <w:r w:rsidRPr="006155D3">
        <w:rPr>
          <w:rFonts w:ascii="Times New Roman" w:eastAsia="Times New Roman" w:hAnsi="Times New Roman" w:cs="Times New Roman"/>
          <w:i/>
          <w:iCs/>
          <w:sz w:val="24"/>
          <w:szCs w:val="24"/>
          <w:lang w:val="en-US"/>
        </w:rPr>
        <w:lastRenderedPageBreak/>
        <w:t>circumstances.</w:t>
      </w:r>
      <w:r w:rsidRPr="006155D3">
        <w:rPr>
          <w:rFonts w:ascii="Times New Roman" w:eastAsia="Times New Roman" w:hAnsi="Times New Roman" w:cs="Times New Roman"/>
          <w:i/>
          <w:iCs/>
          <w:sz w:val="24"/>
          <w:szCs w:val="24"/>
          <w:lang w:val="en-US"/>
        </w:rPr>
        <w:br/>
        <w:t>…</w:t>
      </w:r>
      <w:r w:rsidRPr="006155D3">
        <w:rPr>
          <w:rFonts w:ascii="Times New Roman" w:eastAsia="Times New Roman" w:hAnsi="Times New Roman" w:cs="Times New Roman"/>
          <w:i/>
          <w:iCs/>
          <w:sz w:val="24"/>
          <w:szCs w:val="24"/>
          <w:lang w:val="en-US"/>
        </w:rPr>
        <w:br/>
        <w:t>The commander himself must ensure that: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b) the necessary measures are taken to prevent violations of the law of war.</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commander himself must ensure that his subordinates respect the law of war.</w:t>
      </w:r>
      <w:r w:rsidRPr="006155D3">
        <w:rPr>
          <w:rFonts w:ascii="Times New Roman" w:eastAsia="Times New Roman" w:hAnsi="Times New Roman" w:cs="Times New Roman"/>
          <w:i/>
          <w:iCs/>
          <w:sz w:val="24"/>
          <w:szCs w:val="24"/>
          <w:lang w:val="en-US"/>
        </w:rPr>
        <w:br/>
        <w:t>The commander must ensure that in case of a breach of the law of war:</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 the breach ceases;</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b) disciplinary or penal action is taken.</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The commander’s responsibility extends to breaches of the law of war resulting from a failure to act when under a duty to do so.</w:t>
      </w:r>
      <w:r>
        <w:rPr>
          <w:rFonts w:ascii="Times New Roman" w:eastAsia="Times New Roman" w:hAnsi="Times New Roman" w:cs="Times New Roman"/>
          <w:i/>
          <w:iCs/>
          <w:noProof/>
          <w:sz w:val="24"/>
          <w:szCs w:val="24"/>
        </w:rPr>
        <w:drawing>
          <wp:inline distT="0" distB="0" distL="0" distR="0">
            <wp:extent cx="151130" cy="142875"/>
            <wp:effectExtent l="19050" t="0" r="1270" b="0"/>
            <wp:docPr id="479" name="Imagen 4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r w:rsidRPr="006155D3">
        <w:rPr>
          <w:rFonts w:ascii="Times New Roman" w:eastAsia="Times New Roman" w:hAnsi="Times New Roman" w:cs="Times New Roman"/>
          <w:i/>
          <w:iCs/>
          <w:sz w:val="24"/>
          <w:szCs w:val="24"/>
          <w:lang w:val="en-US"/>
        </w:rPr>
        <w:br/>
        <w:t>Every commander who is aware that subordinates or other persons under his control/command are going to commit or have committed a breach of the law of war, shall initiate:</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a) the necessary steps to prevent such a breach; and/or</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b) disciplinary or penal action against the authors of the breach.</w:t>
      </w:r>
      <w:r>
        <w:rPr>
          <w:rFonts w:ascii="Times New Roman" w:eastAsia="Times New Roman" w:hAnsi="Times New Roman" w:cs="Times New Roman"/>
          <w:i/>
          <w:iCs/>
          <w:noProof/>
          <w:sz w:val="24"/>
          <w:szCs w:val="24"/>
        </w:rPr>
        <w:drawing>
          <wp:inline distT="0" distB="0" distL="0" distR="0">
            <wp:extent cx="151130" cy="142875"/>
            <wp:effectExtent l="19050" t="0" r="1270" b="0"/>
            <wp:docPr id="480" name="Imagen 4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In a press release issued in 1992 in the context of the conflict in Nagorno-Karabakh, the ICRC stated: “It is the responsibility of the region’s political leaders and military commanders to ensure … respect [for the red cross and red crescent emblem] and prevent misuse of the emblem.”</w:t>
      </w:r>
      <w:r>
        <w:rPr>
          <w:rFonts w:ascii="Times New Roman" w:eastAsia="Times New Roman" w:hAnsi="Times New Roman" w:cs="Times New Roman"/>
          <w:i/>
          <w:iCs/>
          <w:noProof/>
          <w:sz w:val="24"/>
          <w:szCs w:val="24"/>
        </w:rPr>
        <w:drawing>
          <wp:inline distT="0" distB="0" distL="0" distR="0">
            <wp:extent cx="151130" cy="142875"/>
            <wp:effectExtent l="19050" t="0" r="1270" b="0"/>
            <wp:docPr id="481" name="Imagen 4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5D3">
        <w:rPr>
          <w:rFonts w:ascii="Times New Roman" w:eastAsia="Times New Roman" w:hAnsi="Times New Roman" w:cs="Times New Roman"/>
          <w:i/>
          <w:iCs/>
          <w:sz w:val="24"/>
          <w:szCs w:val="24"/>
          <w:lang w:val="en-US"/>
        </w:rPr>
        <w:t> </w:t>
      </w:r>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Back to top</w:t>
      </w:r>
    </w:p>
    <w:bookmarkStart w:id="79" w:name="_XIOt"/>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rPr>
        <w:fldChar w:fldCharType="begin"/>
      </w:r>
      <w:r w:rsidRPr="006155D3">
        <w:rPr>
          <w:rFonts w:ascii="Times New Roman" w:eastAsia="Times New Roman" w:hAnsi="Times New Roman" w:cs="Times New Roman"/>
          <w:i/>
          <w:iCs/>
          <w:sz w:val="24"/>
          <w:szCs w:val="24"/>
          <w:lang w:val="en-US"/>
        </w:rPr>
        <w:instrText xml:space="preserve"> HYPERLINK "javascript:openUrlLight('src_XIOt')" </w:instrText>
      </w:r>
      <w:r w:rsidRPr="006155D3">
        <w:rPr>
          <w:rFonts w:ascii="Times New Roman" w:eastAsia="Times New Roman" w:hAnsi="Times New Roman" w:cs="Times New Roman"/>
          <w:i/>
          <w:iCs/>
          <w:sz w:val="24"/>
          <w:szCs w:val="24"/>
        </w:rPr>
        <w:fldChar w:fldCharType="separate"/>
      </w:r>
      <w:r w:rsidRPr="006155D3">
        <w:rPr>
          <w:rFonts w:ascii="Times New Roman" w:eastAsia="Times New Roman" w:hAnsi="Times New Roman" w:cs="Times New Roman"/>
          <w:i/>
          <w:iCs/>
          <w:color w:val="0000FF"/>
          <w:sz w:val="24"/>
          <w:szCs w:val="24"/>
          <w:u w:val="single"/>
          <w:lang w:val="en-US"/>
        </w:rPr>
        <w:t>XII. Other</w:t>
      </w:r>
      <w:r w:rsidRPr="006155D3">
        <w:rPr>
          <w:rFonts w:ascii="Times New Roman" w:eastAsia="Times New Roman" w:hAnsi="Times New Roman" w:cs="Times New Roman"/>
          <w:i/>
          <w:iCs/>
          <w:sz w:val="24"/>
          <w:szCs w:val="24"/>
        </w:rPr>
        <w:fldChar w:fldCharType="end"/>
      </w:r>
      <w:bookmarkEnd w:id="79"/>
    </w:p>
    <w:p w:rsidR="006155D3" w:rsidRPr="006155D3" w:rsidRDefault="006155D3" w:rsidP="006155D3">
      <w:pPr>
        <w:spacing w:after="0" w:line="240" w:lineRule="auto"/>
        <w:rPr>
          <w:rFonts w:ascii="Times New Roman" w:eastAsia="Times New Roman" w:hAnsi="Times New Roman" w:cs="Times New Roman"/>
          <w:i/>
          <w:iCs/>
          <w:sz w:val="24"/>
          <w:szCs w:val="24"/>
          <w:lang w:val="en-US"/>
        </w:rPr>
      </w:pPr>
      <w:r w:rsidRPr="006155D3">
        <w:rPr>
          <w:rFonts w:ascii="Times New Roman" w:eastAsia="Times New Roman" w:hAnsi="Times New Roman" w:cs="Times New Roman"/>
          <w:i/>
          <w:iCs/>
          <w:sz w:val="24"/>
          <w:szCs w:val="24"/>
          <w:lang w:val="en-US"/>
        </w:rPr>
        <w:t>Médecins Sans Frontières (MSF)</w:t>
      </w:r>
    </w:p>
    <w:p w:rsidR="006155D3" w:rsidRPr="006155D3" w:rsidRDefault="006155D3" w:rsidP="006155D3">
      <w:pPr>
        <w:spacing w:after="0" w:line="240" w:lineRule="auto"/>
        <w:rPr>
          <w:rFonts w:ascii="Times New Roman" w:eastAsia="Times New Roman" w:hAnsi="Times New Roman" w:cs="Times New Roman"/>
          <w:sz w:val="24"/>
          <w:szCs w:val="24"/>
          <w:lang w:val="en-US"/>
        </w:rPr>
      </w:pPr>
      <w:r w:rsidRPr="006155D3">
        <w:rPr>
          <w:rFonts w:ascii="Times New Roman" w:eastAsia="Times New Roman" w:hAnsi="Times New Roman" w:cs="Times New Roman"/>
          <w:i/>
          <w:iCs/>
          <w:sz w:val="24"/>
          <w:szCs w:val="24"/>
          <w:lang w:val="en-US"/>
        </w:rPr>
        <w:t>In 1993, in a communication on violations of IHL in Somalia during UNOSOM operations, MSF stated that the UN Security Council, the UN military commander and the commanders of the various national contingents are to be held responsible for an attack by UNOSOM II troops on the MSF compound in Somalia</w:t>
      </w:r>
    </w:p>
    <w:p w:rsidR="005D025A" w:rsidRPr="00530144" w:rsidRDefault="005D025A">
      <w:pPr>
        <w:rPr>
          <w:lang w:val="en-US"/>
        </w:rPr>
      </w:pPr>
    </w:p>
    <w:p w:rsidR="005D025A" w:rsidRPr="00530144" w:rsidRDefault="005D025A">
      <w:pPr>
        <w:rPr>
          <w:lang w:val="en-US"/>
        </w:rPr>
      </w:pPr>
    </w:p>
    <w:p w:rsidR="005D025A" w:rsidRPr="00530144" w:rsidRDefault="005D025A">
      <w:pPr>
        <w:rPr>
          <w:lang w:val="en-US"/>
        </w:rPr>
      </w:pPr>
    </w:p>
    <w:p w:rsidR="005D025A" w:rsidRPr="00530144" w:rsidRDefault="005D025A">
      <w:pPr>
        <w:rPr>
          <w:lang w:val="en-US"/>
        </w:rPr>
      </w:pPr>
    </w:p>
    <w:p w:rsidR="005D025A" w:rsidRPr="00530144" w:rsidRDefault="005D025A">
      <w:pPr>
        <w:rPr>
          <w:lang w:val="en-US"/>
        </w:rPr>
      </w:pPr>
    </w:p>
    <w:p w:rsidR="005D025A" w:rsidRPr="00530144" w:rsidRDefault="005D025A">
      <w:pPr>
        <w:rPr>
          <w:lang w:val="en-US"/>
        </w:rPr>
      </w:pPr>
    </w:p>
    <w:p w:rsidR="005D025A" w:rsidRDefault="005D025A">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212CC1" w:rsidRDefault="00212CC1">
      <w:pPr>
        <w:rPr>
          <w:lang w:val="en-US"/>
        </w:rPr>
      </w:pPr>
    </w:p>
    <w:p w:rsidR="00212CC1" w:rsidRPr="00530144" w:rsidRDefault="00212CC1" w:rsidP="00212CC1">
      <w:pPr>
        <w:rPr>
          <w:b/>
          <w:sz w:val="28"/>
          <w:szCs w:val="28"/>
          <w:lang w:val="en-US"/>
        </w:rPr>
      </w:pPr>
      <w:r w:rsidRPr="00530144">
        <w:rPr>
          <w:b/>
          <w:sz w:val="28"/>
          <w:szCs w:val="28"/>
          <w:lang w:val="en-US"/>
        </w:rPr>
        <w:t>Part II * Due Regard for the Natural Environment in Military Operations</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Due Regard for the Natural Environment in Military Operations</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b/>
          <w:bCs/>
          <w:sz w:val="24"/>
          <w:szCs w:val="24"/>
          <w:lang w:val="en-US"/>
        </w:rPr>
        <w:t>Rule 44. Methods and means of warfare must be employed with due regard to the protection and preservation of the natural environment. In the conduct of military operations, all feasible precautions must be taken to avoid, and in any event to minimize, incidental damage to the environment. Lack of scientific certainty as to the effects on the environment of certain military operations does not absolve a party to the conflict from taking such precautions.</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Summary</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State practice establishes this rule as a norm of customary international law applicable in international, and arguably also in non-international, armed conflicts.</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International armed conflicts</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 xml:space="preserve">State practice shows that the protection to be accorded to the environment during armed conflicts stems not only from the application to the environment of the rules protecting civilian objects, but also from a recognition of the need to provide particular protection to the environment as such. The extensive development of international law to protect the environment over the last few decades has been motivated by a recognition of the dangerous degradation of the natural environment caused by mankind. This development has been such that a State’s interest in the protection of its natural environment has now been recognized by the International Court of Justice in the </w:t>
      </w:r>
      <w:r w:rsidRPr="00CB5D38">
        <w:rPr>
          <w:rFonts w:ascii="Times New Roman" w:eastAsia="Times New Roman" w:hAnsi="Times New Roman" w:cs="Times New Roman"/>
          <w:i/>
          <w:iCs/>
          <w:sz w:val="24"/>
          <w:szCs w:val="24"/>
          <w:lang w:val="en-US"/>
        </w:rPr>
        <w:t>Gabcíkovo-Nagymaros Project case</w:t>
      </w:r>
      <w:r w:rsidRPr="00CB5D38">
        <w:rPr>
          <w:rFonts w:ascii="Times New Roman" w:eastAsia="Times New Roman" w:hAnsi="Times New Roman" w:cs="Times New Roman"/>
          <w:sz w:val="24"/>
          <w:szCs w:val="24"/>
          <w:lang w:val="en-US"/>
        </w:rPr>
        <w:t xml:space="preserve"> as an “essential interest” that could justify that State invoking the doctrine of “necessity” to renege from other international obligations.</w:t>
      </w:r>
      <w:bookmarkStart w:id="80" w:name="refFn_76_1"/>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w:t>
      </w:r>
      <w:r w:rsidRPr="00CB5D38">
        <w:rPr>
          <w:rFonts w:ascii="Times New Roman" w:eastAsia="Times New Roman" w:hAnsi="Times New Roman" w:cs="Times New Roman"/>
          <w:sz w:val="24"/>
          <w:szCs w:val="24"/>
        </w:rPr>
        <w:fldChar w:fldCharType="end"/>
      </w:r>
      <w:bookmarkEnd w:id="80"/>
      <w:r w:rsidRPr="00CB5D38">
        <w:rPr>
          <w:rFonts w:ascii="Times New Roman" w:eastAsia="Times New Roman" w:hAnsi="Times New Roman" w:cs="Times New Roman"/>
          <w:sz w:val="24"/>
          <w:szCs w:val="24"/>
          <w:lang w:val="en-US"/>
        </w:rPr>
        <w:t xml:space="preserve">  </w:t>
      </w:r>
      <w:r w:rsidRPr="00CB5D38">
        <w:rPr>
          <w:rFonts w:ascii="Times New Roman" w:eastAsia="Times New Roman" w:hAnsi="Times New Roman" w:cs="Times New Roman"/>
          <w:sz w:val="24"/>
          <w:szCs w:val="24"/>
          <w:lang w:val="en-US"/>
        </w:rPr>
        <w:br/>
        <w:t>The importance of the natural environment as such was taken into account by the UN Security Council in a resolution adopted in 1991, in which it affirmed Iraq’s responsibility under international law for environmental damage and depletion of natural resources as a result of its unlawful invasion and occupation of Kuwait.</w:t>
      </w:r>
      <w:bookmarkStart w:id="81" w:name="refFn_76_2"/>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w:t>
      </w:r>
      <w:r w:rsidRPr="00CB5D38">
        <w:rPr>
          <w:rFonts w:ascii="Times New Roman" w:eastAsia="Times New Roman" w:hAnsi="Times New Roman" w:cs="Times New Roman"/>
          <w:sz w:val="24"/>
          <w:szCs w:val="24"/>
        </w:rPr>
        <w:fldChar w:fldCharType="end"/>
      </w:r>
      <w:bookmarkEnd w:id="81"/>
      <w:r w:rsidRPr="00CB5D38">
        <w:rPr>
          <w:rFonts w:ascii="Times New Roman" w:eastAsia="Times New Roman" w:hAnsi="Times New Roman" w:cs="Times New Roman"/>
          <w:sz w:val="24"/>
          <w:szCs w:val="24"/>
          <w:lang w:val="en-US"/>
        </w:rPr>
        <w:t>  Profound concern at the deterioration of the environment during that war was also expressed by the UN General Assembly in resolutions adopted in 1991 and 1992.</w:t>
      </w:r>
      <w:bookmarkStart w:id="82" w:name="refFn_76_3"/>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"Fn_76_3"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[3]</w:t>
      </w:r>
      <w:r w:rsidRPr="00CB5D38">
        <w:rPr>
          <w:rFonts w:ascii="Times New Roman" w:eastAsia="Times New Roman" w:hAnsi="Times New Roman" w:cs="Times New Roman"/>
          <w:sz w:val="24"/>
          <w:szCs w:val="24"/>
        </w:rPr>
        <w:fldChar w:fldCharType="end"/>
      </w:r>
      <w:bookmarkEnd w:id="82"/>
      <w:r w:rsidRPr="00CB5D38">
        <w:rPr>
          <w:rFonts w:ascii="Times New Roman" w:eastAsia="Times New Roman" w:hAnsi="Times New Roman" w:cs="Times New Roman"/>
          <w:sz w:val="24"/>
          <w:szCs w:val="24"/>
          <w:lang w:val="en-US"/>
        </w:rPr>
        <w:t>  As a result of this concern, the UN General Assembly declared “6 November each year as the International Day for Preventing the Exploitation of the Environment in War and Armed Conflict”.</w:t>
      </w:r>
      <w:bookmarkStart w:id="83" w:name="refFn_76_4"/>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"Fn_76_4"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[4]</w:t>
      </w:r>
      <w:r w:rsidRPr="00CB5D38">
        <w:rPr>
          <w:rFonts w:ascii="Times New Roman" w:eastAsia="Times New Roman" w:hAnsi="Times New Roman" w:cs="Times New Roman"/>
          <w:sz w:val="24"/>
          <w:szCs w:val="24"/>
        </w:rPr>
        <w:fldChar w:fldCharType="end"/>
      </w:r>
      <w:bookmarkEnd w:id="83"/>
      <w:r w:rsidRPr="00CB5D38">
        <w:rPr>
          <w:rFonts w:ascii="Times New Roman" w:eastAsia="Times New Roman" w:hAnsi="Times New Roman" w:cs="Times New Roman"/>
          <w:sz w:val="24"/>
          <w:szCs w:val="24"/>
          <w:lang w:val="en-US"/>
        </w:rPr>
        <w:t>  Concern has also been expressed about the damage to the environment of both Yugoslavia and neighbouring countries by NATO’s bombing campaign against Yugoslavia during the Kosovo crisis.</w:t>
      </w:r>
      <w:bookmarkStart w:id="84" w:name="refFn_76_5"/>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"Fn_76_5"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[5]</w:t>
      </w:r>
      <w:r w:rsidRPr="00CB5D38">
        <w:rPr>
          <w:rFonts w:ascii="Times New Roman" w:eastAsia="Times New Roman" w:hAnsi="Times New Roman" w:cs="Times New Roman"/>
          <w:sz w:val="24"/>
          <w:szCs w:val="24"/>
        </w:rPr>
        <w:fldChar w:fldCharType="end"/>
      </w:r>
      <w:bookmarkEnd w:id="84"/>
      <w:r w:rsidRPr="00CB5D38">
        <w:rPr>
          <w:rFonts w:ascii="Times New Roman" w:eastAsia="Times New Roman" w:hAnsi="Times New Roman" w:cs="Times New Roman"/>
          <w:sz w:val="24"/>
          <w:szCs w:val="24"/>
          <w:lang w:val="en-US"/>
        </w:rPr>
        <w:t> </w:t>
      </w:r>
      <w:r w:rsidRPr="00CB5D38">
        <w:rPr>
          <w:rFonts w:ascii="Times New Roman" w:eastAsia="Times New Roman" w:hAnsi="Times New Roman" w:cs="Times New Roman"/>
          <w:sz w:val="24"/>
          <w:szCs w:val="24"/>
          <w:lang w:val="en-US"/>
        </w:rPr>
        <w:br/>
        <w:t>The need to protect the environment during armed conflict is set forth in several international instruments.</w:t>
      </w:r>
      <w:bookmarkStart w:id="85" w:name="refFn_76_6"/>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"Fn_76_6"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[6]</w:t>
      </w:r>
      <w:r w:rsidRPr="00CB5D38">
        <w:rPr>
          <w:rFonts w:ascii="Times New Roman" w:eastAsia="Times New Roman" w:hAnsi="Times New Roman" w:cs="Times New Roman"/>
          <w:sz w:val="24"/>
          <w:szCs w:val="24"/>
        </w:rPr>
        <w:fldChar w:fldCharType="end"/>
      </w:r>
      <w:bookmarkEnd w:id="85"/>
      <w:r w:rsidRPr="00CB5D38">
        <w:rPr>
          <w:rFonts w:ascii="Times New Roman" w:eastAsia="Times New Roman" w:hAnsi="Times New Roman" w:cs="Times New Roman"/>
          <w:sz w:val="24"/>
          <w:szCs w:val="24"/>
          <w:lang w:val="en-US"/>
        </w:rPr>
        <w:t>  The general need to protect the environment during armed conflict is also articulated in some military manuals, official statements and reported practice.</w:t>
      </w:r>
      <w:bookmarkStart w:id="86" w:name="refFn_76_7"/>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"Fn_76_7"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[7]</w:t>
      </w:r>
      <w:r w:rsidRPr="00CB5D38">
        <w:rPr>
          <w:rFonts w:ascii="Times New Roman" w:eastAsia="Times New Roman" w:hAnsi="Times New Roman" w:cs="Times New Roman"/>
          <w:sz w:val="24"/>
          <w:szCs w:val="24"/>
        </w:rPr>
        <w:fldChar w:fldCharType="end"/>
      </w:r>
      <w:bookmarkEnd w:id="86"/>
      <w:r w:rsidRPr="00CB5D38">
        <w:rPr>
          <w:rFonts w:ascii="Times New Roman" w:eastAsia="Times New Roman" w:hAnsi="Times New Roman" w:cs="Times New Roman"/>
          <w:sz w:val="24"/>
          <w:szCs w:val="24"/>
          <w:lang w:val="en-US"/>
        </w:rPr>
        <w:t>  It is further reflected in condemnations of behaviour in armed conflict that caused severe damage to the environment.</w:t>
      </w:r>
      <w:bookmarkStart w:id="87" w:name="refFn_76_8"/>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"Fn_76_8"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[8]</w:t>
      </w:r>
      <w:r w:rsidRPr="00CB5D38">
        <w:rPr>
          <w:rFonts w:ascii="Times New Roman" w:eastAsia="Times New Roman" w:hAnsi="Times New Roman" w:cs="Times New Roman"/>
          <w:sz w:val="24"/>
          <w:szCs w:val="24"/>
        </w:rPr>
        <w:fldChar w:fldCharType="end"/>
      </w:r>
      <w:bookmarkEnd w:id="87"/>
      <w:r w:rsidRPr="00CB5D38">
        <w:rPr>
          <w:rFonts w:ascii="Times New Roman" w:eastAsia="Times New Roman" w:hAnsi="Times New Roman" w:cs="Times New Roman"/>
          <w:sz w:val="24"/>
          <w:szCs w:val="24"/>
          <w:lang w:val="en-US"/>
        </w:rPr>
        <w:t xml:space="preserve">  In their submissions to the International Court of Justice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and </w:t>
      </w:r>
      <w:r w:rsidRPr="00CB5D38">
        <w:rPr>
          <w:rFonts w:ascii="Times New Roman" w:eastAsia="Times New Roman" w:hAnsi="Times New Roman" w:cs="Times New Roman"/>
          <w:i/>
          <w:iCs/>
          <w:sz w:val="24"/>
          <w:szCs w:val="24"/>
          <w:lang w:val="en-US"/>
        </w:rPr>
        <w:t>Nuclear Weapons (WHO) case</w:t>
      </w:r>
      <w:r w:rsidRPr="00CB5D38">
        <w:rPr>
          <w:rFonts w:ascii="Times New Roman" w:eastAsia="Times New Roman" w:hAnsi="Times New Roman" w:cs="Times New Roman"/>
          <w:sz w:val="24"/>
          <w:szCs w:val="24"/>
          <w:lang w:val="en-US"/>
        </w:rPr>
        <w:t xml:space="preserve">, many States emphasized that international law recognizes the importance of the protection of the environment during armed conflict, and they did not limit themselves to the </w:t>
      </w:r>
      <w:r w:rsidRPr="00CB5D38">
        <w:rPr>
          <w:rFonts w:ascii="Times New Roman" w:eastAsia="Times New Roman" w:hAnsi="Times New Roman" w:cs="Times New Roman"/>
          <w:sz w:val="24"/>
          <w:szCs w:val="24"/>
          <w:lang w:val="en-US"/>
        </w:rPr>
        <w:lastRenderedPageBreak/>
        <w:t>requirements of treaties specifically applicable to armed conflict.</w:t>
      </w:r>
      <w:bookmarkStart w:id="88" w:name="refFn_76_9"/>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"Fn_76_9"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[9]</w:t>
      </w:r>
      <w:r w:rsidRPr="00CB5D38">
        <w:rPr>
          <w:rFonts w:ascii="Times New Roman" w:eastAsia="Times New Roman" w:hAnsi="Times New Roman" w:cs="Times New Roman"/>
          <w:sz w:val="24"/>
          <w:szCs w:val="24"/>
        </w:rPr>
        <w:fldChar w:fldCharType="end"/>
      </w:r>
      <w:bookmarkEnd w:id="88"/>
      <w:r w:rsidRPr="00CB5D38">
        <w:rPr>
          <w:rFonts w:ascii="Times New Roman" w:eastAsia="Times New Roman" w:hAnsi="Times New Roman" w:cs="Times New Roman"/>
          <w:sz w:val="24"/>
          <w:szCs w:val="24"/>
          <w:lang w:val="en-US"/>
        </w:rPr>
        <w:t>  There is also evidence that environmental concerns affected military planning during the Gulf War, as the Coalition reportedly desisted from certain attacks out of environmental concerns.</w:t>
      </w:r>
      <w:bookmarkStart w:id="89" w:name="refFn_76_10"/>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"Fn_76_10"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[10]</w:t>
      </w:r>
      <w:r w:rsidRPr="00CB5D38">
        <w:rPr>
          <w:rFonts w:ascii="Times New Roman" w:eastAsia="Times New Roman" w:hAnsi="Times New Roman" w:cs="Times New Roman"/>
          <w:sz w:val="24"/>
          <w:szCs w:val="24"/>
        </w:rPr>
        <w:fldChar w:fldCharType="end"/>
      </w:r>
      <w:bookmarkEnd w:id="89"/>
      <w:r w:rsidRPr="00CB5D38">
        <w:rPr>
          <w:rFonts w:ascii="Times New Roman" w:eastAsia="Times New Roman" w:hAnsi="Times New Roman" w:cs="Times New Roman"/>
          <w:sz w:val="24"/>
          <w:szCs w:val="24"/>
          <w:lang w:val="en-US"/>
        </w:rPr>
        <w:t> </w:t>
      </w:r>
      <w:r w:rsidRPr="00CB5D38">
        <w:rPr>
          <w:rFonts w:ascii="Times New Roman" w:eastAsia="Times New Roman" w:hAnsi="Times New Roman" w:cs="Times New Roman"/>
          <w:sz w:val="24"/>
          <w:szCs w:val="24"/>
          <w:lang w:val="en-US"/>
        </w:rPr>
        <w:br/>
        <w:t xml:space="preserve">Furthermore,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in 1996, the International Court of Justice found that States’ obligation to ensure that activities within their jurisdiction and control respect the environment of other States or areas beyond national control was part of customary international law.</w:t>
      </w:r>
      <w:bookmarkStart w:id="90" w:name="refFn_76_11"/>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"Fn_76_11"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[11]</w:t>
      </w:r>
      <w:r w:rsidRPr="00CB5D38">
        <w:rPr>
          <w:rFonts w:ascii="Times New Roman" w:eastAsia="Times New Roman" w:hAnsi="Times New Roman" w:cs="Times New Roman"/>
          <w:sz w:val="24"/>
          <w:szCs w:val="24"/>
        </w:rPr>
        <w:fldChar w:fldCharType="end"/>
      </w:r>
      <w:bookmarkEnd w:id="90"/>
      <w:r w:rsidRPr="00CB5D38">
        <w:rPr>
          <w:rFonts w:ascii="Times New Roman" w:eastAsia="Times New Roman" w:hAnsi="Times New Roman" w:cs="Times New Roman"/>
          <w:sz w:val="24"/>
          <w:szCs w:val="24"/>
          <w:lang w:val="en-US"/>
        </w:rPr>
        <w:t> </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Non-international armed conflicts</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It can be argued that the obligation to pay due regard to the environment also applies in non-international armed conflicts if there are effects in another State. This argument is based on the recognition by the International Court of Justice that safeguarding a State’s ecological balance was an “essential interest”</w:t>
      </w:r>
      <w:bookmarkStart w:id="91" w:name="refFn_76_12"/>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"Fn_76_12"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[12]</w:t>
      </w:r>
      <w:r w:rsidRPr="00CB5D38">
        <w:rPr>
          <w:rFonts w:ascii="Times New Roman" w:eastAsia="Times New Roman" w:hAnsi="Times New Roman" w:cs="Times New Roman"/>
          <w:sz w:val="24"/>
          <w:szCs w:val="24"/>
        </w:rPr>
        <w:fldChar w:fldCharType="end"/>
      </w:r>
      <w:bookmarkEnd w:id="91"/>
      <w:r w:rsidRPr="00CB5D38">
        <w:rPr>
          <w:rFonts w:ascii="Times New Roman" w:eastAsia="Times New Roman" w:hAnsi="Times New Roman" w:cs="Times New Roman"/>
          <w:sz w:val="24"/>
          <w:szCs w:val="24"/>
          <w:lang w:val="en-US"/>
        </w:rPr>
        <w:t>  and its finding that States’ obligation to ensure that activities within their jurisdiction and control respect the environment of other States or areas beyond national control were part of customary international law.</w:t>
      </w:r>
      <w:bookmarkStart w:id="92" w:name="refFn_76_13"/>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"Fn_76_13"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[13]</w:t>
      </w:r>
      <w:r w:rsidRPr="00CB5D38">
        <w:rPr>
          <w:rFonts w:ascii="Times New Roman" w:eastAsia="Times New Roman" w:hAnsi="Times New Roman" w:cs="Times New Roman"/>
          <w:sz w:val="24"/>
          <w:szCs w:val="24"/>
        </w:rPr>
        <w:fldChar w:fldCharType="end"/>
      </w:r>
      <w:bookmarkEnd w:id="92"/>
      <w:r w:rsidRPr="00CB5D38">
        <w:rPr>
          <w:rFonts w:ascii="Times New Roman" w:eastAsia="Times New Roman" w:hAnsi="Times New Roman" w:cs="Times New Roman"/>
          <w:sz w:val="24"/>
          <w:szCs w:val="24"/>
          <w:lang w:val="en-US"/>
        </w:rPr>
        <w:t> </w:t>
      </w:r>
      <w:r w:rsidRPr="00CB5D38">
        <w:rPr>
          <w:rFonts w:ascii="Times New Roman" w:eastAsia="Times New Roman" w:hAnsi="Times New Roman" w:cs="Times New Roman"/>
          <w:sz w:val="24"/>
          <w:szCs w:val="24"/>
          <w:lang w:val="en-US"/>
        </w:rPr>
        <w:br/>
        <w:t>Furthermore, there are indications that this customary rule may also apply to parties’ behaviour within the State where the armed conflict is taking place. Some support for drafting a treaty rule for this purpose existed during the negotiation of Additional Protocol II.</w:t>
      </w:r>
      <w:bookmarkStart w:id="93" w:name="refFn_76_14"/>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"Fn_76_14"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[14]</w:t>
      </w:r>
      <w:r w:rsidRPr="00CB5D38">
        <w:rPr>
          <w:rFonts w:ascii="Times New Roman" w:eastAsia="Times New Roman" w:hAnsi="Times New Roman" w:cs="Times New Roman"/>
          <w:sz w:val="24"/>
          <w:szCs w:val="24"/>
        </w:rPr>
        <w:fldChar w:fldCharType="end"/>
      </w:r>
      <w:bookmarkEnd w:id="93"/>
      <w:r w:rsidRPr="00CB5D38">
        <w:rPr>
          <w:rFonts w:ascii="Times New Roman" w:eastAsia="Times New Roman" w:hAnsi="Times New Roman" w:cs="Times New Roman"/>
          <w:sz w:val="24"/>
          <w:szCs w:val="24"/>
          <w:lang w:val="en-US"/>
        </w:rPr>
        <w:t xml:space="preserve">  It was not adopted then, but the general acceptance of the applicability of international humanitarian law to non-international armed conflicts has considerably strengthened since 1977. In addition, many environmental law treaties apply to a State’s behaviour within its own territory (see </w:t>
      </w:r>
      <w:r w:rsidRPr="00CB5D38">
        <w:rPr>
          <w:rFonts w:ascii="Times New Roman" w:eastAsia="Times New Roman" w:hAnsi="Times New Roman" w:cs="Times New Roman"/>
          <w:i/>
          <w:iCs/>
          <w:sz w:val="24"/>
          <w:szCs w:val="24"/>
          <w:lang w:val="en-US"/>
        </w:rPr>
        <w:t>infra</w:t>
      </w:r>
      <w:r w:rsidRPr="00CB5D38">
        <w:rPr>
          <w:rFonts w:ascii="Times New Roman" w:eastAsia="Times New Roman" w:hAnsi="Times New Roman" w:cs="Times New Roman"/>
          <w:sz w:val="24"/>
          <w:szCs w:val="24"/>
          <w:lang w:val="en-US"/>
        </w:rPr>
        <w:t xml:space="preserve">). There is also a certain amount of State practice indicating the obligation to protect the environment that applies also to non-international armed conflicts, including military manuals, official statements and the many submissions by States to the International Court of Justice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to the effect that the environment must be protected for the benefit of all.</w:t>
      </w:r>
      <w:bookmarkStart w:id="94" w:name="refFn_76_15"/>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"Fn_76_15"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[15]</w:t>
      </w:r>
      <w:r w:rsidRPr="00CB5D38">
        <w:rPr>
          <w:rFonts w:ascii="Times New Roman" w:eastAsia="Times New Roman" w:hAnsi="Times New Roman" w:cs="Times New Roman"/>
          <w:sz w:val="24"/>
          <w:szCs w:val="24"/>
        </w:rPr>
        <w:fldChar w:fldCharType="end"/>
      </w:r>
      <w:bookmarkEnd w:id="94"/>
      <w:r w:rsidRPr="00CB5D38">
        <w:rPr>
          <w:rFonts w:ascii="Times New Roman" w:eastAsia="Times New Roman" w:hAnsi="Times New Roman" w:cs="Times New Roman"/>
          <w:sz w:val="24"/>
          <w:szCs w:val="24"/>
          <w:lang w:val="en-US"/>
        </w:rPr>
        <w:t> </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Obligation to take all feasible precautions to avoid or minimize damage to the environment</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Practice indicates that the obligation to take all feasible precautions to avoid, and in any event to minimize, incidental damage to civilian objects (see Rule 15) equally applies to damage to the natural environment. This is set forth in the Guidelines on the Protection of the Environment in Times of Armed Conflict.</w:t>
      </w:r>
      <w:bookmarkStart w:id="95" w:name="refFn_76_16"/>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"Fn_76_16"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[16]</w:t>
      </w:r>
      <w:r w:rsidRPr="00CB5D38">
        <w:rPr>
          <w:rFonts w:ascii="Times New Roman" w:eastAsia="Times New Roman" w:hAnsi="Times New Roman" w:cs="Times New Roman"/>
          <w:sz w:val="24"/>
          <w:szCs w:val="24"/>
        </w:rPr>
        <w:fldChar w:fldCharType="end"/>
      </w:r>
      <w:bookmarkEnd w:id="95"/>
      <w:r w:rsidRPr="00CB5D38">
        <w:rPr>
          <w:rFonts w:ascii="Times New Roman" w:eastAsia="Times New Roman" w:hAnsi="Times New Roman" w:cs="Times New Roman"/>
          <w:sz w:val="24"/>
          <w:szCs w:val="24"/>
          <w:lang w:val="en-US"/>
        </w:rPr>
        <w:t>  The principle that precautions must be taken to avoid or minimize damage to the environment is also supported by military manuals and official statements.</w:t>
      </w:r>
      <w:bookmarkStart w:id="96" w:name="refFn_76_17"/>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"Fn_76_17"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[17]</w:t>
      </w:r>
      <w:r w:rsidRPr="00CB5D38">
        <w:rPr>
          <w:rFonts w:ascii="Times New Roman" w:eastAsia="Times New Roman" w:hAnsi="Times New Roman" w:cs="Times New Roman"/>
          <w:sz w:val="24"/>
          <w:szCs w:val="24"/>
        </w:rPr>
        <w:fldChar w:fldCharType="end"/>
      </w:r>
      <w:bookmarkEnd w:id="96"/>
      <w:r w:rsidRPr="00CB5D38">
        <w:rPr>
          <w:rFonts w:ascii="Times New Roman" w:eastAsia="Times New Roman" w:hAnsi="Times New Roman" w:cs="Times New Roman"/>
          <w:sz w:val="24"/>
          <w:szCs w:val="24"/>
          <w:lang w:val="en-US"/>
        </w:rPr>
        <w:t> </w:t>
      </w:r>
      <w:r w:rsidRPr="00CB5D38">
        <w:rPr>
          <w:rFonts w:ascii="Times New Roman" w:eastAsia="Times New Roman" w:hAnsi="Times New Roman" w:cs="Times New Roman"/>
          <w:sz w:val="24"/>
          <w:szCs w:val="24"/>
          <w:lang w:val="en-US"/>
        </w:rPr>
        <w:br/>
        <w:t>In 1995, the 26th International Conference of the Red Cross and Red Crescent called on parties to the conflict to “take all feasible precautions to avoid, in their military operations, all acts liable to destroy or damage water sources”.</w:t>
      </w:r>
      <w:bookmarkStart w:id="97" w:name="refFn_76_18"/>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"Fn_76_18"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[18]</w:t>
      </w:r>
      <w:r w:rsidRPr="00CB5D38">
        <w:rPr>
          <w:rFonts w:ascii="Times New Roman" w:eastAsia="Times New Roman" w:hAnsi="Times New Roman" w:cs="Times New Roman"/>
          <w:sz w:val="24"/>
          <w:szCs w:val="24"/>
        </w:rPr>
        <w:fldChar w:fldCharType="end"/>
      </w:r>
      <w:bookmarkEnd w:id="97"/>
      <w:r w:rsidRPr="00CB5D38">
        <w:rPr>
          <w:rFonts w:ascii="Times New Roman" w:eastAsia="Times New Roman" w:hAnsi="Times New Roman" w:cs="Times New Roman"/>
          <w:sz w:val="24"/>
          <w:szCs w:val="24"/>
          <w:lang w:val="en-US"/>
        </w:rPr>
        <w:t> </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Precautionary principle</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There is practice to the effect that lack of scientific certainty as to the effects on the environment of certain military operations does not absolve parties to a conflict from taking proper precautionary measures to prevent undue damage. As the potential effect on the environment will need to be assessed during the planning of an attack, the fact that there is bound to be some uncertainty as to its full impact on the environment means that the “precautionary principle” is of particular relevance to such an attack. The precautionary principle in environmental law has been gaining increasing recognition.</w:t>
      </w:r>
      <w:bookmarkStart w:id="98" w:name="refFn_76_19"/>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"Fn_76_19"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[19]</w:t>
      </w:r>
      <w:r w:rsidRPr="00CB5D38">
        <w:rPr>
          <w:rFonts w:ascii="Times New Roman" w:eastAsia="Times New Roman" w:hAnsi="Times New Roman" w:cs="Times New Roman"/>
          <w:sz w:val="24"/>
          <w:szCs w:val="24"/>
        </w:rPr>
        <w:fldChar w:fldCharType="end"/>
      </w:r>
      <w:bookmarkEnd w:id="98"/>
      <w:r w:rsidRPr="00CB5D38">
        <w:rPr>
          <w:rFonts w:ascii="Times New Roman" w:eastAsia="Times New Roman" w:hAnsi="Times New Roman" w:cs="Times New Roman"/>
          <w:sz w:val="24"/>
          <w:szCs w:val="24"/>
          <w:lang w:val="en-US"/>
        </w:rPr>
        <w:t xml:space="preserve">  There is, furthermore, practice to the effect that this environmental law principle applies in armed conflict. In its advisory opinion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the International Court of Justice stated that the basic principles it recognized in the </w:t>
      </w:r>
      <w:r w:rsidRPr="00CB5D38">
        <w:rPr>
          <w:rFonts w:ascii="Times New Roman" w:eastAsia="Times New Roman" w:hAnsi="Times New Roman" w:cs="Times New Roman"/>
          <w:i/>
          <w:iCs/>
          <w:sz w:val="24"/>
          <w:szCs w:val="24"/>
          <w:lang w:val="en-US"/>
        </w:rPr>
        <w:lastRenderedPageBreak/>
        <w:t xml:space="preserve">Nuclear Tests case (Request for an Examination of the Situation) </w:t>
      </w:r>
      <w:r w:rsidRPr="00CB5D38">
        <w:rPr>
          <w:rFonts w:ascii="Times New Roman" w:eastAsia="Times New Roman" w:hAnsi="Times New Roman" w:cs="Times New Roman"/>
          <w:sz w:val="24"/>
          <w:szCs w:val="24"/>
          <w:lang w:val="en-US"/>
        </w:rPr>
        <w:t>of 1995 would also apply to the actual use of nuclear weapons in armed conflict.</w:t>
      </w:r>
      <w:bookmarkStart w:id="99" w:name="refFn_76_20"/>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"Fn_76_20"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[20]</w:t>
      </w:r>
      <w:r w:rsidRPr="00CB5D38">
        <w:rPr>
          <w:rFonts w:ascii="Times New Roman" w:eastAsia="Times New Roman" w:hAnsi="Times New Roman" w:cs="Times New Roman"/>
          <w:sz w:val="24"/>
          <w:szCs w:val="24"/>
        </w:rPr>
        <w:fldChar w:fldCharType="end"/>
      </w:r>
      <w:bookmarkEnd w:id="99"/>
      <w:r w:rsidRPr="00CB5D38">
        <w:rPr>
          <w:rFonts w:ascii="Times New Roman" w:eastAsia="Times New Roman" w:hAnsi="Times New Roman" w:cs="Times New Roman"/>
          <w:sz w:val="24"/>
          <w:szCs w:val="24"/>
          <w:lang w:val="en-US"/>
        </w:rPr>
        <w:t xml:space="preserve">  This would include, </w:t>
      </w:r>
      <w:r w:rsidRPr="00CB5D38">
        <w:rPr>
          <w:rFonts w:ascii="Times New Roman" w:eastAsia="Times New Roman" w:hAnsi="Times New Roman" w:cs="Times New Roman"/>
          <w:i/>
          <w:iCs/>
          <w:sz w:val="24"/>
          <w:szCs w:val="24"/>
          <w:lang w:val="en-US"/>
        </w:rPr>
        <w:t>inter alia</w:t>
      </w:r>
      <w:r w:rsidRPr="00CB5D38">
        <w:rPr>
          <w:rFonts w:ascii="Times New Roman" w:eastAsia="Times New Roman" w:hAnsi="Times New Roman" w:cs="Times New Roman"/>
          <w:sz w:val="24"/>
          <w:szCs w:val="24"/>
          <w:lang w:val="en-US"/>
        </w:rPr>
        <w:t>,</w:t>
      </w:r>
      <w:r w:rsidRPr="00CB5D38">
        <w:rPr>
          <w:rFonts w:ascii="Times New Roman" w:eastAsia="Times New Roman" w:hAnsi="Times New Roman" w:cs="Times New Roman"/>
          <w:i/>
          <w:iCs/>
          <w:sz w:val="24"/>
          <w:szCs w:val="24"/>
          <w:lang w:val="en-US"/>
        </w:rPr>
        <w:t xml:space="preserve"> </w:t>
      </w:r>
      <w:r w:rsidRPr="00CB5D38">
        <w:rPr>
          <w:rFonts w:ascii="Times New Roman" w:eastAsia="Times New Roman" w:hAnsi="Times New Roman" w:cs="Times New Roman"/>
          <w:sz w:val="24"/>
          <w:szCs w:val="24"/>
          <w:lang w:val="en-US"/>
        </w:rPr>
        <w:t>the precautionary principle which was central to the arguments in the latter case.</w:t>
      </w:r>
      <w:bookmarkStart w:id="100" w:name="refFn_76_21"/>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"Fn_76_21"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[21]</w:t>
      </w:r>
      <w:r w:rsidRPr="00CB5D38">
        <w:rPr>
          <w:rFonts w:ascii="Times New Roman" w:eastAsia="Times New Roman" w:hAnsi="Times New Roman" w:cs="Times New Roman"/>
          <w:sz w:val="24"/>
          <w:szCs w:val="24"/>
        </w:rPr>
        <w:fldChar w:fldCharType="end"/>
      </w:r>
      <w:bookmarkEnd w:id="100"/>
      <w:r w:rsidRPr="00CB5D38">
        <w:rPr>
          <w:rFonts w:ascii="Times New Roman" w:eastAsia="Times New Roman" w:hAnsi="Times New Roman" w:cs="Times New Roman"/>
          <w:sz w:val="24"/>
          <w:szCs w:val="24"/>
          <w:lang w:val="en-US"/>
        </w:rPr>
        <w:t>  The ICRC, in its report submitted in 1993 to the UN General Assembly on the protection of the environment in time of armed conflict, referred to the precautionary principle as “an emerging, but generally recognized principle of international law [whose object it is] to anticipate and prevent damage to the environment and to ensure that, where there are threats of serious or irreversible damage, lack of scientific certainty shall not be used as a reason to postpone any measures to prevent such damage”.</w:t>
      </w:r>
      <w:bookmarkStart w:id="101" w:name="refFn_76_22"/>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"Fn_76_22"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[22]</w:t>
      </w:r>
      <w:r w:rsidRPr="00CB5D38">
        <w:rPr>
          <w:rFonts w:ascii="Times New Roman" w:eastAsia="Times New Roman" w:hAnsi="Times New Roman" w:cs="Times New Roman"/>
          <w:sz w:val="24"/>
          <w:szCs w:val="24"/>
        </w:rPr>
        <w:fldChar w:fldCharType="end"/>
      </w:r>
      <w:bookmarkEnd w:id="101"/>
      <w:r w:rsidRPr="00CB5D38">
        <w:rPr>
          <w:rFonts w:ascii="Times New Roman" w:eastAsia="Times New Roman" w:hAnsi="Times New Roman" w:cs="Times New Roman"/>
          <w:sz w:val="24"/>
          <w:szCs w:val="24"/>
          <w:lang w:val="en-US"/>
        </w:rPr>
        <w:t>  This assertion was not contested by any State.</w:t>
      </w:r>
    </w:p>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Continued application of environmental law during armed conflict</w:t>
      </w:r>
    </w:p>
    <w:p w:rsidR="00CB5D38" w:rsidRPr="00CB5D38" w:rsidRDefault="00CB5D38" w:rsidP="00CB5D38">
      <w:pPr>
        <w:spacing w:after="24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lang w:val="en-US"/>
        </w:rPr>
        <w:t>There appears to be insufficient uniformity of opinion on whether environmental law treaties continue to be applicable during armed conflict when no reference is made to this in the treaty concerned. The Guidelines on the Protection of the Environment in Times of Armed Conflict states that international environmental law “may continue to be applicable in times of armed conflict to the extent that they are not inconsistent with the applicable law of armed conflict”.</w:t>
      </w:r>
      <w:bookmarkStart w:id="102" w:name="refFn_76_23"/>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"Fn_76_23"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[23]</w:t>
      </w:r>
      <w:r w:rsidRPr="00CB5D38">
        <w:rPr>
          <w:rFonts w:ascii="Times New Roman" w:eastAsia="Times New Roman" w:hAnsi="Times New Roman" w:cs="Times New Roman"/>
          <w:sz w:val="24"/>
          <w:szCs w:val="24"/>
        </w:rPr>
        <w:fldChar w:fldCharType="end"/>
      </w:r>
      <w:bookmarkEnd w:id="102"/>
      <w:r w:rsidRPr="00CB5D38">
        <w:rPr>
          <w:rFonts w:ascii="Times New Roman" w:eastAsia="Times New Roman" w:hAnsi="Times New Roman" w:cs="Times New Roman"/>
          <w:sz w:val="24"/>
          <w:szCs w:val="24"/>
          <w:lang w:val="en-US"/>
        </w:rPr>
        <w:t xml:space="preserve">  </w:t>
      </w:r>
      <w:r w:rsidRPr="00CB5D38">
        <w:rPr>
          <w:rFonts w:ascii="Times New Roman" w:eastAsia="Times New Roman" w:hAnsi="Times New Roman" w:cs="Times New Roman"/>
          <w:sz w:val="24"/>
          <w:szCs w:val="24"/>
          <w:lang w:val="en-US"/>
        </w:rPr>
        <w:br/>
        <w:t xml:space="preserve">In its advisory opinion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the International Court of Justice did not address this issue directly, but stated that environmental law “indicates important factors that are properly to be taken into account in the context of the implementation of the principles and rules of the law applicable in armed conflict”.</w:t>
      </w:r>
      <w:bookmarkStart w:id="103" w:name="refFn_76_24"/>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"Fn_76_24"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[24]</w:t>
      </w:r>
      <w:r w:rsidRPr="00CB5D38">
        <w:rPr>
          <w:rFonts w:ascii="Times New Roman" w:eastAsia="Times New Roman" w:hAnsi="Times New Roman" w:cs="Times New Roman"/>
          <w:sz w:val="24"/>
          <w:szCs w:val="24"/>
        </w:rPr>
        <w:fldChar w:fldCharType="end"/>
      </w:r>
      <w:bookmarkEnd w:id="103"/>
      <w:r w:rsidRPr="00CB5D38">
        <w:rPr>
          <w:rFonts w:ascii="Times New Roman" w:eastAsia="Times New Roman" w:hAnsi="Times New Roman" w:cs="Times New Roman"/>
          <w:sz w:val="24"/>
          <w:szCs w:val="24"/>
          <w:lang w:val="en-US"/>
        </w:rPr>
        <w:t>  The few States that analysed the issue in their submissions to the Court in this case had different views.</w:t>
      </w:r>
      <w:bookmarkStart w:id="104" w:name="refFn_76_25"/>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"Fn_76_25"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[25]</w:t>
      </w:r>
      <w:r w:rsidRPr="00CB5D38">
        <w:rPr>
          <w:rFonts w:ascii="Times New Roman" w:eastAsia="Times New Roman" w:hAnsi="Times New Roman" w:cs="Times New Roman"/>
          <w:sz w:val="24"/>
          <w:szCs w:val="24"/>
        </w:rPr>
        <w:fldChar w:fldCharType="end"/>
      </w:r>
      <w:bookmarkEnd w:id="104"/>
      <w:r w:rsidRPr="00CB5D38">
        <w:rPr>
          <w:rFonts w:ascii="Times New Roman" w:eastAsia="Times New Roman" w:hAnsi="Times New Roman" w:cs="Times New Roman"/>
          <w:sz w:val="24"/>
          <w:szCs w:val="24"/>
          <w:lang w:val="en-US"/>
        </w:rPr>
        <w:t> </w:t>
      </w:r>
    </w:p>
    <w:bookmarkStart w:id="105" w:name="Fn_76_1"/>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w:t>
      </w:r>
      <w:r w:rsidRPr="00CB5D38">
        <w:rPr>
          <w:rFonts w:ascii="Times New Roman" w:eastAsia="Times New Roman" w:hAnsi="Times New Roman" w:cs="Times New Roman"/>
          <w:sz w:val="24"/>
          <w:szCs w:val="24"/>
        </w:rPr>
        <w:fldChar w:fldCharType="end"/>
      </w:r>
      <w:bookmarkEnd w:id="105"/>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Gabčíkovo-Nagymaros Project case</w:t>
      </w:r>
      <w:r w:rsidRPr="00CB5D38">
        <w:rPr>
          <w:rFonts w:ascii="Times New Roman" w:eastAsia="Times New Roman" w:hAnsi="Times New Roman" w:cs="Times New Roman"/>
          <w:sz w:val="24"/>
          <w:szCs w:val="24"/>
          <w:lang w:val="en-US"/>
        </w:rPr>
        <w:t>, Judgment (cited in Vol. II, Ch. 14, § 121).</w:t>
      </w:r>
    </w:p>
    <w:bookmarkStart w:id="106" w:name="Fn_76_2"/>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w:t>
      </w:r>
      <w:r w:rsidRPr="00CB5D38">
        <w:rPr>
          <w:rFonts w:ascii="Times New Roman" w:eastAsia="Times New Roman" w:hAnsi="Times New Roman" w:cs="Times New Roman"/>
          <w:sz w:val="24"/>
          <w:szCs w:val="24"/>
        </w:rPr>
        <w:fldChar w:fldCharType="end"/>
      </w:r>
      <w:bookmarkEnd w:id="106"/>
      <w:r w:rsidRPr="00CB5D38">
        <w:rPr>
          <w:rFonts w:ascii="Times New Roman" w:eastAsia="Times New Roman" w:hAnsi="Times New Roman" w:cs="Times New Roman"/>
          <w:sz w:val="24"/>
          <w:szCs w:val="24"/>
          <w:lang w:val="en-US"/>
        </w:rPr>
        <w:t xml:space="preserve"> UN Security Council, Res. 687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111).</w:t>
      </w:r>
    </w:p>
    <w:bookmarkStart w:id="107" w:name="Fn_76_3"/>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"refFn_76_3"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[3]</w:t>
      </w:r>
      <w:r w:rsidRPr="00CB5D38">
        <w:rPr>
          <w:rFonts w:ascii="Times New Roman" w:eastAsia="Times New Roman" w:hAnsi="Times New Roman" w:cs="Times New Roman"/>
          <w:sz w:val="24"/>
          <w:szCs w:val="24"/>
        </w:rPr>
        <w:fldChar w:fldCharType="end"/>
      </w:r>
      <w:bookmarkEnd w:id="107"/>
      <w:r w:rsidRPr="00CB5D38">
        <w:rPr>
          <w:rFonts w:ascii="Times New Roman" w:eastAsia="Times New Roman" w:hAnsi="Times New Roman" w:cs="Times New Roman"/>
          <w:sz w:val="24"/>
          <w:szCs w:val="24"/>
          <w:lang w:val="en-US"/>
        </w:rPr>
        <w:t xml:space="preserve"> UN General Assembly, Res. 46/216 (adopted by 135 votes in favour, none against and one abstention)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112) and Res. 47/151 (adopted by 159 votes in favour, none against and two abstentions)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112).</w:t>
      </w:r>
    </w:p>
    <w:bookmarkStart w:id="108" w:name="Fn_76_4"/>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"refFn_76_4"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[4]</w:t>
      </w:r>
      <w:r w:rsidRPr="00CB5D38">
        <w:rPr>
          <w:rFonts w:ascii="Times New Roman" w:eastAsia="Times New Roman" w:hAnsi="Times New Roman" w:cs="Times New Roman"/>
          <w:sz w:val="24"/>
          <w:szCs w:val="24"/>
        </w:rPr>
        <w:fldChar w:fldCharType="end"/>
      </w:r>
      <w:bookmarkEnd w:id="108"/>
      <w:r w:rsidRPr="00CB5D38">
        <w:rPr>
          <w:rFonts w:ascii="Times New Roman" w:eastAsia="Times New Roman" w:hAnsi="Times New Roman" w:cs="Times New Roman"/>
          <w:sz w:val="24"/>
          <w:szCs w:val="24"/>
          <w:lang w:val="en-US"/>
        </w:rPr>
        <w:t xml:space="preserve"> UN General Assembly, Res. 56/4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115).</w:t>
      </w:r>
    </w:p>
    <w:bookmarkStart w:id="109" w:name="Fn_76_5"/>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"refFn_76_5"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[5]</w:t>
      </w:r>
      <w:r w:rsidRPr="00CB5D38">
        <w:rPr>
          <w:rFonts w:ascii="Times New Roman" w:eastAsia="Times New Roman" w:hAnsi="Times New Roman" w:cs="Times New Roman"/>
          <w:sz w:val="24"/>
          <w:szCs w:val="24"/>
        </w:rPr>
        <w:fldChar w:fldCharType="end"/>
      </w:r>
      <w:bookmarkEnd w:id="109"/>
      <w:r w:rsidRPr="00CB5D38">
        <w:rPr>
          <w:rFonts w:ascii="Times New Roman" w:eastAsia="Times New Roman" w:hAnsi="Times New Roman" w:cs="Times New Roman"/>
          <w:sz w:val="24"/>
          <w:szCs w:val="24"/>
          <w:lang w:val="en-US"/>
        </w:rPr>
        <w:t xml:space="preserve"> See, e.g., Council of Europe, Parliamentary Assembly, Committee on the Environment, Regional Planning and Local Authorities, Report on the Environmental Impact of the War in Yugoslavia on South-East Europe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117).</w:t>
      </w:r>
    </w:p>
    <w:bookmarkStart w:id="110" w:name="Fn_76_6"/>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"refFn_76_6"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[6]</w:t>
      </w:r>
      <w:r w:rsidRPr="00CB5D38">
        <w:rPr>
          <w:rFonts w:ascii="Times New Roman" w:eastAsia="Times New Roman" w:hAnsi="Times New Roman" w:cs="Times New Roman"/>
          <w:sz w:val="24"/>
          <w:szCs w:val="24"/>
        </w:rPr>
        <w:fldChar w:fldCharType="end"/>
      </w:r>
      <w:bookmarkEnd w:id="110"/>
      <w:r w:rsidRPr="00CB5D38">
        <w:rPr>
          <w:rFonts w:ascii="Times New Roman" w:eastAsia="Times New Roman" w:hAnsi="Times New Roman" w:cs="Times New Roman"/>
          <w:sz w:val="24"/>
          <w:szCs w:val="24"/>
          <w:lang w:val="en-US"/>
        </w:rPr>
        <w:t xml:space="preserve"> See, e.g., World Charter for Nature, Principle 5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73) and Principle 20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74); Rio Declaration, Principle 24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76); Guidelines on the Protection of the Environment in Times of Armed Conflict, § 11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77); San Remo Manual, §§ 35 and 44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78).</w:t>
      </w:r>
    </w:p>
    <w:bookmarkStart w:id="111" w:name="Fn_76_7"/>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"refFn_76_7"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[7]</w:t>
      </w:r>
      <w:r w:rsidRPr="00CB5D38">
        <w:rPr>
          <w:rFonts w:ascii="Times New Roman" w:eastAsia="Times New Roman" w:hAnsi="Times New Roman" w:cs="Times New Roman"/>
          <w:sz w:val="24"/>
          <w:szCs w:val="24"/>
        </w:rPr>
        <w:fldChar w:fldCharType="end"/>
      </w:r>
      <w:bookmarkEnd w:id="111"/>
      <w:r w:rsidRPr="00CB5D38">
        <w:rPr>
          <w:rFonts w:ascii="Times New Roman" w:eastAsia="Times New Roman" w:hAnsi="Times New Roman" w:cs="Times New Roman"/>
          <w:sz w:val="24"/>
          <w:szCs w:val="24"/>
          <w:lang w:val="en-US"/>
        </w:rPr>
        <w:t xml:space="preserve"> See, e.g., the military manuals of Australia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79), Republic of Korea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80) and United States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81), the statement of Yemen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109) and the reported practice of Lebanon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96).</w:t>
      </w:r>
    </w:p>
    <w:bookmarkStart w:id="112" w:name="Fn_76_8"/>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"refFn_76_8"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[8]</w:t>
      </w:r>
      <w:r w:rsidRPr="00CB5D38">
        <w:rPr>
          <w:rFonts w:ascii="Times New Roman" w:eastAsia="Times New Roman" w:hAnsi="Times New Roman" w:cs="Times New Roman"/>
          <w:sz w:val="24"/>
          <w:szCs w:val="24"/>
        </w:rPr>
        <w:fldChar w:fldCharType="end"/>
      </w:r>
      <w:bookmarkEnd w:id="112"/>
      <w:r w:rsidRPr="00CB5D38">
        <w:rPr>
          <w:rFonts w:ascii="Times New Roman" w:eastAsia="Times New Roman" w:hAnsi="Times New Roman" w:cs="Times New Roman"/>
          <w:sz w:val="24"/>
          <w:szCs w:val="24"/>
          <w:lang w:val="en-US"/>
        </w:rPr>
        <w:t xml:space="preserve"> See, e.g., the statements of China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84), Colombia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85), Germany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91), Islamic Republic of Iran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93), Netherlands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99) and United Kingdom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105).</w:t>
      </w:r>
    </w:p>
    <w:bookmarkStart w:id="113" w:name="Fn_76_9"/>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"refFn_76_9"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[9]</w:t>
      </w:r>
      <w:r w:rsidRPr="00CB5D38">
        <w:rPr>
          <w:rFonts w:ascii="Times New Roman" w:eastAsia="Times New Roman" w:hAnsi="Times New Roman" w:cs="Times New Roman"/>
          <w:sz w:val="24"/>
          <w:szCs w:val="24"/>
        </w:rPr>
        <w:fldChar w:fldCharType="end"/>
      </w:r>
      <w:bookmarkEnd w:id="113"/>
      <w:r w:rsidRPr="00CB5D38">
        <w:rPr>
          <w:rFonts w:ascii="Times New Roman" w:eastAsia="Times New Roman" w:hAnsi="Times New Roman" w:cs="Times New Roman"/>
          <w:sz w:val="24"/>
          <w:szCs w:val="24"/>
          <w:lang w:val="en-US"/>
        </w:rPr>
        <w:t xml:space="preserve"> See the oral pleadings of or the written statements submitted to the ICJ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by Egypt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88), Islamic Republic of Iran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93), Malaysia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97), Qatar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102) and Solomon Islands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xml:space="preserve">, § 103) and the written statements submitted in the </w:t>
      </w:r>
      <w:r w:rsidRPr="00CB5D38">
        <w:rPr>
          <w:rFonts w:ascii="Times New Roman" w:eastAsia="Times New Roman" w:hAnsi="Times New Roman" w:cs="Times New Roman"/>
          <w:i/>
          <w:iCs/>
          <w:sz w:val="24"/>
          <w:szCs w:val="24"/>
          <w:lang w:val="en-US"/>
        </w:rPr>
        <w:t>Nuclear Weapons (WHO) case</w:t>
      </w:r>
      <w:r w:rsidRPr="00CB5D38">
        <w:rPr>
          <w:rFonts w:ascii="Times New Roman" w:eastAsia="Times New Roman" w:hAnsi="Times New Roman" w:cs="Times New Roman"/>
          <w:sz w:val="24"/>
          <w:szCs w:val="24"/>
          <w:lang w:val="en-US"/>
        </w:rPr>
        <w:t xml:space="preserve"> by Costa Rica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87), Mexico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98) and Sri Lanka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104).</w:t>
      </w:r>
    </w:p>
    <w:bookmarkStart w:id="114" w:name="Fn_76_10"/>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"refFn_76_10"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[10]</w:t>
      </w:r>
      <w:r w:rsidRPr="00CB5D38">
        <w:rPr>
          <w:rFonts w:ascii="Times New Roman" w:eastAsia="Times New Roman" w:hAnsi="Times New Roman" w:cs="Times New Roman"/>
          <w:sz w:val="24"/>
          <w:szCs w:val="24"/>
        </w:rPr>
        <w:fldChar w:fldCharType="end"/>
      </w:r>
      <w:bookmarkEnd w:id="114"/>
      <w:r w:rsidRPr="00CB5D38">
        <w:rPr>
          <w:rFonts w:ascii="Times New Roman" w:eastAsia="Times New Roman" w:hAnsi="Times New Roman" w:cs="Times New Roman"/>
          <w:sz w:val="24"/>
          <w:szCs w:val="24"/>
          <w:lang w:val="en-US"/>
        </w:rPr>
        <w:t xml:space="preserve"> A. P. V. Rogers, </w:t>
      </w:r>
      <w:r w:rsidRPr="00CB5D38">
        <w:rPr>
          <w:rFonts w:ascii="Times New Roman" w:eastAsia="Times New Roman" w:hAnsi="Times New Roman" w:cs="Times New Roman"/>
          <w:i/>
          <w:iCs/>
          <w:sz w:val="24"/>
          <w:szCs w:val="24"/>
          <w:lang w:val="en-US"/>
        </w:rPr>
        <w:t>Law on the Battlefield</w:t>
      </w:r>
      <w:r w:rsidRPr="00CB5D38">
        <w:rPr>
          <w:rFonts w:ascii="Times New Roman" w:eastAsia="Times New Roman" w:hAnsi="Times New Roman" w:cs="Times New Roman"/>
          <w:sz w:val="24"/>
          <w:szCs w:val="24"/>
          <w:lang w:val="en-US"/>
        </w:rPr>
        <w:t xml:space="preserv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68).</w:t>
      </w:r>
    </w:p>
    <w:bookmarkStart w:id="115" w:name="Fn_76_11"/>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lastRenderedPageBreak/>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"refFn_76_11"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[11]</w:t>
      </w:r>
      <w:r w:rsidRPr="00CB5D38">
        <w:rPr>
          <w:rFonts w:ascii="Times New Roman" w:eastAsia="Times New Roman" w:hAnsi="Times New Roman" w:cs="Times New Roman"/>
          <w:sz w:val="24"/>
          <w:szCs w:val="24"/>
        </w:rPr>
        <w:fldChar w:fldCharType="end"/>
      </w:r>
      <w:bookmarkEnd w:id="115"/>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Advisory Opinion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120); see also the Convention on Biodiversity, Principle 3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71); Stockholm Declaration on the Human Environment, Principle 21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72); Rio Declaration, Principle 2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75); the statement of the Islamic Republic of Iran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xml:space="preserve">, § 92); American Law Institute, </w:t>
      </w:r>
      <w:r w:rsidRPr="00CB5D38">
        <w:rPr>
          <w:rFonts w:ascii="Times New Roman" w:eastAsia="Times New Roman" w:hAnsi="Times New Roman" w:cs="Times New Roman"/>
          <w:i/>
          <w:iCs/>
          <w:sz w:val="24"/>
          <w:szCs w:val="24"/>
          <w:lang w:val="en-US"/>
        </w:rPr>
        <w:t>Restatement of the Foreign Relations Law of the United States</w:t>
      </w:r>
      <w:r w:rsidRPr="00CB5D38">
        <w:rPr>
          <w:rFonts w:ascii="Times New Roman" w:eastAsia="Times New Roman" w:hAnsi="Times New Roman" w:cs="Times New Roman"/>
          <w:sz w:val="24"/>
          <w:szCs w:val="24"/>
          <w:lang w:val="en-US"/>
        </w:rPr>
        <w:t xml:space="preserv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123).</w:t>
      </w:r>
    </w:p>
    <w:bookmarkStart w:id="116" w:name="Fn_76_12"/>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"refFn_76_12"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[12]</w:t>
      </w:r>
      <w:r w:rsidRPr="00CB5D38">
        <w:rPr>
          <w:rFonts w:ascii="Times New Roman" w:eastAsia="Times New Roman" w:hAnsi="Times New Roman" w:cs="Times New Roman"/>
          <w:sz w:val="24"/>
          <w:szCs w:val="24"/>
        </w:rPr>
        <w:fldChar w:fldCharType="end"/>
      </w:r>
      <w:bookmarkEnd w:id="116"/>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Gabčíkovo-Nagymaros Project case</w:t>
      </w:r>
      <w:r w:rsidRPr="00CB5D38">
        <w:rPr>
          <w:rFonts w:ascii="Times New Roman" w:eastAsia="Times New Roman" w:hAnsi="Times New Roman" w:cs="Times New Roman"/>
          <w:sz w:val="24"/>
          <w:szCs w:val="24"/>
          <w:lang w:val="en-US"/>
        </w:rPr>
        <w:t>, Judgment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121).</w:t>
      </w:r>
    </w:p>
    <w:bookmarkStart w:id="117" w:name="Fn_76_13"/>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"refFn_76_13"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[13]</w:t>
      </w:r>
      <w:r w:rsidRPr="00CB5D38">
        <w:rPr>
          <w:rFonts w:ascii="Times New Roman" w:eastAsia="Times New Roman" w:hAnsi="Times New Roman" w:cs="Times New Roman"/>
          <w:sz w:val="24"/>
          <w:szCs w:val="24"/>
        </w:rPr>
        <w:fldChar w:fldCharType="end"/>
      </w:r>
      <w:bookmarkEnd w:id="117"/>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Advisory Opinion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120); see also the Convention on Biodiversity, Principle 3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71); Stockholm Declaration on the Human Environment, Principle 21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72); Rio Declaration, Principle 2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75); the statement of the Islamic Republic of Iran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xml:space="preserve">, § 92); American Law Institute, </w:t>
      </w:r>
      <w:r w:rsidRPr="00CB5D38">
        <w:rPr>
          <w:rFonts w:ascii="Times New Roman" w:eastAsia="Times New Roman" w:hAnsi="Times New Roman" w:cs="Times New Roman"/>
          <w:i/>
          <w:iCs/>
          <w:sz w:val="24"/>
          <w:szCs w:val="24"/>
          <w:lang w:val="en-US"/>
        </w:rPr>
        <w:t>Restatement of the Foreign Relations Law of the United States</w:t>
      </w:r>
      <w:r w:rsidRPr="00CB5D38">
        <w:rPr>
          <w:rFonts w:ascii="Times New Roman" w:eastAsia="Times New Roman" w:hAnsi="Times New Roman" w:cs="Times New Roman"/>
          <w:sz w:val="24"/>
          <w:szCs w:val="24"/>
          <w:lang w:val="en-US"/>
        </w:rPr>
        <w:t xml:space="preserv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123).</w:t>
      </w:r>
    </w:p>
    <w:bookmarkStart w:id="118" w:name="Fn_76_14"/>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"refFn_76_14"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[14]</w:t>
      </w:r>
      <w:r w:rsidRPr="00CB5D38">
        <w:rPr>
          <w:rFonts w:ascii="Times New Roman" w:eastAsia="Times New Roman" w:hAnsi="Times New Roman" w:cs="Times New Roman"/>
          <w:sz w:val="24"/>
          <w:szCs w:val="24"/>
        </w:rPr>
        <w:fldChar w:fldCharType="end"/>
      </w:r>
      <w:bookmarkEnd w:id="118"/>
      <w:r w:rsidRPr="00CB5D38">
        <w:rPr>
          <w:rFonts w:ascii="Times New Roman" w:eastAsia="Times New Roman" w:hAnsi="Times New Roman" w:cs="Times New Roman"/>
          <w:sz w:val="24"/>
          <w:szCs w:val="24"/>
          <w:lang w:val="en-US"/>
        </w:rPr>
        <w:t xml:space="preserve"> See State practice in the context of the negotiations at the Diplomatic Conference leading to the adoption of the Additional Protocols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150).</w:t>
      </w:r>
    </w:p>
    <w:bookmarkStart w:id="119" w:name="Fn_76_15"/>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"refFn_76_15"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[15]</w:t>
      </w:r>
      <w:r w:rsidRPr="00CB5D38">
        <w:rPr>
          <w:rFonts w:ascii="Times New Roman" w:eastAsia="Times New Roman" w:hAnsi="Times New Roman" w:cs="Times New Roman"/>
          <w:sz w:val="24"/>
          <w:szCs w:val="24"/>
        </w:rPr>
        <w:fldChar w:fldCharType="end"/>
      </w:r>
      <w:bookmarkEnd w:id="119"/>
      <w:r w:rsidRPr="00CB5D38">
        <w:rPr>
          <w:rFonts w:ascii="Times New Roman" w:eastAsia="Times New Roman" w:hAnsi="Times New Roman" w:cs="Times New Roman"/>
          <w:sz w:val="24"/>
          <w:szCs w:val="24"/>
          <w:lang w:val="en-US"/>
        </w:rPr>
        <w:t xml:space="preserve"> See, e.g., the military manuals of Italy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 and Republic of Korea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80); the statements of Argentina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29) and Colombia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xml:space="preserve">, § 85); the oral pleadings of and the written statements submitted to the ICJ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by Egypt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88), Islamic Republic of Iran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93), Malaysia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97), Qatar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102) and Solomon Islands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xml:space="preserve">, § 103) and the written statements submitted in the </w:t>
      </w:r>
      <w:r w:rsidRPr="00CB5D38">
        <w:rPr>
          <w:rFonts w:ascii="Times New Roman" w:eastAsia="Times New Roman" w:hAnsi="Times New Roman" w:cs="Times New Roman"/>
          <w:i/>
          <w:iCs/>
          <w:sz w:val="24"/>
          <w:szCs w:val="24"/>
          <w:lang w:val="en-US"/>
        </w:rPr>
        <w:t>Nuclear Weapons (WHO) case</w:t>
      </w:r>
      <w:r w:rsidRPr="00CB5D38">
        <w:rPr>
          <w:rFonts w:ascii="Times New Roman" w:eastAsia="Times New Roman" w:hAnsi="Times New Roman" w:cs="Times New Roman"/>
          <w:sz w:val="24"/>
          <w:szCs w:val="24"/>
          <w:lang w:val="en-US"/>
        </w:rPr>
        <w:t xml:space="preserve"> by Costa Rica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87), Mexico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98), Rwanda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253), Sri Lanka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104) and Ukraine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261).</w:t>
      </w:r>
    </w:p>
    <w:bookmarkStart w:id="120" w:name="Fn_76_16"/>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"refFn_76_16"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[16]</w:t>
      </w:r>
      <w:r w:rsidRPr="00CB5D38">
        <w:rPr>
          <w:rFonts w:ascii="Times New Roman" w:eastAsia="Times New Roman" w:hAnsi="Times New Roman" w:cs="Times New Roman"/>
          <w:sz w:val="24"/>
          <w:szCs w:val="24"/>
        </w:rPr>
        <w:fldChar w:fldCharType="end"/>
      </w:r>
      <w:bookmarkEnd w:id="120"/>
      <w:r w:rsidRPr="00CB5D38">
        <w:rPr>
          <w:rFonts w:ascii="Times New Roman" w:eastAsia="Times New Roman" w:hAnsi="Times New Roman" w:cs="Times New Roman"/>
          <w:sz w:val="24"/>
          <w:szCs w:val="24"/>
          <w:lang w:val="en-US"/>
        </w:rPr>
        <w:t xml:space="preserve"> Guidelines on the Protection of the Environment in Times of Armed Conflict, § 4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5); see also World Charter for Nature, Principle 20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74).</w:t>
      </w:r>
    </w:p>
    <w:bookmarkStart w:id="121" w:name="Fn_76_17"/>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"refFn_76_17"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[17]</w:t>
      </w:r>
      <w:r w:rsidRPr="00CB5D38">
        <w:rPr>
          <w:rFonts w:ascii="Times New Roman" w:eastAsia="Times New Roman" w:hAnsi="Times New Roman" w:cs="Times New Roman"/>
          <w:sz w:val="24"/>
          <w:szCs w:val="24"/>
        </w:rPr>
        <w:fldChar w:fldCharType="end"/>
      </w:r>
      <w:bookmarkEnd w:id="121"/>
      <w:r w:rsidRPr="00CB5D38">
        <w:rPr>
          <w:rFonts w:ascii="Times New Roman" w:eastAsia="Times New Roman" w:hAnsi="Times New Roman" w:cs="Times New Roman"/>
          <w:sz w:val="24"/>
          <w:szCs w:val="24"/>
          <w:lang w:val="en-US"/>
        </w:rPr>
        <w:t xml:space="preserve"> See, e.g., United States, </w:t>
      </w:r>
      <w:r w:rsidRPr="00CB5D38">
        <w:rPr>
          <w:rFonts w:ascii="Times New Roman" w:eastAsia="Times New Roman" w:hAnsi="Times New Roman" w:cs="Times New Roman"/>
          <w:i/>
          <w:iCs/>
          <w:sz w:val="24"/>
          <w:szCs w:val="24"/>
          <w:lang w:val="en-US"/>
        </w:rPr>
        <w:t>Naval Handbook</w:t>
      </w:r>
      <w:r w:rsidRPr="00CB5D38">
        <w:rPr>
          <w:rFonts w:ascii="Times New Roman" w:eastAsia="Times New Roman" w:hAnsi="Times New Roman" w:cs="Times New Roman"/>
          <w:sz w:val="24"/>
          <w:szCs w:val="24"/>
          <w:lang w:val="en-US"/>
        </w:rPr>
        <w:t xml:space="preserv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11); the statements of Argentina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29) and Canada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36 and 38); see also Report of an expert meeting on the protection of the environment in time of armed conflict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60).</w:t>
      </w:r>
    </w:p>
    <w:bookmarkStart w:id="122" w:name="Fn_76_18"/>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"refFn_76_18"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[18]</w:t>
      </w:r>
      <w:r w:rsidRPr="00CB5D38">
        <w:rPr>
          <w:rFonts w:ascii="Times New Roman" w:eastAsia="Times New Roman" w:hAnsi="Times New Roman" w:cs="Times New Roman"/>
          <w:sz w:val="24"/>
          <w:szCs w:val="24"/>
        </w:rPr>
        <w:fldChar w:fldCharType="end"/>
      </w:r>
      <w:bookmarkEnd w:id="122"/>
      <w:r w:rsidRPr="00CB5D38">
        <w:rPr>
          <w:rFonts w:ascii="Times New Roman" w:eastAsia="Times New Roman" w:hAnsi="Times New Roman" w:cs="Times New Roman"/>
          <w:sz w:val="24"/>
          <w:szCs w:val="24"/>
          <w:lang w:val="en-US"/>
        </w:rPr>
        <w:t xml:space="preserve"> 26th International Conference of the Red Cross and Red Crescent, Res. II (adopted by consensus)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138).</w:t>
      </w:r>
    </w:p>
    <w:bookmarkStart w:id="123" w:name="Fn_76_19"/>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"refFn_76_19"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[19]</w:t>
      </w:r>
      <w:r w:rsidRPr="00CB5D38">
        <w:rPr>
          <w:rFonts w:ascii="Times New Roman" w:eastAsia="Times New Roman" w:hAnsi="Times New Roman" w:cs="Times New Roman"/>
          <w:sz w:val="24"/>
          <w:szCs w:val="24"/>
        </w:rPr>
        <w:fldChar w:fldCharType="end"/>
      </w:r>
      <w:bookmarkEnd w:id="123"/>
      <w:r w:rsidRPr="00CB5D38">
        <w:rPr>
          <w:rFonts w:ascii="Times New Roman" w:eastAsia="Times New Roman" w:hAnsi="Times New Roman" w:cs="Times New Roman"/>
          <w:sz w:val="24"/>
          <w:szCs w:val="24"/>
          <w:lang w:val="en-US"/>
        </w:rPr>
        <w:t xml:space="preserve"> See, e.g., Convention on Biodiversity, preamble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126); Rio Declaration, Principle 15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127); the statements of France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131) and New Zealand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132); UN Economic Commission for Europe, Bergen ECE Ministerial Declaration on Sustainable Development, Article 7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133).</w:t>
      </w:r>
    </w:p>
    <w:bookmarkStart w:id="124" w:name="Fn_76_20"/>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"refFn_76_20"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[20]</w:t>
      </w:r>
      <w:r w:rsidRPr="00CB5D38">
        <w:rPr>
          <w:rFonts w:ascii="Times New Roman" w:eastAsia="Times New Roman" w:hAnsi="Times New Roman" w:cs="Times New Roman"/>
          <w:sz w:val="24"/>
          <w:szCs w:val="24"/>
        </w:rPr>
        <w:fldChar w:fldCharType="end"/>
      </w:r>
      <w:bookmarkEnd w:id="124"/>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Advisory Opinion, 8 July 1996, § 32.</w:t>
      </w:r>
    </w:p>
    <w:bookmarkStart w:id="125" w:name="Fn_76_21"/>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"refFn_76_21"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[21]</w:t>
      </w:r>
      <w:r w:rsidRPr="00CB5D38">
        <w:rPr>
          <w:rFonts w:ascii="Times New Roman" w:eastAsia="Times New Roman" w:hAnsi="Times New Roman" w:cs="Times New Roman"/>
          <w:sz w:val="24"/>
          <w:szCs w:val="24"/>
        </w:rPr>
        <w:fldChar w:fldCharType="end"/>
      </w:r>
      <w:bookmarkEnd w:id="125"/>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Nuclear Tests case (Request for an Examination of the Situation)</w:t>
      </w:r>
      <w:r w:rsidRPr="00CB5D38">
        <w:rPr>
          <w:rFonts w:ascii="Times New Roman" w:eastAsia="Times New Roman" w:hAnsi="Times New Roman" w:cs="Times New Roman"/>
          <w:sz w:val="24"/>
          <w:szCs w:val="24"/>
          <w:lang w:val="en-US"/>
        </w:rPr>
        <w:t>, Order (cited in Vol. II, Ch. 14, § 139). New Zealand argued that the precautionary principle was a binding rule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132). Although France stated that it was uncertain whether the precautionary principle had become a binding rule of international law, it nevertheless stated that it did in practice carry out precautions that were in keeping with its obligations under international environmental law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131). The ICJ concluded that both France and New Zealand had, in their submissions, reaffirmed their commitment to respect their obligations to respect and protect the natural environment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139).</w:t>
      </w:r>
    </w:p>
    <w:bookmarkStart w:id="126" w:name="Fn_76_22"/>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"refFn_76_22"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[22]</w:t>
      </w:r>
      <w:r w:rsidRPr="00CB5D38">
        <w:rPr>
          <w:rFonts w:ascii="Times New Roman" w:eastAsia="Times New Roman" w:hAnsi="Times New Roman" w:cs="Times New Roman"/>
          <w:sz w:val="24"/>
          <w:szCs w:val="24"/>
        </w:rPr>
        <w:fldChar w:fldCharType="end"/>
      </w:r>
      <w:bookmarkEnd w:id="126"/>
      <w:r w:rsidRPr="00CB5D38">
        <w:rPr>
          <w:rFonts w:ascii="Times New Roman" w:eastAsia="Times New Roman" w:hAnsi="Times New Roman" w:cs="Times New Roman"/>
          <w:sz w:val="24"/>
          <w:szCs w:val="24"/>
          <w:lang w:val="en-US"/>
        </w:rPr>
        <w:t xml:space="preserve"> ICRC, Report on the protection of the environment in time of armed conflict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143).</w:t>
      </w:r>
    </w:p>
    <w:bookmarkStart w:id="127" w:name="Fn_76_23"/>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"refFn_76_23"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[23]</w:t>
      </w:r>
      <w:r w:rsidRPr="00CB5D38">
        <w:rPr>
          <w:rFonts w:ascii="Times New Roman" w:eastAsia="Times New Roman" w:hAnsi="Times New Roman" w:cs="Times New Roman"/>
          <w:sz w:val="24"/>
          <w:szCs w:val="24"/>
        </w:rPr>
        <w:fldChar w:fldCharType="end"/>
      </w:r>
      <w:bookmarkEnd w:id="127"/>
      <w:r w:rsidRPr="00CB5D38">
        <w:rPr>
          <w:rFonts w:ascii="Times New Roman" w:eastAsia="Times New Roman" w:hAnsi="Times New Roman" w:cs="Times New Roman"/>
          <w:sz w:val="24"/>
          <w:szCs w:val="24"/>
          <w:lang w:val="en-US"/>
        </w:rPr>
        <w:t xml:space="preserve"> Guidelines on the Protection of the Environment in Times of Armed Conflict, § 5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77).</w:t>
      </w:r>
    </w:p>
    <w:bookmarkStart w:id="128" w:name="Fn_76_24"/>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"refFn_76_24"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[24]</w:t>
      </w:r>
      <w:r w:rsidRPr="00CB5D38">
        <w:rPr>
          <w:rFonts w:ascii="Times New Roman" w:eastAsia="Times New Roman" w:hAnsi="Times New Roman" w:cs="Times New Roman"/>
          <w:sz w:val="24"/>
          <w:szCs w:val="24"/>
        </w:rPr>
        <w:fldChar w:fldCharType="end"/>
      </w:r>
      <w:bookmarkEnd w:id="128"/>
      <w:r w:rsidRPr="00CB5D38">
        <w:rPr>
          <w:rFonts w:ascii="Times New Roman" w:eastAsia="Times New Roman" w:hAnsi="Times New Roman" w:cs="Times New Roman"/>
          <w:sz w:val="24"/>
          <w:szCs w:val="24"/>
          <w:lang w:val="en-US"/>
        </w:rPr>
        <w:t xml:space="preserve"> ICJ,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Advisory Opinion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62).</w:t>
      </w:r>
    </w:p>
    <w:bookmarkStart w:id="129" w:name="Fn_76_25"/>
    <w:p w:rsidR="00CB5D38" w:rsidRPr="00CB5D38" w:rsidRDefault="00CB5D38" w:rsidP="00CB5D38">
      <w:pPr>
        <w:spacing w:after="0" w:line="240" w:lineRule="auto"/>
        <w:rPr>
          <w:rFonts w:ascii="Times New Roman" w:eastAsia="Times New Roman" w:hAnsi="Times New Roman" w:cs="Times New Roman"/>
          <w:sz w:val="24"/>
          <w:szCs w:val="24"/>
          <w:lang w:val="en-US"/>
        </w:rPr>
      </w:pPr>
      <w:r w:rsidRPr="00CB5D38">
        <w:rPr>
          <w:rFonts w:ascii="Times New Roman" w:eastAsia="Times New Roman" w:hAnsi="Times New Roman" w:cs="Times New Roman"/>
          <w:sz w:val="24"/>
          <w:szCs w:val="24"/>
        </w:rPr>
        <w:fldChar w:fldCharType="begin"/>
      </w:r>
      <w:r w:rsidRPr="00CB5D38">
        <w:rPr>
          <w:rFonts w:ascii="Times New Roman" w:eastAsia="Times New Roman" w:hAnsi="Times New Roman" w:cs="Times New Roman"/>
          <w:sz w:val="24"/>
          <w:szCs w:val="24"/>
          <w:lang w:val="en-US"/>
        </w:rPr>
        <w:instrText xml:space="preserve"> HYPERLINK "https://ihl-databases.icrc.org/customary-ihl/eng/docs/v1_rul_rule44" \l "refFn_76_25" </w:instrText>
      </w:r>
      <w:r w:rsidRPr="00CB5D38">
        <w:rPr>
          <w:rFonts w:ascii="Times New Roman" w:eastAsia="Times New Roman" w:hAnsi="Times New Roman" w:cs="Times New Roman"/>
          <w:sz w:val="24"/>
          <w:szCs w:val="24"/>
        </w:rPr>
        <w:fldChar w:fldCharType="separate"/>
      </w:r>
      <w:r w:rsidRPr="00CB5D38">
        <w:rPr>
          <w:rFonts w:ascii="Times New Roman" w:eastAsia="Times New Roman" w:hAnsi="Times New Roman" w:cs="Times New Roman"/>
          <w:color w:val="0000FF"/>
          <w:sz w:val="24"/>
          <w:szCs w:val="24"/>
          <w:u w:val="single"/>
          <w:lang w:val="en-US"/>
        </w:rPr>
        <w:t>[25]</w:t>
      </w:r>
      <w:r w:rsidRPr="00CB5D38">
        <w:rPr>
          <w:rFonts w:ascii="Times New Roman" w:eastAsia="Times New Roman" w:hAnsi="Times New Roman" w:cs="Times New Roman"/>
          <w:sz w:val="24"/>
          <w:szCs w:val="24"/>
        </w:rPr>
        <w:fldChar w:fldCharType="end"/>
      </w:r>
      <w:bookmarkEnd w:id="129"/>
      <w:r w:rsidRPr="00CB5D38">
        <w:rPr>
          <w:rFonts w:ascii="Times New Roman" w:eastAsia="Times New Roman" w:hAnsi="Times New Roman" w:cs="Times New Roman"/>
          <w:sz w:val="24"/>
          <w:szCs w:val="24"/>
          <w:lang w:val="en-US"/>
        </w:rPr>
        <w:t xml:space="preserve"> See the oral pleadings of or the written statements submitted to the ICJ in the </w:t>
      </w:r>
      <w:r w:rsidRPr="00CB5D38">
        <w:rPr>
          <w:rFonts w:ascii="Times New Roman" w:eastAsia="Times New Roman" w:hAnsi="Times New Roman" w:cs="Times New Roman"/>
          <w:i/>
          <w:iCs/>
          <w:sz w:val="24"/>
          <w:szCs w:val="24"/>
          <w:lang w:val="en-US"/>
        </w:rPr>
        <w:t>Nuclear Weapons case</w:t>
      </w:r>
      <w:r w:rsidRPr="00CB5D38">
        <w:rPr>
          <w:rFonts w:ascii="Times New Roman" w:eastAsia="Times New Roman" w:hAnsi="Times New Roman" w:cs="Times New Roman"/>
          <w:sz w:val="24"/>
          <w:szCs w:val="24"/>
          <w:lang w:val="en-US"/>
        </w:rPr>
        <w:t xml:space="preserve"> by France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89), Solomon Islands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103), United Kingdom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107) and United States (</w:t>
      </w:r>
      <w:r w:rsidRPr="00CB5D38">
        <w:rPr>
          <w:rFonts w:ascii="Times New Roman" w:eastAsia="Times New Roman" w:hAnsi="Times New Roman" w:cs="Times New Roman"/>
          <w:i/>
          <w:iCs/>
          <w:sz w:val="24"/>
          <w:szCs w:val="24"/>
          <w:lang w:val="en-US"/>
        </w:rPr>
        <w:t>ibid.</w:t>
      </w:r>
      <w:r w:rsidRPr="00CB5D38">
        <w:rPr>
          <w:rFonts w:ascii="Times New Roman" w:eastAsia="Times New Roman" w:hAnsi="Times New Roman" w:cs="Times New Roman"/>
          <w:sz w:val="24"/>
          <w:szCs w:val="24"/>
          <w:lang w:val="en-US"/>
        </w:rPr>
        <w:t>, § 108).</w:t>
      </w:r>
    </w:p>
    <w:p w:rsidR="004D74E4" w:rsidRDefault="004D74E4">
      <w:pPr>
        <w:rPr>
          <w:lang w:val="en-US"/>
        </w:rPr>
      </w:pPr>
    </w:p>
    <w:p w:rsidR="004D74E4" w:rsidRDefault="004D74E4">
      <w:pPr>
        <w:rPr>
          <w:lang w:val="en-US"/>
        </w:rPr>
      </w:pP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Practice Relating to Rule 44. Due Regard for the Natural Environment in Military Operations</w:t>
      </w:r>
    </w:p>
    <w:p w:rsidR="0017585A" w:rsidRPr="0017585A" w:rsidRDefault="0017585A" w:rsidP="0017585A">
      <w:pPr>
        <w:spacing w:after="0" w:line="240" w:lineRule="auto"/>
        <w:rPr>
          <w:rFonts w:ascii="Times New Roman" w:eastAsia="Times New Roman" w:hAnsi="Times New Roman" w:cs="Times New Roman"/>
          <w:sz w:val="24"/>
          <w:szCs w:val="24"/>
          <w:lang w:val="en-US"/>
        </w:rPr>
      </w:pPr>
      <w:hyperlink r:id="rId5" w:history="1">
        <w:r w:rsidRPr="0017585A">
          <w:rPr>
            <w:rFonts w:ascii="Times New Roman" w:eastAsia="Times New Roman" w:hAnsi="Times New Roman" w:cs="Times New Roman"/>
            <w:color w:val="0000FF"/>
            <w:sz w:val="24"/>
            <w:szCs w:val="24"/>
            <w:u w:val="single"/>
            <w:lang w:val="en-US"/>
          </w:rPr>
          <w:t>Section A. General</w:t>
        </w:r>
      </w:hyperlink>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Quick navigation</w:t>
      </w:r>
    </w:p>
    <w:bookmarkStart w:id="130" w:name="SectionA_IT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"javascript:openUrlLight('src_ITr')"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 Treaties</w:t>
      </w:r>
      <w:r w:rsidRPr="0017585A">
        <w:rPr>
          <w:rFonts w:ascii="Times New Roman" w:eastAsia="Times New Roman" w:hAnsi="Times New Roman" w:cs="Times New Roman"/>
          <w:sz w:val="24"/>
          <w:szCs w:val="24"/>
        </w:rPr>
        <w:fldChar w:fldCharType="end"/>
      </w:r>
      <w:bookmarkEnd w:id="130"/>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Additional Protocol I</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Article 55 of the 1977 Additional Protocol I provides: “Care shall be taken in warfare to protect the natural environment against widespread, long-term and severe damage.”</w:t>
      </w:r>
      <w:r>
        <w:rPr>
          <w:rFonts w:ascii="Times New Roman" w:eastAsia="Times New Roman" w:hAnsi="Times New Roman" w:cs="Times New Roman"/>
          <w:noProof/>
          <w:sz w:val="24"/>
          <w:szCs w:val="24"/>
        </w:rPr>
        <w:drawing>
          <wp:inline distT="0" distB="0" distL="0" distR="0">
            <wp:extent cx="151130" cy="142875"/>
            <wp:effectExtent l="19050" t="0" r="1270" b="0"/>
            <wp:docPr id="963" name="Imagen 9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Convention on Biodiversity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Principle 3 of the 1992 Convention on Biodiversity states:</w:t>
      </w:r>
      <w:r w:rsidRPr="0017585A">
        <w:rPr>
          <w:rFonts w:ascii="Times New Roman" w:eastAsia="Times New Roman" w:hAnsi="Times New Roman" w:cs="Times New Roman"/>
          <w:sz w:val="24"/>
          <w:szCs w:val="24"/>
          <w:lang w:val="en-US"/>
        </w:rPr>
        <w:br/>
        <w:t>States have, in accordance with the Charter of the United Nations and the principles of international law, … the responsibility to ensure that activities within their jurisdiction or control do not cause damage to the environment of other States or of areas beyond the limits of national jurisdiction.</w:t>
      </w:r>
      <w:r>
        <w:rPr>
          <w:rFonts w:ascii="Times New Roman" w:eastAsia="Times New Roman" w:hAnsi="Times New Roman" w:cs="Times New Roman"/>
          <w:noProof/>
          <w:sz w:val="24"/>
          <w:szCs w:val="24"/>
        </w:rPr>
        <w:drawing>
          <wp:inline distT="0" distB="0" distL="0" distR="0">
            <wp:extent cx="151130" cy="142875"/>
            <wp:effectExtent l="19050" t="0" r="1270" b="0"/>
            <wp:docPr id="964" name="Imagen 9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African Convention on the Conservation of Nature and Natural Resources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Article XV of the 2003 African Convention on the Conservation of Nature and Natural Resources provides: “The Parties shall … take every practical measure, during periods of armed conflict, to protect the environment against harm.”</w:t>
      </w:r>
      <w:r>
        <w:rPr>
          <w:rFonts w:ascii="Times New Roman" w:eastAsia="Times New Roman" w:hAnsi="Times New Roman" w:cs="Times New Roman"/>
          <w:noProof/>
          <w:sz w:val="24"/>
          <w:szCs w:val="24"/>
        </w:rPr>
        <w:drawing>
          <wp:inline distT="0" distB="0" distL="0" distR="0">
            <wp:extent cx="151130" cy="142875"/>
            <wp:effectExtent l="19050" t="0" r="1270" b="0"/>
            <wp:docPr id="965" name="Imagen 9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1" w:name="SectionA_IIOtIn"/>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"javascript:openUrlLight('src_IIOtIn')"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II. Other Instruments</w:t>
      </w:r>
      <w:r w:rsidRPr="0017585A">
        <w:rPr>
          <w:rFonts w:ascii="Times New Roman" w:eastAsia="Times New Roman" w:hAnsi="Times New Roman" w:cs="Times New Roman"/>
          <w:sz w:val="24"/>
          <w:szCs w:val="24"/>
        </w:rPr>
        <w:fldChar w:fldCharType="end"/>
      </w:r>
      <w:bookmarkEnd w:id="131"/>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Stockholm Declaration on the Human Environment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Principle 21 of the 1972 Stockholm Declaration on the Human Environment provides:</w:t>
      </w:r>
      <w:r w:rsidRPr="0017585A">
        <w:rPr>
          <w:rFonts w:ascii="Times New Roman" w:eastAsia="Times New Roman" w:hAnsi="Times New Roman" w:cs="Times New Roman"/>
          <w:sz w:val="24"/>
          <w:szCs w:val="24"/>
          <w:lang w:val="en-US"/>
        </w:rPr>
        <w:br/>
        <w:t>States have, in accordance with the Charter of the United Nations and the principles of international law, … the responsibility to ensure that activities within their jurisdiction or control do not cause damage to the environment of other States or of areas beyond the limits of national jurisdiction.</w:t>
      </w:r>
      <w:r>
        <w:rPr>
          <w:rFonts w:ascii="Times New Roman" w:eastAsia="Times New Roman" w:hAnsi="Times New Roman" w:cs="Times New Roman"/>
          <w:noProof/>
          <w:sz w:val="24"/>
          <w:szCs w:val="24"/>
        </w:rPr>
        <w:drawing>
          <wp:inline distT="0" distB="0" distL="0" distR="0">
            <wp:extent cx="151130" cy="142875"/>
            <wp:effectExtent l="19050" t="0" r="1270" b="0"/>
            <wp:docPr id="966" name="Imagen 9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World Charter for Nature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Principle 5 of the 1982 World Charter for Nature provides: “Nature shall be secured against degradation caused by warfare or other hostile activities.”</w:t>
      </w:r>
      <w:r>
        <w:rPr>
          <w:rFonts w:ascii="Times New Roman" w:eastAsia="Times New Roman" w:hAnsi="Times New Roman" w:cs="Times New Roman"/>
          <w:noProof/>
          <w:sz w:val="24"/>
          <w:szCs w:val="24"/>
        </w:rPr>
        <w:drawing>
          <wp:inline distT="0" distB="0" distL="0" distR="0">
            <wp:extent cx="151130" cy="142875"/>
            <wp:effectExtent l="19050" t="0" r="1270" b="0"/>
            <wp:docPr id="967" name="Imagen 9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Principle 20 of the 1982 World Charter for Nature provides: “Military activities damaging to nature shall be avoided.”</w:t>
      </w:r>
      <w:r>
        <w:rPr>
          <w:rFonts w:ascii="Times New Roman" w:eastAsia="Times New Roman" w:hAnsi="Times New Roman" w:cs="Times New Roman"/>
          <w:noProof/>
          <w:sz w:val="24"/>
          <w:szCs w:val="24"/>
        </w:rPr>
        <w:drawing>
          <wp:inline distT="0" distB="0" distL="0" distR="0">
            <wp:extent cx="151130" cy="142875"/>
            <wp:effectExtent l="19050" t="0" r="1270" b="0"/>
            <wp:docPr id="968" name="Imagen 9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Rio Declaration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Principle 2 of the 1992 Rio Declaration provides:</w:t>
      </w:r>
      <w:r w:rsidRPr="0017585A">
        <w:rPr>
          <w:rFonts w:ascii="Times New Roman" w:eastAsia="Times New Roman" w:hAnsi="Times New Roman" w:cs="Times New Roman"/>
          <w:sz w:val="24"/>
          <w:szCs w:val="24"/>
          <w:lang w:val="en-US"/>
        </w:rPr>
        <w:br/>
        <w:t>States have, in accordance with the Charter of the United Nations and the principles of international law, the sovereign right to exploit their own resources pursuant to their own environmental and developmental policies, and the responsibility to ensure that activities within their jurisdiction or control do not cause damage to the environment of other States or of areas beyond the limits of national jurisdiction.</w:t>
      </w:r>
      <w:r>
        <w:rPr>
          <w:rFonts w:ascii="Times New Roman" w:eastAsia="Times New Roman" w:hAnsi="Times New Roman" w:cs="Times New Roman"/>
          <w:noProof/>
          <w:sz w:val="24"/>
          <w:szCs w:val="24"/>
        </w:rPr>
        <w:drawing>
          <wp:inline distT="0" distB="0" distL="0" distR="0">
            <wp:extent cx="151130" cy="142875"/>
            <wp:effectExtent l="19050" t="0" r="1270" b="0"/>
            <wp:docPr id="969" name="Imagen 9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Rio Declaration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Principle 24 of the 1992 Rio Declaration provides: </w:t>
      </w:r>
      <w:r w:rsidRPr="0017585A">
        <w:rPr>
          <w:rFonts w:ascii="Times New Roman" w:eastAsia="Times New Roman" w:hAnsi="Times New Roman" w:cs="Times New Roman"/>
          <w:sz w:val="24"/>
          <w:szCs w:val="24"/>
          <w:lang w:val="en-US"/>
        </w:rPr>
        <w:br/>
        <w:t>Warfare is inherently destructive of sustainable development. States shall therefore respect international law providing protection for the environment in times of armed conflict and cooperate in its further development, as necessary.</w:t>
      </w:r>
      <w:r>
        <w:rPr>
          <w:rFonts w:ascii="Times New Roman" w:eastAsia="Times New Roman" w:hAnsi="Times New Roman" w:cs="Times New Roman"/>
          <w:noProof/>
          <w:sz w:val="24"/>
          <w:szCs w:val="24"/>
        </w:rPr>
        <w:drawing>
          <wp:inline distT="0" distB="0" distL="0" distR="0">
            <wp:extent cx="151130" cy="142875"/>
            <wp:effectExtent l="19050" t="0" r="1270" b="0"/>
            <wp:docPr id="970" name="Imagen 9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Guidelines on the Protection of the Environment in Times of Armed Conflict</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1994 Guidelines on the Protection of the Environment in Times of Armed Conflict provides:</w:t>
      </w:r>
      <w:r w:rsidRPr="0017585A">
        <w:rPr>
          <w:rFonts w:ascii="Times New Roman" w:eastAsia="Times New Roman" w:hAnsi="Times New Roman" w:cs="Times New Roman"/>
          <w:sz w:val="24"/>
          <w:szCs w:val="24"/>
          <w:lang w:val="en-US"/>
        </w:rPr>
        <w:br/>
        <w:t xml:space="preserve">(5) International environmental agreements and relevant rules of customary law may continue to be applicable in times of armed conflict to the extent that they are not </w:t>
      </w:r>
      <w:r w:rsidRPr="0017585A">
        <w:rPr>
          <w:rFonts w:ascii="Times New Roman" w:eastAsia="Times New Roman" w:hAnsi="Times New Roman" w:cs="Times New Roman"/>
          <w:sz w:val="24"/>
          <w:szCs w:val="24"/>
          <w:lang w:val="en-US"/>
        </w:rPr>
        <w:lastRenderedPageBreak/>
        <w:t>inconsistent with the applicable law of armed conflict. Obligations concerning the protection of the environment that are binding on States not party to an armed conflict (e.g. neighbouring States) and that relate to areas beyond the limits of national jurisdiction (e.g. the high seas) are not affected by the existence of the armed conflict to the extent that those obligations are not inconsistent with the applicable law of armed conflict.</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(11) Care shall be taken in warfare to protect and preserve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71" name="Imagen 9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San Remo Manual</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1994 San Remo Manual provides:</w:t>
      </w:r>
      <w:r w:rsidRPr="0017585A">
        <w:rPr>
          <w:rFonts w:ascii="Times New Roman" w:eastAsia="Times New Roman" w:hAnsi="Times New Roman" w:cs="Times New Roman"/>
          <w:sz w:val="24"/>
          <w:szCs w:val="24"/>
          <w:lang w:val="en-US"/>
        </w:rPr>
        <w:br/>
        <w:t>35. … Due regard shall also be given to the protection and preservation of the marine environment [of the exclusive economic zone and the continental shelf].</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44. Methods and means of warfare should be employed with due regard for the natural environment taking into account the relevant rules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972" name="Imagen 9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2" w:name="SectionA_IIMiMa"/>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"javascript:openUrlLight('src_IIMiMa')"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III. Military Manuals</w:t>
      </w:r>
      <w:r w:rsidRPr="0017585A">
        <w:rPr>
          <w:rFonts w:ascii="Times New Roman" w:eastAsia="Times New Roman" w:hAnsi="Times New Roman" w:cs="Times New Roman"/>
          <w:sz w:val="24"/>
          <w:szCs w:val="24"/>
        </w:rPr>
        <w:fldChar w:fldCharType="end"/>
      </w:r>
      <w:bookmarkEnd w:id="132"/>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Australia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Australia’s Defence Force Manual (1994) states: “Those responsible for planning and conducting military operations have a duty to ensure that the natural environment is protected.”</w:t>
      </w:r>
      <w:r>
        <w:rPr>
          <w:rFonts w:ascii="Times New Roman" w:eastAsia="Times New Roman" w:hAnsi="Times New Roman" w:cs="Times New Roman"/>
          <w:noProof/>
          <w:sz w:val="24"/>
          <w:szCs w:val="24"/>
        </w:rPr>
        <w:drawing>
          <wp:inline distT="0" distB="0" distL="0" distR="0">
            <wp:extent cx="151130" cy="142875"/>
            <wp:effectExtent l="19050" t="0" r="1270" b="0"/>
            <wp:docPr id="973" name="Imagen 9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Australia’s LOAC Manual (2006) states: “Those responsible for planning and conducting military operations have a duty to ensure that the natural environment is protected.”</w:t>
      </w:r>
      <w:r>
        <w:rPr>
          <w:rFonts w:ascii="Times New Roman" w:eastAsia="Times New Roman" w:hAnsi="Times New Roman" w:cs="Times New Roman"/>
          <w:noProof/>
          <w:sz w:val="24"/>
          <w:szCs w:val="24"/>
        </w:rPr>
        <w:drawing>
          <wp:inline distT="0" distB="0" distL="0" distR="0">
            <wp:extent cx="151130" cy="142875"/>
            <wp:effectExtent l="19050" t="0" r="1270" b="0"/>
            <wp:docPr id="974" name="Imagen 9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Burundi</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Burundi’s Regulations on International Humanitarian Law (2007) states: “During the operations of war, one must take care to protect the natural environment against widespread, persistent and significant damage.”</w:t>
      </w:r>
      <w:r>
        <w:rPr>
          <w:rFonts w:ascii="Times New Roman" w:eastAsia="Times New Roman" w:hAnsi="Times New Roman" w:cs="Times New Roman"/>
          <w:noProof/>
          <w:sz w:val="24"/>
          <w:szCs w:val="24"/>
        </w:rPr>
        <w:drawing>
          <wp:inline distT="0" distB="0" distL="0" distR="0">
            <wp:extent cx="151130" cy="142875"/>
            <wp:effectExtent l="19050" t="0" r="1270" b="0"/>
            <wp:docPr id="975" name="Imagen 9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Cameroon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Cameroon’s Instructor’s Manual (2006), under the heading “Protection of Civilian Objects” and in a section entitled “Special Protection”, lists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76" name="Imagen 9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Côte d’Ivoire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Côte d’Ivoire’s Teaching Manual (2007) provides in Book III, Volume 1 (Instruction of first-year trainee officers): </w:t>
      </w:r>
      <w:r w:rsidRPr="0017585A">
        <w:rPr>
          <w:rFonts w:ascii="Times New Roman" w:eastAsia="Times New Roman" w:hAnsi="Times New Roman" w:cs="Times New Roman"/>
          <w:sz w:val="24"/>
          <w:szCs w:val="24"/>
          <w:lang w:val="en-US"/>
        </w:rPr>
        <w:br/>
        <w:t xml:space="preserve">IV.1. </w:t>
      </w:r>
      <w:r w:rsidRPr="0017585A">
        <w:rPr>
          <w:rFonts w:ascii="Times New Roman" w:eastAsia="Times New Roman" w:hAnsi="Times New Roman" w:cs="Times New Roman"/>
          <w:i/>
          <w:iCs/>
          <w:sz w:val="24"/>
          <w:szCs w:val="24"/>
          <w:lang w:val="en-US"/>
        </w:rPr>
        <w:t>Natural environment</w:t>
      </w:r>
      <w:r w:rsidRPr="0017585A">
        <w:rPr>
          <w:rFonts w:ascii="Times New Roman" w:eastAsia="Times New Roman" w:hAnsi="Times New Roman" w:cs="Times New Roman"/>
          <w:sz w:val="24"/>
          <w:szCs w:val="24"/>
          <w:lang w:val="en-US"/>
        </w:rPr>
        <w:br/>
        <w:t>Military leaders, in their military planning, should always consider the effects their operations could have on the natural environment.</w:t>
      </w:r>
      <w:r w:rsidRPr="0017585A">
        <w:rPr>
          <w:rFonts w:ascii="Times New Roman" w:eastAsia="Times New Roman" w:hAnsi="Times New Roman" w:cs="Times New Roman"/>
          <w:sz w:val="24"/>
          <w:szCs w:val="24"/>
          <w:lang w:val="en-US"/>
        </w:rPr>
        <w:br/>
        <w:t>… The specific provisions of the law show that:</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in the conduct of military operations, care shall be taken to protect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77" name="Imagen 9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Netherlands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Military Manual (2005) of the Netherlands states:</w:t>
      </w:r>
      <w:r w:rsidRPr="0017585A">
        <w:rPr>
          <w:rFonts w:ascii="Times New Roman" w:eastAsia="Times New Roman" w:hAnsi="Times New Roman" w:cs="Times New Roman"/>
          <w:sz w:val="24"/>
          <w:szCs w:val="24"/>
          <w:lang w:val="en-US"/>
        </w:rPr>
        <w:br/>
        <w:t>In addition to the chosen method or means, the type of target attacked can also lead to environmental changes. An attack on a factory or laboratory where chemical, biological or nuclear products are developed or made may have major consequences for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78" name="Imagen 9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Republic of Korea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Republic of Korea’s Operational Law Manual (1996) prohibits the use of weapons damaging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79" name="Imagen 9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lastRenderedPageBreak/>
        <w:t>Ukraine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Ukraine’s IHL Manual (2004) states:</w:t>
      </w:r>
      <w:r w:rsidRPr="0017585A">
        <w:rPr>
          <w:rFonts w:ascii="Times New Roman" w:eastAsia="Times New Roman" w:hAnsi="Times New Roman" w:cs="Times New Roman"/>
          <w:sz w:val="24"/>
          <w:szCs w:val="24"/>
          <w:lang w:val="en-US"/>
        </w:rPr>
        <w:br/>
        <w:t>2.3.5.3. If combat is conducted in the mountains it is necessary to take into account the probability of rockslides, snow avalanches, and cloudburst floods that are likely to endanger persons and objects protected by the laws of war …</w:t>
      </w:r>
      <w:r w:rsidRPr="0017585A">
        <w:rPr>
          <w:rFonts w:ascii="Times New Roman" w:eastAsia="Times New Roman" w:hAnsi="Times New Roman" w:cs="Times New Roman"/>
          <w:sz w:val="24"/>
          <w:szCs w:val="24"/>
          <w:lang w:val="en-US"/>
        </w:rPr>
        <w:br/>
        <w:t>2.3.5.4. If combat is conducted in the forest, it is necessary to take into account the probability of forest fires that are likely to endanger persons and objects protected by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980" name="Imagen 9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United Kingdom of Great Britain and Northern Ireland</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its chapters on air operations and on maritime warfare, the UK LOAC Manual (2004) states: “Methods and means of warfare should be employed with due regard for the natural environment, taking into account the relevant rules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981" name="Imagen 9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United States of America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US Naval Handbook (1995) provides: “Methods and means of warfare should be employed with due regard to the protection and preservation of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82" name="Imagen 9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US Naval Handbook (2007) states:</w:t>
      </w:r>
      <w:r w:rsidRPr="0017585A">
        <w:rPr>
          <w:rFonts w:ascii="Times New Roman" w:eastAsia="Times New Roman" w:hAnsi="Times New Roman" w:cs="Times New Roman"/>
          <w:sz w:val="24"/>
          <w:szCs w:val="24"/>
          <w:lang w:val="en-US"/>
        </w:rPr>
        <w:br/>
        <w:t>It is not unlawful to cause collateral damage to the natural environment during an attack upon a legitimate military objective. However, the commander has an affirmative obligation to avoid unnecessary damage to the environment to the extent that it is practicable to do so consistent with mission accomplishment. To that end, and as far as military requirements permit, methods or means of warfare should be employed with due regard to the protection and preservation of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83" name="Imagen 9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3" w:name="SectionA_IVNaLe"/>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"javascript:openUrlLight('src_IVNaLe')"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IV. National Legislation</w:t>
      </w:r>
      <w:r w:rsidRPr="0017585A">
        <w:rPr>
          <w:rFonts w:ascii="Times New Roman" w:eastAsia="Times New Roman" w:hAnsi="Times New Roman" w:cs="Times New Roman"/>
          <w:sz w:val="24"/>
          <w:szCs w:val="24"/>
        </w:rPr>
        <w:fldChar w:fldCharType="end"/>
      </w:r>
      <w:bookmarkEnd w:id="133"/>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Denmark</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Denmark’s Military Criminal Code (1973), as amended in 1978, provides:</w:t>
      </w:r>
      <w:r w:rsidRPr="0017585A">
        <w:rPr>
          <w:rFonts w:ascii="Times New Roman" w:eastAsia="Times New Roman" w:hAnsi="Times New Roman" w:cs="Times New Roman"/>
          <w:sz w:val="24"/>
          <w:szCs w:val="24"/>
          <w:lang w:val="en-US"/>
        </w:rPr>
        <w:br/>
        <w:t>Any person who uses war instruments or procedures the application of which violates an international agreement entered into by Denmark or the general rules of international law, shall be liable to the same penalty [i.e. a fine, lenient imprisonment or up to 12 years’ imprisonment].</w:t>
      </w:r>
      <w:r>
        <w:rPr>
          <w:rFonts w:ascii="Times New Roman" w:eastAsia="Times New Roman" w:hAnsi="Times New Roman" w:cs="Times New Roman"/>
          <w:noProof/>
          <w:sz w:val="24"/>
          <w:szCs w:val="24"/>
        </w:rPr>
        <w:drawing>
          <wp:inline distT="0" distB="0" distL="0" distR="0">
            <wp:extent cx="151130" cy="142875"/>
            <wp:effectExtent l="19050" t="0" r="1270" b="0"/>
            <wp:docPr id="984" name="Imagen 9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Any person who deliberately uses war means [“krigsmiddel”] or procedures the application of which violates an international agreement entered into by Denmark or international customary law, shall be liable to the same penalty [i.e. imprisonment up to life imprisonment].</w:t>
      </w:r>
      <w:r>
        <w:rPr>
          <w:rFonts w:ascii="Times New Roman" w:eastAsia="Times New Roman" w:hAnsi="Times New Roman" w:cs="Times New Roman"/>
          <w:noProof/>
          <w:sz w:val="24"/>
          <w:szCs w:val="24"/>
        </w:rPr>
        <w:drawing>
          <wp:inline distT="0" distB="0" distL="0" distR="0">
            <wp:extent cx="151130" cy="142875"/>
            <wp:effectExtent l="19050" t="0" r="1270" b="0"/>
            <wp:docPr id="985" name="Imagen 9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4" w:name="SectionA_VNaCa"/>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"javascript:openUrlLight('src_VNaCa')"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 National Case-law</w:t>
      </w:r>
      <w:r w:rsidRPr="0017585A">
        <w:rPr>
          <w:rFonts w:ascii="Times New Roman" w:eastAsia="Times New Roman" w:hAnsi="Times New Roman" w:cs="Times New Roman"/>
          <w:sz w:val="24"/>
          <w:szCs w:val="24"/>
        </w:rPr>
        <w:fldChar w:fldCharType="end"/>
      </w:r>
      <w:bookmarkEnd w:id="134"/>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No data.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5" w:name="SectionA_VIOtNaP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"javascript:openUrlLight('src_VIOtNaPr')"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VI. Other National Practice</w:t>
      </w:r>
      <w:r w:rsidRPr="0017585A">
        <w:rPr>
          <w:rFonts w:ascii="Times New Roman" w:eastAsia="Times New Roman" w:hAnsi="Times New Roman" w:cs="Times New Roman"/>
          <w:sz w:val="24"/>
          <w:szCs w:val="24"/>
        </w:rPr>
        <w:fldChar w:fldCharType="end"/>
      </w:r>
      <w:bookmarkEnd w:id="135"/>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China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At the Meeting on Human Environment in 1972, China condemned the United States for causing “unprecedented damage to the human environment” in South Vietnam through the use of “chemical toxic and poisonous gas”. It also accused the United States of destroying “large areas of rich farming land with craters”, poisoning “rivers and other water resources”, destroying forests and crops and threatening “some of the species with extinction”.</w:t>
      </w:r>
      <w:r>
        <w:rPr>
          <w:rFonts w:ascii="Times New Roman" w:eastAsia="Times New Roman" w:hAnsi="Times New Roman" w:cs="Times New Roman"/>
          <w:noProof/>
          <w:sz w:val="24"/>
          <w:szCs w:val="24"/>
        </w:rPr>
        <w:drawing>
          <wp:inline distT="0" distB="0" distL="0" distR="0">
            <wp:extent cx="151130" cy="142875"/>
            <wp:effectExtent l="19050" t="0" r="1270" b="0"/>
            <wp:docPr id="986" name="Imagen 9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Colombia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1997, Colombia’s Defensoría del Pueblo (Ombudsman’s Office) denounced guerrilla attacks on oil pipelines as a violation of IHL insofar as oil spills inflicted damage on the </w:t>
      </w:r>
      <w:r w:rsidRPr="0017585A">
        <w:rPr>
          <w:rFonts w:ascii="Times New Roman" w:eastAsia="Times New Roman" w:hAnsi="Times New Roman" w:cs="Times New Roman"/>
          <w:sz w:val="24"/>
          <w:szCs w:val="24"/>
          <w:lang w:val="en-US"/>
        </w:rPr>
        <w:lastRenderedPageBreak/>
        <w:t>environment, which affected both natural water sources and the productivity of the land.</w:t>
      </w:r>
      <w:r>
        <w:rPr>
          <w:rFonts w:ascii="Times New Roman" w:eastAsia="Times New Roman" w:hAnsi="Times New Roman" w:cs="Times New Roman"/>
          <w:noProof/>
          <w:sz w:val="24"/>
          <w:szCs w:val="24"/>
        </w:rPr>
        <w:drawing>
          <wp:inline distT="0" distB="0" distL="0" distR="0">
            <wp:extent cx="151130" cy="142875"/>
            <wp:effectExtent l="19050" t="0" r="1270" b="0"/>
            <wp:docPr id="987" name="Imagen 9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The Report on the Practice of Colombia states that it is Colombia’s </w:t>
      </w:r>
      <w:r w:rsidRPr="0017585A">
        <w:rPr>
          <w:rFonts w:ascii="Times New Roman" w:eastAsia="Times New Roman" w:hAnsi="Times New Roman" w:cs="Times New Roman"/>
          <w:i/>
          <w:iCs/>
          <w:sz w:val="24"/>
          <w:szCs w:val="24"/>
          <w:lang w:val="en-US"/>
        </w:rPr>
        <w:t>opinio juris</w:t>
      </w:r>
      <w:r w:rsidRPr="0017585A">
        <w:rPr>
          <w:rFonts w:ascii="Times New Roman" w:eastAsia="Times New Roman" w:hAnsi="Times New Roman" w:cs="Times New Roman"/>
          <w:sz w:val="24"/>
          <w:szCs w:val="24"/>
          <w:lang w:val="en-US"/>
        </w:rPr>
        <w:t xml:space="preserve"> that “the parties to the conflict must protect the environment, endeavouring to prevent the damage to the natural environment caused by war operations”.</w:t>
      </w:r>
      <w:r>
        <w:rPr>
          <w:rFonts w:ascii="Times New Roman" w:eastAsia="Times New Roman" w:hAnsi="Times New Roman" w:cs="Times New Roman"/>
          <w:noProof/>
          <w:sz w:val="24"/>
          <w:szCs w:val="24"/>
        </w:rPr>
        <w:drawing>
          <wp:inline distT="0" distB="0" distL="0" distR="0">
            <wp:extent cx="151130" cy="142875"/>
            <wp:effectExtent l="19050" t="0" r="1270" b="0"/>
            <wp:docPr id="988" name="Imagen 9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Costa Rica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(WHO) case</w:t>
      </w:r>
      <w:r w:rsidRPr="0017585A">
        <w:rPr>
          <w:rFonts w:ascii="Times New Roman" w:eastAsia="Times New Roman" w:hAnsi="Times New Roman" w:cs="Times New Roman"/>
          <w:sz w:val="24"/>
          <w:szCs w:val="24"/>
          <w:lang w:val="en-US"/>
        </w:rPr>
        <w:t xml:space="preserve"> in 1995, Costa Rica stated:</w:t>
      </w:r>
      <w:r w:rsidRPr="0017585A">
        <w:rPr>
          <w:rFonts w:ascii="Times New Roman" w:eastAsia="Times New Roman" w:hAnsi="Times New Roman" w:cs="Times New Roman"/>
          <w:sz w:val="24"/>
          <w:szCs w:val="24"/>
          <w:lang w:val="en-US"/>
        </w:rPr>
        <w:br/>
        <w:t>Due to the length of the State practice and continued State expression of maintenance and protection of the environment, the Human Right to the Environment may be considered a part of customary international law. Whether it is recognized as a full legal right, it is clear that the Human Right to the Environment would be violate[d] by the threat or use of nuclear weapons.</w:t>
      </w:r>
      <w:r>
        <w:rPr>
          <w:rFonts w:ascii="Times New Roman" w:eastAsia="Times New Roman" w:hAnsi="Times New Roman" w:cs="Times New Roman"/>
          <w:noProof/>
          <w:sz w:val="24"/>
          <w:szCs w:val="24"/>
        </w:rPr>
        <w:drawing>
          <wp:inline distT="0" distB="0" distL="0" distR="0">
            <wp:extent cx="151130" cy="142875"/>
            <wp:effectExtent l="19050" t="0" r="1270" b="0"/>
            <wp:docPr id="989" name="Imagen 9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Cuba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2011, in a response to UN General Assembly Resolution 63/51 on the observance of environmental norms in the drafting and implementation of agreements on disarmament and arms control, the representative of Cuba stated:</w:t>
      </w:r>
      <w:r w:rsidRPr="0017585A">
        <w:rPr>
          <w:rFonts w:ascii="Times New Roman" w:eastAsia="Times New Roman" w:hAnsi="Times New Roman" w:cs="Times New Roman"/>
          <w:sz w:val="24"/>
          <w:szCs w:val="24"/>
          <w:lang w:val="en-US"/>
        </w:rPr>
        <w:br/>
        <w:t>In addition, in the war of occupation of Iraq by the United States, the harm caused [</w:t>
      </w:r>
      <w:r w:rsidRPr="0017585A">
        <w:rPr>
          <w:rFonts w:ascii="Times New Roman" w:eastAsia="Times New Roman" w:hAnsi="Times New Roman" w:cs="Times New Roman"/>
          <w:i/>
          <w:iCs/>
          <w:sz w:val="24"/>
          <w:szCs w:val="24"/>
          <w:lang w:val="en-US"/>
        </w:rPr>
        <w:t>inter alia</w:t>
      </w:r>
      <w:r w:rsidRPr="0017585A">
        <w:rPr>
          <w:rFonts w:ascii="Times New Roman" w:eastAsia="Times New Roman" w:hAnsi="Times New Roman" w:cs="Times New Roman"/>
          <w:sz w:val="24"/>
          <w:szCs w:val="24"/>
          <w:lang w:val="en-US"/>
        </w:rPr>
        <w:t>] to the environment … has been devastating. This situation has been repeated, in the last few months, during the bombings carried out by NATO against the Great Socialist People’s Libyan Arab Jamahiriya.</w:t>
      </w:r>
      <w:r>
        <w:rPr>
          <w:rFonts w:ascii="Times New Roman" w:eastAsia="Times New Roman" w:hAnsi="Times New Roman" w:cs="Times New Roman"/>
          <w:noProof/>
          <w:sz w:val="24"/>
          <w:szCs w:val="24"/>
        </w:rPr>
        <w:drawing>
          <wp:inline distT="0" distB="0" distL="0" distR="0">
            <wp:extent cx="151130" cy="142875"/>
            <wp:effectExtent l="19050" t="0" r="1270" b="0"/>
            <wp:docPr id="990" name="Imagen 9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Egypt</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Egypt stated that it considered the principle whereby every State must ensure that activities within its jurisdiction or under its control do not cause damage to the environment to be a “general rule”. Referring to the 1972 Stockholm Declaration on the Human Environment and the 1992 Rio Declaration, in which this rule was stated, Egypt argued that they “must be seen as declaratory of evolving normative regulation for the protection of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991" name="Imagen 9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France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France denied the existence in contemporary international law, either as</w:t>
      </w:r>
      <w:r w:rsidRPr="0017585A">
        <w:rPr>
          <w:rFonts w:ascii="Times New Roman" w:eastAsia="Times New Roman" w:hAnsi="Times New Roman" w:cs="Times New Roman"/>
          <w:i/>
          <w:iCs/>
          <w:sz w:val="24"/>
          <w:szCs w:val="24"/>
          <w:lang w:val="en-US"/>
        </w:rPr>
        <w:t xml:space="preserve"> lex lata </w:t>
      </w:r>
      <w:r w:rsidRPr="0017585A">
        <w:rPr>
          <w:rFonts w:ascii="Times New Roman" w:eastAsia="Times New Roman" w:hAnsi="Times New Roman" w:cs="Times New Roman"/>
          <w:sz w:val="24"/>
          <w:szCs w:val="24"/>
          <w:lang w:val="en-US"/>
        </w:rPr>
        <w:t>or as</w:t>
      </w:r>
      <w:r w:rsidRPr="0017585A">
        <w:rPr>
          <w:rFonts w:ascii="Times New Roman" w:eastAsia="Times New Roman" w:hAnsi="Times New Roman" w:cs="Times New Roman"/>
          <w:i/>
          <w:iCs/>
          <w:sz w:val="24"/>
          <w:szCs w:val="24"/>
          <w:lang w:val="en-US"/>
        </w:rPr>
        <w:t xml:space="preserve"> lex ferenda</w:t>
      </w:r>
      <w:r w:rsidRPr="0017585A">
        <w:rPr>
          <w:rFonts w:ascii="Times New Roman" w:eastAsia="Times New Roman" w:hAnsi="Times New Roman" w:cs="Times New Roman"/>
          <w:sz w:val="24"/>
          <w:szCs w:val="24"/>
          <w:lang w:val="en-US"/>
        </w:rPr>
        <w:t>, of a customary principle concerning the protection of the environment in time of armed conflict. It also indicated its view that in general none of the multilateral environmental agreements were applicable in times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992" name="Imagen 9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Germany</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December 1991, during a parliamentary debate on the consequences of the Gulf War, a member of the German parliament stated:</w:t>
      </w:r>
      <w:r w:rsidRPr="0017585A">
        <w:rPr>
          <w:rFonts w:ascii="Times New Roman" w:eastAsia="Times New Roman" w:hAnsi="Times New Roman" w:cs="Times New Roman"/>
          <w:sz w:val="24"/>
          <w:szCs w:val="24"/>
          <w:lang w:val="en-US"/>
        </w:rPr>
        <w:br/>
        <w:t>The immediate improvement of international law providing protection from environment-destructive warfare is necessary. This implies … the ratification of the 1977 Additional Protocols to the Geneva Conventions without reservations by all NATO partners, including the Federal Republic of Germany [and] a general priority to be given to the fight against ecological damage over military secrecy in the case of armed conflict … In addition, a review is required of the existing priority of military necessity for specific acts of warfare to be legitimate over ecological needs – a very central point; furthermore, the general prohibition of the use of environmental destruction as a weapon is necessary.</w:t>
      </w:r>
      <w:r>
        <w:rPr>
          <w:rFonts w:ascii="Times New Roman" w:eastAsia="Times New Roman" w:hAnsi="Times New Roman" w:cs="Times New Roman"/>
          <w:noProof/>
          <w:sz w:val="24"/>
          <w:szCs w:val="24"/>
        </w:rPr>
        <w:drawing>
          <wp:inline distT="0" distB="0" distL="0" distR="0">
            <wp:extent cx="151130" cy="142875"/>
            <wp:effectExtent l="19050" t="0" r="1270" b="0"/>
            <wp:docPr id="993" name="Imagen 9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it is inevitable to take steps in order to give more effectiveness and respect to international law in force and to enable also the UN to prevent and punish warfare against the environment as well as violations of international conventions for the </w:t>
      </w:r>
      <w:r w:rsidRPr="0017585A">
        <w:rPr>
          <w:rFonts w:ascii="Times New Roman" w:eastAsia="Times New Roman" w:hAnsi="Times New Roman" w:cs="Times New Roman"/>
          <w:sz w:val="24"/>
          <w:szCs w:val="24"/>
          <w:lang w:val="en-US"/>
        </w:rPr>
        <w:lastRenderedPageBreak/>
        <w:t>protection of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994" name="Imagen 9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In 1991, the President of Germany, commenting on the effect on the environment of Iraqi means and methods of warfare, stated: “We are witnesses to an unprecedented disregard for the natural environment.”</w:t>
      </w:r>
      <w:r>
        <w:rPr>
          <w:rFonts w:ascii="Times New Roman" w:eastAsia="Times New Roman" w:hAnsi="Times New Roman" w:cs="Times New Roman"/>
          <w:noProof/>
          <w:sz w:val="24"/>
          <w:szCs w:val="24"/>
        </w:rPr>
        <w:drawing>
          <wp:inline distT="0" distB="0" distL="0" distR="0">
            <wp:extent cx="151130" cy="142875"/>
            <wp:effectExtent l="19050" t="0" r="1270" b="0"/>
            <wp:docPr id="995" name="Imagen 9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Islamic Republic of Iran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1991, during a debate in the Sixth Committee of the UN General Assembly on protection of the environment in armed conflict, the Islamic Republic of Iran stated:</w:t>
      </w:r>
      <w:r w:rsidRPr="0017585A">
        <w:rPr>
          <w:rFonts w:ascii="Times New Roman" w:eastAsia="Times New Roman" w:hAnsi="Times New Roman" w:cs="Times New Roman"/>
          <w:sz w:val="24"/>
          <w:szCs w:val="24"/>
          <w:lang w:val="en-US"/>
        </w:rPr>
        <w:br/>
        <w:t>Turning to the law on the protection of the environment, … the general principles of customary international law clearly contained specific rules on the protection of the environment. One such rule was the obligation of States not to damage or endanger the environment beyond their jurisdiction, a rule which had been enshrined in numerous international and regional agreements.</w:t>
      </w:r>
      <w:r w:rsidRPr="0017585A">
        <w:rPr>
          <w:rFonts w:ascii="Times New Roman" w:eastAsia="Times New Roman" w:hAnsi="Times New Roman" w:cs="Times New Roman"/>
          <w:sz w:val="24"/>
          <w:szCs w:val="24"/>
          <w:lang w:val="en-US"/>
        </w:rPr>
        <w:br/>
        <w:t>With regard to the application of environmental law in time of war, … the relationship between a party to the conflict and a neutral State was essentially governed by the law in time of peace and, consequently, belligerent parties had an obligation to respect environmental law vis-à-vis non-belligerent States. There was no universally accepted rule concerning the application of international law on the protection of the environment to belligerent parties, and some argued that the relationship was governed by the law of armed conflict, which meant that with the outbreak of war, the application of rules on the protection of the environment was suspended. However, others argued that in such cases, under treaty law and customary law, international legal rules protecting the environment were neither suspended [n]or terminated, since the law of armed conflict itself tended to protect the environment in time of war.</w:t>
      </w:r>
      <w:r>
        <w:rPr>
          <w:rFonts w:ascii="Times New Roman" w:eastAsia="Times New Roman" w:hAnsi="Times New Roman" w:cs="Times New Roman"/>
          <w:noProof/>
          <w:sz w:val="24"/>
          <w:szCs w:val="24"/>
        </w:rPr>
        <w:drawing>
          <wp:inline distT="0" distB="0" distL="0" distR="0">
            <wp:extent cx="151130" cy="142875"/>
            <wp:effectExtent l="19050" t="0" r="1270" b="0"/>
            <wp:docPr id="996" name="Imagen 9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In its written statement submitted to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the Islamic Republic of Iran stated:</w:t>
      </w:r>
      <w:r w:rsidRPr="0017585A">
        <w:rPr>
          <w:rFonts w:ascii="Times New Roman" w:eastAsia="Times New Roman" w:hAnsi="Times New Roman" w:cs="Times New Roman"/>
          <w:sz w:val="24"/>
          <w:szCs w:val="24"/>
          <w:lang w:val="en-US"/>
        </w:rPr>
        <w:br/>
        <w:t>[The] prohibition of the use of nuclear weapons, due to their huge destructive and modifying effects, could also be understood from the rules of international law relating to the environment. First of all, reference can be made to Principle 21 of [the] 1972 Stockholm Declaration on Human Environment which, as a customary rule, stipulated that States are responsible for any acts in their territory having adverse effects on the environment of other States. The same idea is also reflected in Principle [2] of [the] Rio Declaration of 1992. It can be argued that, while States are prevented from such conducts in their own territory, they are duly bound to refrain from any such acts against other States.</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The progressive development of international environmental law in recent years has resulted in the adoption of a series of treaties, such as: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Vienna Convention for the Protection of the Ozone Layer (1985)</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United Nations Framework Convention on Climate Change (1992)</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Convention on Biological Diversity (1992)</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which is indicative of the awareness of [the] international community and the emergence of an </w:t>
      </w:r>
      <w:r w:rsidRPr="0017585A">
        <w:rPr>
          <w:rFonts w:ascii="Times New Roman" w:eastAsia="Times New Roman" w:hAnsi="Times New Roman" w:cs="Times New Roman"/>
          <w:i/>
          <w:iCs/>
          <w:sz w:val="24"/>
          <w:szCs w:val="24"/>
          <w:lang w:val="en-US"/>
        </w:rPr>
        <w:t>opinio juris</w:t>
      </w:r>
      <w:r w:rsidRPr="0017585A">
        <w:rPr>
          <w:rFonts w:ascii="Times New Roman" w:eastAsia="Times New Roman" w:hAnsi="Times New Roman" w:cs="Times New Roman"/>
          <w:sz w:val="24"/>
          <w:szCs w:val="24"/>
          <w:lang w:val="en-US"/>
        </w:rPr>
        <w:t xml:space="preserve"> concerning the preservation of the environment. Therefore, the use of nuclear weapons, having the most destructive effects on the environment, is a great concern of [the] international society.</w:t>
      </w:r>
      <w:r>
        <w:rPr>
          <w:rFonts w:ascii="Times New Roman" w:eastAsia="Times New Roman" w:hAnsi="Times New Roman" w:cs="Times New Roman"/>
          <w:noProof/>
          <w:sz w:val="24"/>
          <w:szCs w:val="24"/>
        </w:rPr>
        <w:drawing>
          <wp:inline distT="0" distB="0" distL="0" distR="0">
            <wp:extent cx="151130" cy="142875"/>
            <wp:effectExtent l="19050" t="0" r="1270" b="0"/>
            <wp:docPr id="997" name="Imagen 9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The Report on the Practice of the Islamic Republic of Iran states that the Iranian government holds Iraq responsible for attacking oil tankers in the Gulf and polluting the sea during the Iran–Iraq War. The Islamic Republic of Iran also denounced Iraq for using chemical weapons, which resulted in the pollution of the air, water, soil and consequent effects on the ecosystem. The report adds that it is the Islamic Republic of </w:t>
      </w:r>
      <w:r w:rsidRPr="0017585A">
        <w:rPr>
          <w:rFonts w:ascii="Times New Roman" w:eastAsia="Times New Roman" w:hAnsi="Times New Roman" w:cs="Times New Roman"/>
          <w:sz w:val="24"/>
          <w:szCs w:val="24"/>
          <w:lang w:val="en-US"/>
        </w:rPr>
        <w:lastRenderedPageBreak/>
        <w:t xml:space="preserve">Iran’s </w:t>
      </w:r>
      <w:r w:rsidRPr="0017585A">
        <w:rPr>
          <w:rFonts w:ascii="Times New Roman" w:eastAsia="Times New Roman" w:hAnsi="Times New Roman" w:cs="Times New Roman"/>
          <w:i/>
          <w:iCs/>
          <w:sz w:val="24"/>
          <w:szCs w:val="24"/>
          <w:lang w:val="en-US"/>
        </w:rPr>
        <w:t>opinio juris</w:t>
      </w:r>
      <w:r w:rsidRPr="0017585A">
        <w:rPr>
          <w:rFonts w:ascii="Times New Roman" w:eastAsia="Times New Roman" w:hAnsi="Times New Roman" w:cs="Times New Roman"/>
          <w:sz w:val="24"/>
          <w:szCs w:val="24"/>
          <w:lang w:val="en-US"/>
        </w:rPr>
        <w:t xml:space="preserve"> that “the environment must be protected against pollution during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998" name="Imagen 9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Kuwait</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The Report on the Practice of Kuwait states that it is Kuwait’s </w:t>
      </w:r>
      <w:r w:rsidRPr="0017585A">
        <w:rPr>
          <w:rFonts w:ascii="Times New Roman" w:eastAsia="Times New Roman" w:hAnsi="Times New Roman" w:cs="Times New Roman"/>
          <w:i/>
          <w:iCs/>
          <w:sz w:val="24"/>
          <w:szCs w:val="24"/>
          <w:lang w:val="en-US"/>
        </w:rPr>
        <w:t>opinio juris</w:t>
      </w:r>
      <w:r w:rsidRPr="0017585A">
        <w:rPr>
          <w:rFonts w:ascii="Times New Roman" w:eastAsia="Times New Roman" w:hAnsi="Times New Roman" w:cs="Times New Roman"/>
          <w:sz w:val="24"/>
          <w:szCs w:val="24"/>
          <w:lang w:val="en-US"/>
        </w:rPr>
        <w:t xml:space="preserve"> that States shall not resort to military operations that entail consequences for the environment. When such consequences occur, the report considers that Chapter VII of the UN Charter should be applied.</w:t>
      </w:r>
      <w:r>
        <w:rPr>
          <w:rFonts w:ascii="Times New Roman" w:eastAsia="Times New Roman" w:hAnsi="Times New Roman" w:cs="Times New Roman"/>
          <w:noProof/>
          <w:sz w:val="24"/>
          <w:szCs w:val="24"/>
        </w:rPr>
        <w:drawing>
          <wp:inline distT="0" distB="0" distL="0" distR="0">
            <wp:extent cx="151130" cy="142875"/>
            <wp:effectExtent l="19050" t="0" r="1270" b="0"/>
            <wp:docPr id="999" name="Imagen 9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Lebanon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 training document for the Lebanese army regards “offences against the environment” as “a ‘conventional’ war crime” and includes them in the list of acts considered to amount to war crimes.</w:t>
      </w:r>
      <w:r>
        <w:rPr>
          <w:rFonts w:ascii="Times New Roman" w:eastAsia="Times New Roman" w:hAnsi="Times New Roman" w:cs="Times New Roman"/>
          <w:noProof/>
          <w:sz w:val="24"/>
          <w:szCs w:val="24"/>
        </w:rPr>
        <w:drawing>
          <wp:inline distT="0" distB="0" distL="0" distR="0">
            <wp:extent cx="151130" cy="142875"/>
            <wp:effectExtent l="19050" t="0" r="1270" b="0"/>
            <wp:docPr id="1000" name="Imagen 10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Malaysia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Malaysia expressed the view that “the principle of environmental safety is now recognized as part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001" name="Imagen 10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Mexico</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(WHO) case</w:t>
      </w:r>
      <w:r w:rsidRPr="0017585A">
        <w:rPr>
          <w:rFonts w:ascii="Times New Roman" w:eastAsia="Times New Roman" w:hAnsi="Times New Roman" w:cs="Times New Roman"/>
          <w:sz w:val="24"/>
          <w:szCs w:val="24"/>
          <w:lang w:val="en-US"/>
        </w:rPr>
        <w:t xml:space="preserve"> in 1994, Mexico stated: “The threat or use of nuclear arms in an armed conflict would constitute a breach of principles of international environmental law generally accepted.”</w:t>
      </w:r>
      <w:r>
        <w:rPr>
          <w:rFonts w:ascii="Times New Roman" w:eastAsia="Times New Roman" w:hAnsi="Times New Roman" w:cs="Times New Roman"/>
          <w:noProof/>
          <w:sz w:val="24"/>
          <w:szCs w:val="24"/>
        </w:rPr>
        <w:drawing>
          <wp:inline distT="0" distB="0" distL="0" distR="0">
            <wp:extent cx="151130" cy="142875"/>
            <wp:effectExtent l="19050" t="0" r="1270" b="0"/>
            <wp:docPr id="1002" name="Imagen 10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Netherlands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1991, in a letter to the President of the Dutch parliament concerning the environmental aspects of the Gulf War, the Ministers of Foreign Affairs, of Development Cooperation and of Defence of the Netherlands stated that they considered the intentional draining of oil and setting alight of hundreds of oil wells by Iraq in Kuwait to be “serious crimes against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03" name="Imagen 10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Peru</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At the First Review Conference of States Parties to the Convention on Certain Conventional Weapons in 1995, Peru stressed the need to establish rules determining the liability of States for damage caused to the environment by the use of certain conventional weapons that may be deemed to be excessively injurious or to have indiscriminate effects.</w:t>
      </w:r>
      <w:r>
        <w:rPr>
          <w:rFonts w:ascii="Times New Roman" w:eastAsia="Times New Roman" w:hAnsi="Times New Roman" w:cs="Times New Roman"/>
          <w:noProof/>
          <w:sz w:val="24"/>
          <w:szCs w:val="24"/>
        </w:rPr>
        <w:drawing>
          <wp:inline distT="0" distB="0" distL="0" distR="0">
            <wp:extent cx="151130" cy="142875"/>
            <wp:effectExtent l="19050" t="0" r="1270" b="0"/>
            <wp:docPr id="1004" name="Imagen 10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Philippines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Report on the Practice of the Philippines states: “There are no specific rules which categorically state that the environment should be spared and protected during armed conflicts.” It refers to some information provided by non-governmental organizations, according to which, in most cases, the forest serves as a shield for civilians fleeing bombing, shelling and gun battles between combatants, resulting in damage to the area and the resources contained therein.</w:t>
      </w:r>
      <w:r>
        <w:rPr>
          <w:rFonts w:ascii="Times New Roman" w:eastAsia="Times New Roman" w:hAnsi="Times New Roman" w:cs="Times New Roman"/>
          <w:noProof/>
          <w:sz w:val="24"/>
          <w:szCs w:val="24"/>
        </w:rPr>
        <w:drawing>
          <wp:inline distT="0" distB="0" distL="0" distR="0">
            <wp:extent cx="151130" cy="142875"/>
            <wp:effectExtent l="19050" t="0" r="1270" b="0"/>
            <wp:docPr id="1005" name="Imagen 10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Qatar</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oral pleadings before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Qatar referred to the emergence within the international community “of an</w:t>
      </w:r>
      <w:r w:rsidRPr="0017585A">
        <w:rPr>
          <w:rFonts w:ascii="Times New Roman" w:eastAsia="Times New Roman" w:hAnsi="Times New Roman" w:cs="Times New Roman"/>
          <w:i/>
          <w:iCs/>
          <w:sz w:val="24"/>
          <w:szCs w:val="24"/>
          <w:lang w:val="en-US"/>
        </w:rPr>
        <w:t xml:space="preserve"> opinio juris</w:t>
      </w:r>
      <w:r w:rsidRPr="0017585A">
        <w:rPr>
          <w:rFonts w:ascii="Times New Roman" w:eastAsia="Times New Roman" w:hAnsi="Times New Roman" w:cs="Times New Roman"/>
          <w:sz w:val="24"/>
          <w:szCs w:val="24"/>
          <w:lang w:val="en-US"/>
        </w:rPr>
        <w:t xml:space="preserve"> concerning the preservation of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06" name="Imagen 10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Solomon Islands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Solomon Islands argued that “the use of nuclear weapons violates international law for the protection of human health, the environment and fundamental human rights”.</w:t>
      </w:r>
      <w:r>
        <w:rPr>
          <w:rFonts w:ascii="Times New Roman" w:eastAsia="Times New Roman" w:hAnsi="Times New Roman" w:cs="Times New Roman"/>
          <w:noProof/>
          <w:sz w:val="24"/>
          <w:szCs w:val="24"/>
        </w:rPr>
        <w:drawing>
          <wp:inline distT="0" distB="0" distL="0" distR="0">
            <wp:extent cx="151130" cy="142875"/>
            <wp:effectExtent l="19050" t="0" r="1270" b="0"/>
            <wp:docPr id="1007" name="Imagen 10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Sri Lanka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lastRenderedPageBreak/>
        <w:t xml:space="preserve">In its written statement submitted to the ICJ in the </w:t>
      </w:r>
      <w:r w:rsidRPr="0017585A">
        <w:rPr>
          <w:rFonts w:ascii="Times New Roman" w:eastAsia="Times New Roman" w:hAnsi="Times New Roman" w:cs="Times New Roman"/>
          <w:i/>
          <w:iCs/>
          <w:sz w:val="24"/>
          <w:szCs w:val="24"/>
          <w:lang w:val="en-US"/>
        </w:rPr>
        <w:t>Nuclear Weapons (WHO) case</w:t>
      </w:r>
      <w:r w:rsidRPr="0017585A">
        <w:rPr>
          <w:rFonts w:ascii="Times New Roman" w:eastAsia="Times New Roman" w:hAnsi="Times New Roman" w:cs="Times New Roman"/>
          <w:sz w:val="24"/>
          <w:szCs w:val="24"/>
          <w:lang w:val="en-US"/>
        </w:rPr>
        <w:t>, Sri Lanka stated: “The protection of the environment in times of armed conflict has … emerged as an established principle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008" name="Imagen 10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United Kingdom of Great Britain and Northern Ireland</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1991, in a report submitted to the UN Security Council on operations in the Gulf War, the United Kingdom condemned Iraq for inflicting environmental damage by causing oil spills and oil fires in Kuwait, and underlined the substantial contribution made by the UK government to the international effort in response to this damage.</w:t>
      </w:r>
      <w:r>
        <w:rPr>
          <w:rFonts w:ascii="Times New Roman" w:eastAsia="Times New Roman" w:hAnsi="Times New Roman" w:cs="Times New Roman"/>
          <w:noProof/>
          <w:sz w:val="24"/>
          <w:szCs w:val="24"/>
        </w:rPr>
        <w:drawing>
          <wp:inline distT="0" distB="0" distL="0" distR="0">
            <wp:extent cx="151130" cy="142875"/>
            <wp:effectExtent l="19050" t="0" r="1270" b="0"/>
            <wp:docPr id="1009" name="Imagen 10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According to the Report on UK Practice, during the Rio Summit on Environment and Development in 1992, the UK Minister of State for the Armed Forces supported the principle that “States should respect international law providing protection for the environment in times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010" name="Imagen 10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In its oral pleadings before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the United Kingdom stated that the argument “that the general provisions in environmental treaties have the effect of outlawing the use of nuclear weapons” cannot be sustained because:</w:t>
      </w:r>
      <w:r w:rsidRPr="0017585A">
        <w:rPr>
          <w:rFonts w:ascii="Times New Roman" w:eastAsia="Times New Roman" w:hAnsi="Times New Roman" w:cs="Times New Roman"/>
          <w:sz w:val="24"/>
          <w:szCs w:val="24"/>
          <w:lang w:val="en-US"/>
        </w:rPr>
        <w:br/>
        <w:t>These treaties … make no reference to nuclear weapons. Their principal purpose is the protection of the environment in times of peace. Warfare in general, and nuclear warfare in particular, are not mentioned in their texts and were scarcely alluded to in the negotiations which led to their adoption.</w:t>
      </w:r>
      <w:r>
        <w:rPr>
          <w:rFonts w:ascii="Times New Roman" w:eastAsia="Times New Roman" w:hAnsi="Times New Roman" w:cs="Times New Roman"/>
          <w:noProof/>
          <w:sz w:val="24"/>
          <w:szCs w:val="24"/>
        </w:rPr>
        <w:drawing>
          <wp:inline distT="0" distB="0" distL="0" distR="0">
            <wp:extent cx="151130" cy="142875"/>
            <wp:effectExtent l="19050" t="0" r="1270" b="0"/>
            <wp:docPr id="1011" name="Imagen 10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United States of America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1995, the United States refuted the possibility of inferring a principle of “environmental security” from existing international environmental treaties, which would form part of the law of war, being that none of these treaties refers to such a principle, nor was any of them negotiated “with any idea that it [the treaty] was to be applicable in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012" name="Imagen 10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Yemen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1991, during a debate in the Sixth Committee of the UN General Assembly on the environmental impact of the Gulf War, Yemen, referring in particular to the 1977 Additional Protocol I and the 1976 ENMOD Convention, stated: </w:t>
      </w:r>
      <w:r w:rsidRPr="0017585A">
        <w:rPr>
          <w:rFonts w:ascii="Times New Roman" w:eastAsia="Times New Roman" w:hAnsi="Times New Roman" w:cs="Times New Roman"/>
          <w:sz w:val="24"/>
          <w:szCs w:val="24"/>
          <w:lang w:val="en-US"/>
        </w:rPr>
        <w:br/>
        <w:t>The damage caused to the environment as a result of the war had emphasized the importance of adherence to the legal norms on the prohibition on causing damage to the environment in times of armed conflict, norms which had been incorporated in a number of international conventions in the field of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013" name="Imagen 10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Zimbabwe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Report on the Practice of Zimbabwe recalls Zimbabwe’s adoption of the 1992 Rio Principles as evidence that environmental protection during armed conflict forms an important component of Zimbabwe’s view of IHL. It also refers to “various pieces of legislation” dealing with environmental protection and setting up standards to be observed at all times, “whether or not there is armed conflict”, as evidence of Zimbabwe’s view that the environment should be protected even in times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014" name="Imagen 10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6" w:name="SectionA_VIUnNa"/>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"javascript:openUrlLight('src_VIUnNa')"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VII. United Nations</w:t>
      </w:r>
      <w:r w:rsidRPr="0017585A">
        <w:rPr>
          <w:rFonts w:ascii="Times New Roman" w:eastAsia="Times New Roman" w:hAnsi="Times New Roman" w:cs="Times New Roman"/>
          <w:sz w:val="24"/>
          <w:szCs w:val="24"/>
        </w:rPr>
        <w:fldChar w:fldCharType="end"/>
      </w:r>
      <w:bookmarkEnd w:id="136"/>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UN Security Council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a resolution adopted in 1991, the UN Security Council reaffirmed Iraq’s responsibility </w:t>
      </w:r>
      <w:r w:rsidRPr="0017585A">
        <w:rPr>
          <w:rFonts w:ascii="Times New Roman" w:eastAsia="Times New Roman" w:hAnsi="Times New Roman" w:cs="Times New Roman"/>
          <w:sz w:val="24"/>
          <w:szCs w:val="24"/>
          <w:lang w:val="en-US"/>
        </w:rPr>
        <w:br/>
        <w:t>under international law for any direct loss, damage including environmental damage and the depletion of natural resources or injury to foreign Governments, nationals and corporations as a result of its unlawful invasion and occupation of Kuwait.</w:t>
      </w:r>
      <w:r>
        <w:rPr>
          <w:rFonts w:ascii="Times New Roman" w:eastAsia="Times New Roman" w:hAnsi="Times New Roman" w:cs="Times New Roman"/>
          <w:noProof/>
          <w:sz w:val="24"/>
          <w:szCs w:val="24"/>
        </w:rPr>
        <w:drawing>
          <wp:inline distT="0" distB="0" distL="0" distR="0">
            <wp:extent cx="151130" cy="142875"/>
            <wp:effectExtent l="19050" t="0" r="1270" b="0"/>
            <wp:docPr id="1015" name="Imagen 10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 General Assembly</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lastRenderedPageBreak/>
        <w:t xml:space="preserve">In a resolution adopted in 1992 on international cooperation to mitigate the environmental consequences on Kuwait and other countries in the region resulting from the situation between Iraq and Kuwait, the UN General Assembly: </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Aware</w:t>
      </w:r>
      <w:r w:rsidRPr="0017585A">
        <w:rPr>
          <w:rFonts w:ascii="Times New Roman" w:eastAsia="Times New Roman" w:hAnsi="Times New Roman" w:cs="Times New Roman"/>
          <w:sz w:val="24"/>
          <w:szCs w:val="24"/>
          <w:lang w:val="en-US"/>
        </w:rPr>
        <w:t xml:space="preserve"> of the disastrous situation caused in Kuwait and neighbouring areas by the torching and destruction of hundreds of its oil wells and of the other environmental consequences on the atmosphere, land and marine life,</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Bearing in mind</w:t>
      </w:r>
      <w:r w:rsidRPr="0017585A">
        <w:rPr>
          <w:rFonts w:ascii="Times New Roman" w:eastAsia="Times New Roman" w:hAnsi="Times New Roman" w:cs="Times New Roman"/>
          <w:sz w:val="24"/>
          <w:szCs w:val="24"/>
          <w:lang w:val="en-US"/>
        </w:rPr>
        <w:t xml:space="preserve"> all relevant Security Council resolutions, in particular section E of resolution 687 (1991) of 3 April 1991 [asserting Iraq’s international responsibility for environmental damage caused during Kuwait’s occupation], </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Profoundly concerned</w:t>
      </w:r>
      <w:r w:rsidRPr="0017585A">
        <w:rPr>
          <w:rFonts w:ascii="Times New Roman" w:eastAsia="Times New Roman" w:hAnsi="Times New Roman" w:cs="Times New Roman"/>
          <w:sz w:val="24"/>
          <w:szCs w:val="24"/>
          <w:lang w:val="en-US"/>
        </w:rPr>
        <w:t xml:space="preserve"> at the deterioration in the environment as a consequence of the damage, especially the threat posed to the health and well-being of the people of Kuwait and the people of the region, and the adverse impact on the economic activities of Kuwait and other countries of the region, including the effects on livestock, agriculture and fishing, as well as on wildlife.</w:t>
      </w:r>
      <w:r>
        <w:rPr>
          <w:rFonts w:ascii="Times New Roman" w:eastAsia="Times New Roman" w:hAnsi="Times New Roman" w:cs="Times New Roman"/>
          <w:noProof/>
          <w:sz w:val="24"/>
          <w:szCs w:val="24"/>
        </w:rPr>
        <w:drawing>
          <wp:inline distT="0" distB="0" distL="0" distR="0">
            <wp:extent cx="151130" cy="142875"/>
            <wp:effectExtent l="19050" t="0" r="1270" b="0"/>
            <wp:docPr id="1016" name="Imagen 10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In a resolution adopted in 1994 on the United Nations Decade of International Law, the UN General Assembly referred to the 1994 Guidelines on the Protection of the Environment in Times of Armed Conflict and invited:</w:t>
      </w:r>
      <w:r w:rsidRPr="0017585A">
        <w:rPr>
          <w:rFonts w:ascii="Times New Roman" w:eastAsia="Times New Roman" w:hAnsi="Times New Roman" w:cs="Times New Roman"/>
          <w:sz w:val="24"/>
          <w:szCs w:val="24"/>
          <w:lang w:val="en-US"/>
        </w:rPr>
        <w:br/>
        <w:t>all States to disseminate widely the revised guidelines for military manuals and instructions on the protection of the environment in times of armed conflict received from the International Committee of the Red Cross and to give due consideration to the possibility of incorporating them into their military manuals and other instructions addressed to their military personnel.</w:t>
      </w:r>
      <w:r>
        <w:rPr>
          <w:rFonts w:ascii="Times New Roman" w:eastAsia="Times New Roman" w:hAnsi="Times New Roman" w:cs="Times New Roman"/>
          <w:noProof/>
          <w:sz w:val="24"/>
          <w:szCs w:val="24"/>
        </w:rPr>
        <w:drawing>
          <wp:inline distT="0" distB="0" distL="0" distR="0">
            <wp:extent cx="151130" cy="142875"/>
            <wp:effectExtent l="19050" t="0" r="1270" b="0"/>
            <wp:docPr id="1017" name="Imagen 10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The programme of activities for the final term (1997–1999) of the UN Decade of International Law, adopted by the UN General Assembly in 1996, states:</w:t>
      </w:r>
      <w:r w:rsidRPr="0017585A">
        <w:rPr>
          <w:rFonts w:ascii="Times New Roman" w:eastAsia="Times New Roman" w:hAnsi="Times New Roman" w:cs="Times New Roman"/>
          <w:sz w:val="24"/>
          <w:szCs w:val="24"/>
          <w:lang w:val="en-US"/>
        </w:rPr>
        <w:br/>
        <w:t>In connection with training of military personnel, States are encouraged to foster the teaching and dissemination of the principles governing the protection of the environment in times of armed conflict and should consider the possibility of making use of the guidelines for military manuals and instructions prepared by the International Committee of the Red Cross.</w:t>
      </w:r>
      <w:r>
        <w:rPr>
          <w:rFonts w:ascii="Times New Roman" w:eastAsia="Times New Roman" w:hAnsi="Times New Roman" w:cs="Times New Roman"/>
          <w:noProof/>
          <w:sz w:val="24"/>
          <w:szCs w:val="24"/>
        </w:rPr>
        <w:drawing>
          <wp:inline distT="0" distB="0" distL="0" distR="0">
            <wp:extent cx="151130" cy="142875"/>
            <wp:effectExtent l="19050" t="0" r="1270" b="0"/>
            <wp:docPr id="1018" name="Imagen 10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In a resolution adopted in 2001 on observance of the International Day for Preventing the Exploitation of the Environment in War and Armed Conflict, the UN General Assembly:</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Considering</w:t>
      </w:r>
      <w:r w:rsidRPr="0017585A">
        <w:rPr>
          <w:rFonts w:ascii="Times New Roman" w:eastAsia="Times New Roman" w:hAnsi="Times New Roman" w:cs="Times New Roman"/>
          <w:sz w:val="24"/>
          <w:szCs w:val="24"/>
          <w:lang w:val="en-US"/>
        </w:rPr>
        <w:t xml:space="preserve"> that damage to the environment in times of armed conflict impairs ecosystems and natural resources long beyond the period of conflict, and often extends beyond the limits of national territories and the present generation,</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 xml:space="preserve">1. </w:t>
      </w:r>
      <w:r w:rsidRPr="0017585A">
        <w:rPr>
          <w:rFonts w:ascii="Times New Roman" w:eastAsia="Times New Roman" w:hAnsi="Times New Roman" w:cs="Times New Roman"/>
          <w:i/>
          <w:iCs/>
          <w:sz w:val="24"/>
          <w:szCs w:val="24"/>
          <w:lang w:val="en-US"/>
        </w:rPr>
        <w:t>Declares</w:t>
      </w:r>
      <w:r w:rsidRPr="0017585A">
        <w:rPr>
          <w:rFonts w:ascii="Times New Roman" w:eastAsia="Times New Roman" w:hAnsi="Times New Roman" w:cs="Times New Roman"/>
          <w:sz w:val="24"/>
          <w:szCs w:val="24"/>
          <w:lang w:val="en-US"/>
        </w:rPr>
        <w:t xml:space="preserve"> 6 November each year as the International Day for Preventing the Exploitation of the Environment in War and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019" name="Imagen 10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a resolution adopted in 2005 on permanent sovereignty of the Palestinian people in the Occupied Palestinian Territory, including East Jerusalem, and of the Arab population in the occupied Syrian Golan over their natural resources, the UN General Assembly: </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Also calls upon</w:t>
      </w:r>
      <w:r w:rsidRPr="0017585A">
        <w:rPr>
          <w:rFonts w:ascii="Times New Roman" w:eastAsia="Times New Roman" w:hAnsi="Times New Roman" w:cs="Times New Roman"/>
          <w:sz w:val="24"/>
          <w:szCs w:val="24"/>
          <w:lang w:val="en-US"/>
        </w:rPr>
        <w:t xml:space="preserve"> Israel, the occupying Power, to cease the dumping of all kinds of waste materials in the Occupied Palestinian Territory, including East Jerusalem, and in the occupied Syrian Golan, which gravely threaten their natural resources, namely the water and land resources, and pose an environmental hazard and health threat to the civilian populations.</w:t>
      </w:r>
      <w:r>
        <w:rPr>
          <w:rFonts w:ascii="Times New Roman" w:eastAsia="Times New Roman" w:hAnsi="Times New Roman" w:cs="Times New Roman"/>
          <w:noProof/>
          <w:sz w:val="24"/>
          <w:szCs w:val="24"/>
        </w:rPr>
        <w:drawing>
          <wp:inline distT="0" distB="0" distL="0" distR="0">
            <wp:extent cx="151130" cy="142875"/>
            <wp:effectExtent l="19050" t="0" r="1270" b="0"/>
            <wp:docPr id="1020" name="Imagen 10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a resolution adopted in 2006 on the human rights situation arising from the Israeli military operations in Lebanon, the UN General Assembly deplored “the environmental </w:t>
      </w:r>
      <w:r w:rsidRPr="0017585A">
        <w:rPr>
          <w:rFonts w:ascii="Times New Roman" w:eastAsia="Times New Roman" w:hAnsi="Times New Roman" w:cs="Times New Roman"/>
          <w:sz w:val="24"/>
          <w:szCs w:val="24"/>
          <w:lang w:val="en-US"/>
        </w:rPr>
        <w:lastRenderedPageBreak/>
        <w:t>degradation caused by Israeli air strikes against power plants in Lebanon and their adverse impact on the health and wellbeing of children and other civilians”.</w:t>
      </w:r>
      <w:r>
        <w:rPr>
          <w:rFonts w:ascii="Times New Roman" w:eastAsia="Times New Roman" w:hAnsi="Times New Roman" w:cs="Times New Roman"/>
          <w:noProof/>
          <w:sz w:val="24"/>
          <w:szCs w:val="24"/>
        </w:rPr>
        <w:drawing>
          <wp:inline distT="0" distB="0" distL="0" distR="0">
            <wp:extent cx="151130" cy="142875"/>
            <wp:effectExtent l="19050" t="0" r="1270" b="0"/>
            <wp:docPr id="1021" name="Imagen 10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a resolution adopted in 2006 on an oil slick on Lebanese shores, the UN General Assembly:</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 xml:space="preserve">Noting with great concern </w:t>
      </w:r>
      <w:r w:rsidRPr="0017585A">
        <w:rPr>
          <w:rFonts w:ascii="Times New Roman" w:eastAsia="Times New Roman" w:hAnsi="Times New Roman" w:cs="Times New Roman"/>
          <w:sz w:val="24"/>
          <w:szCs w:val="24"/>
          <w:lang w:val="en-US"/>
        </w:rPr>
        <w:t>the environmental disaster caused by the destruction by the Israeli Air Force on 15 July 2006 of the oil storage tanks in the direct vicinity of the El-Jiyeh electric power plant in Lebanon, causing an oil slick that covered the entirety of the Lebanese coastline and extended beyond,</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 xml:space="preserve">1. </w:t>
      </w:r>
      <w:r w:rsidRPr="0017585A">
        <w:rPr>
          <w:rFonts w:ascii="Times New Roman" w:eastAsia="Times New Roman" w:hAnsi="Times New Roman" w:cs="Times New Roman"/>
          <w:i/>
          <w:iCs/>
          <w:sz w:val="24"/>
          <w:szCs w:val="24"/>
          <w:lang w:val="en-US"/>
        </w:rPr>
        <w:t xml:space="preserve">Expresses its deep concern </w:t>
      </w:r>
      <w:r w:rsidRPr="0017585A">
        <w:rPr>
          <w:rFonts w:ascii="Times New Roman" w:eastAsia="Times New Roman" w:hAnsi="Times New Roman" w:cs="Times New Roman"/>
          <w:sz w:val="24"/>
          <w:szCs w:val="24"/>
          <w:lang w:val="en-US"/>
        </w:rPr>
        <w:t>over the adverse implications of the destruction by the Israeli Air Force of the oil storage tanks in the direct vicinity of the Lebanese El-Jiyeh electric power plant for the achievement of sustainable development in Lebanon;</w:t>
      </w:r>
      <w:r w:rsidRPr="0017585A">
        <w:rPr>
          <w:rFonts w:ascii="Times New Roman" w:eastAsia="Times New Roman" w:hAnsi="Times New Roman" w:cs="Times New Roman"/>
          <w:sz w:val="24"/>
          <w:szCs w:val="24"/>
          <w:lang w:val="en-US"/>
        </w:rPr>
        <w:br/>
        <w:t xml:space="preserve">2. </w:t>
      </w:r>
      <w:r w:rsidRPr="0017585A">
        <w:rPr>
          <w:rFonts w:ascii="Times New Roman" w:eastAsia="Times New Roman" w:hAnsi="Times New Roman" w:cs="Times New Roman"/>
          <w:i/>
          <w:iCs/>
          <w:sz w:val="24"/>
          <w:szCs w:val="24"/>
          <w:lang w:val="en-US"/>
        </w:rPr>
        <w:t xml:space="preserve">Considers </w:t>
      </w:r>
      <w:r w:rsidRPr="0017585A">
        <w:rPr>
          <w:rFonts w:ascii="Times New Roman" w:eastAsia="Times New Roman" w:hAnsi="Times New Roman" w:cs="Times New Roman"/>
          <w:sz w:val="24"/>
          <w:szCs w:val="24"/>
          <w:lang w:val="en-US"/>
        </w:rPr>
        <w:t>that the oil slick has heavily polluted the shores of Lebanon and consequently has serious implications for human health, biodiversity, fisheries and tourism, all four of which in turn have serious implications for livelihoods and the economy of Lebanon;</w:t>
      </w:r>
      <w:r w:rsidRPr="0017585A">
        <w:rPr>
          <w:rFonts w:ascii="Times New Roman" w:eastAsia="Times New Roman" w:hAnsi="Times New Roman" w:cs="Times New Roman"/>
          <w:sz w:val="24"/>
          <w:szCs w:val="24"/>
          <w:lang w:val="en-US"/>
        </w:rPr>
        <w:br/>
        <w:t xml:space="preserve">3. </w:t>
      </w:r>
      <w:r w:rsidRPr="0017585A">
        <w:rPr>
          <w:rFonts w:ascii="Times New Roman" w:eastAsia="Times New Roman" w:hAnsi="Times New Roman" w:cs="Times New Roman"/>
          <w:i/>
          <w:iCs/>
          <w:sz w:val="24"/>
          <w:szCs w:val="24"/>
          <w:lang w:val="en-US"/>
        </w:rPr>
        <w:t xml:space="preserve">Calls upon </w:t>
      </w:r>
      <w:r w:rsidRPr="0017585A">
        <w:rPr>
          <w:rFonts w:ascii="Times New Roman" w:eastAsia="Times New Roman" w:hAnsi="Times New Roman" w:cs="Times New Roman"/>
          <w:sz w:val="24"/>
          <w:szCs w:val="24"/>
          <w:lang w:val="en-US"/>
        </w:rPr>
        <w:t>the Government of Israel to assume responsibility for prompt and adequate compensation to the Government of Lebanon for the costs of repairing the environmental damage caused by the destruction, including the restoration of the marine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22" name="Imagen 10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a resolution adopted in 2006 on effects of the use of armaments and ammunitions containing depleted uranium, the UN General Assembly:</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 xml:space="preserve">Guided </w:t>
      </w:r>
      <w:r w:rsidRPr="0017585A">
        <w:rPr>
          <w:rFonts w:ascii="Times New Roman" w:eastAsia="Times New Roman" w:hAnsi="Times New Roman" w:cs="Times New Roman"/>
          <w:sz w:val="24"/>
          <w:szCs w:val="24"/>
          <w:lang w:val="en-US"/>
        </w:rPr>
        <w:t xml:space="preserve">by the purposes and principles enshrined in the Charter of the United Nations and the rules of humanitarian international law, </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 xml:space="preserve">Convinced </w:t>
      </w:r>
      <w:r w:rsidRPr="0017585A">
        <w:rPr>
          <w:rFonts w:ascii="Times New Roman" w:eastAsia="Times New Roman" w:hAnsi="Times New Roman" w:cs="Times New Roman"/>
          <w:sz w:val="24"/>
          <w:szCs w:val="24"/>
          <w:lang w:val="en-US"/>
        </w:rPr>
        <w:t xml:space="preserve">that as humankind is more aware of the need to take immediate measures to protect the environment, any event that could jeopardize such efforts requires urgent attention to implement the required measures, </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 xml:space="preserve">Taking into consideration </w:t>
      </w:r>
      <w:r w:rsidRPr="0017585A">
        <w:rPr>
          <w:rFonts w:ascii="Times New Roman" w:eastAsia="Times New Roman" w:hAnsi="Times New Roman" w:cs="Times New Roman"/>
          <w:sz w:val="24"/>
          <w:szCs w:val="24"/>
          <w:lang w:val="en-US"/>
        </w:rPr>
        <w:t xml:space="preserve">the potential harmful effects of the use of armaments and ammunitions containing depleted uranium on human health and the environment, </w:t>
      </w:r>
      <w:r w:rsidRPr="0017585A">
        <w:rPr>
          <w:rFonts w:ascii="Times New Roman" w:eastAsia="Times New Roman" w:hAnsi="Times New Roman" w:cs="Times New Roman"/>
          <w:sz w:val="24"/>
          <w:szCs w:val="24"/>
          <w:lang w:val="en-US"/>
        </w:rPr>
        <w:br/>
        <w:t xml:space="preserve">1. </w:t>
      </w:r>
      <w:r w:rsidRPr="0017585A">
        <w:rPr>
          <w:rFonts w:ascii="Times New Roman" w:eastAsia="Times New Roman" w:hAnsi="Times New Roman" w:cs="Times New Roman"/>
          <w:i/>
          <w:iCs/>
          <w:sz w:val="24"/>
          <w:szCs w:val="24"/>
          <w:lang w:val="en-US"/>
        </w:rPr>
        <w:t xml:space="preserve">Requests </w:t>
      </w:r>
      <w:r w:rsidRPr="0017585A">
        <w:rPr>
          <w:rFonts w:ascii="Times New Roman" w:eastAsia="Times New Roman" w:hAnsi="Times New Roman" w:cs="Times New Roman"/>
          <w:sz w:val="24"/>
          <w:szCs w:val="24"/>
          <w:lang w:val="en-US"/>
        </w:rPr>
        <w:t>the Secretary-General to seek the views of Member States and relevant international organizations on the effects of the use of armaments and ammunitions containing depleted uranium, and to submit a report on this subject to the General Assembly at its sixty-third session.</w:t>
      </w:r>
      <w:r>
        <w:rPr>
          <w:rFonts w:ascii="Times New Roman" w:eastAsia="Times New Roman" w:hAnsi="Times New Roman" w:cs="Times New Roman"/>
          <w:noProof/>
          <w:sz w:val="24"/>
          <w:szCs w:val="24"/>
        </w:rPr>
        <w:drawing>
          <wp:inline distT="0" distB="0" distL="0" distR="0">
            <wp:extent cx="151130" cy="142875"/>
            <wp:effectExtent l="19050" t="0" r="1270" b="0"/>
            <wp:docPr id="1023" name="Imagen 10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a resolution adopted in 2007 concerning an oil slick on Lebanese shores, the UN General Assembly:</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 xml:space="preserve">Noting again with great concern </w:t>
      </w:r>
      <w:r w:rsidRPr="0017585A">
        <w:rPr>
          <w:rFonts w:ascii="Times New Roman" w:eastAsia="Times New Roman" w:hAnsi="Times New Roman" w:cs="Times New Roman"/>
          <w:sz w:val="24"/>
          <w:szCs w:val="24"/>
          <w:lang w:val="en-US"/>
        </w:rPr>
        <w:t>the environmental disaster caused by the destruction by the Israeli Air Force on 15 July 2006 of the oil storage tanks in the direct vicinity of el Jiyeh electric power plant in Lebanon, resulting in an oil slick that covered the entirety of the Lebanese coastline and extended to the Syrian coastline,</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 xml:space="preserve">2. </w:t>
      </w:r>
      <w:r w:rsidRPr="0017585A">
        <w:rPr>
          <w:rFonts w:ascii="Times New Roman" w:eastAsia="Times New Roman" w:hAnsi="Times New Roman" w:cs="Times New Roman"/>
          <w:i/>
          <w:iCs/>
          <w:sz w:val="24"/>
          <w:szCs w:val="24"/>
          <w:lang w:val="en-US"/>
        </w:rPr>
        <w:t xml:space="preserve">Reiterates the expression of its deep concern </w:t>
      </w:r>
      <w:r w:rsidRPr="0017585A">
        <w:rPr>
          <w:rFonts w:ascii="Times New Roman" w:eastAsia="Times New Roman" w:hAnsi="Times New Roman" w:cs="Times New Roman"/>
          <w:sz w:val="24"/>
          <w:szCs w:val="24"/>
          <w:lang w:val="en-US"/>
        </w:rPr>
        <w:t>about the adverse implications of the destruction by the Israeli Air Force of the oil storage tanks in the direct vicinity of the Lebanese el Jiyeh electric power plant for the achievement of sustainable development in Lebanon;</w:t>
      </w:r>
      <w:r w:rsidRPr="0017585A">
        <w:rPr>
          <w:rFonts w:ascii="Times New Roman" w:eastAsia="Times New Roman" w:hAnsi="Times New Roman" w:cs="Times New Roman"/>
          <w:sz w:val="24"/>
          <w:szCs w:val="24"/>
          <w:lang w:val="en-US"/>
        </w:rPr>
        <w:br/>
        <w:t xml:space="preserve">3. </w:t>
      </w:r>
      <w:r w:rsidRPr="0017585A">
        <w:rPr>
          <w:rFonts w:ascii="Times New Roman" w:eastAsia="Times New Roman" w:hAnsi="Times New Roman" w:cs="Times New Roman"/>
          <w:i/>
          <w:iCs/>
          <w:sz w:val="24"/>
          <w:szCs w:val="24"/>
          <w:lang w:val="en-US"/>
        </w:rPr>
        <w:t xml:space="preserve">Considers </w:t>
      </w:r>
      <w:r w:rsidRPr="0017585A">
        <w:rPr>
          <w:rFonts w:ascii="Times New Roman" w:eastAsia="Times New Roman" w:hAnsi="Times New Roman" w:cs="Times New Roman"/>
          <w:sz w:val="24"/>
          <w:szCs w:val="24"/>
          <w:lang w:val="en-US"/>
        </w:rPr>
        <w:t>that the oil slick has heavily polluted the shores of Lebanon and partially polluted Syrian shores and consequently has had serious implications for livelihoods and the economy of Lebanon, owing to the adverse implications for natural resources, biodiversity, fisheries and tourism, and for human health, in the country;</w:t>
      </w:r>
      <w:r w:rsidRPr="0017585A">
        <w:rPr>
          <w:rFonts w:ascii="Times New Roman" w:eastAsia="Times New Roman" w:hAnsi="Times New Roman" w:cs="Times New Roman"/>
          <w:sz w:val="24"/>
          <w:szCs w:val="24"/>
          <w:lang w:val="en-US"/>
        </w:rPr>
        <w:br/>
        <w:t xml:space="preserve">4. </w:t>
      </w:r>
      <w:r w:rsidRPr="0017585A">
        <w:rPr>
          <w:rFonts w:ascii="Times New Roman" w:eastAsia="Times New Roman" w:hAnsi="Times New Roman" w:cs="Times New Roman"/>
          <w:i/>
          <w:iCs/>
          <w:sz w:val="24"/>
          <w:szCs w:val="24"/>
          <w:lang w:val="en-US"/>
        </w:rPr>
        <w:t xml:space="preserve">Requests </w:t>
      </w:r>
      <w:r w:rsidRPr="0017585A">
        <w:rPr>
          <w:rFonts w:ascii="Times New Roman" w:eastAsia="Times New Roman" w:hAnsi="Times New Roman" w:cs="Times New Roman"/>
          <w:sz w:val="24"/>
          <w:szCs w:val="24"/>
          <w:lang w:val="en-US"/>
        </w:rPr>
        <w:t xml:space="preserve">the Government of Israel to assume responsibility for prompt and adequate </w:t>
      </w:r>
      <w:r w:rsidRPr="0017585A">
        <w:rPr>
          <w:rFonts w:ascii="Times New Roman" w:eastAsia="Times New Roman" w:hAnsi="Times New Roman" w:cs="Times New Roman"/>
          <w:sz w:val="24"/>
          <w:szCs w:val="24"/>
          <w:lang w:val="en-US"/>
        </w:rPr>
        <w:lastRenderedPageBreak/>
        <w:t>compensation to the Government of Lebanon and other countries directly affected by the oil slick for the costs of repairing the environmental damage caused by the destruction, including the restoration of the marine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24" name="Imagen 10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 Economic and Social Council</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a resolution adopted in 2006 on the economic and social repercussions of the Israeli occupation on the living conditions of the Palestinian people in the Occupied Palestinian Territory, including East Jerusalem, and the Arab population in the occupied Syrian Golan, ECOSOC: </w:t>
      </w:r>
      <w:r w:rsidRPr="0017585A">
        <w:rPr>
          <w:rFonts w:ascii="Times New Roman" w:eastAsia="Times New Roman" w:hAnsi="Times New Roman" w:cs="Times New Roman"/>
          <w:sz w:val="24"/>
          <w:szCs w:val="24"/>
          <w:lang w:val="en-US"/>
        </w:rPr>
        <w:br/>
      </w:r>
      <w:r w:rsidRPr="0017585A">
        <w:rPr>
          <w:rFonts w:ascii="Times New Roman" w:eastAsia="Times New Roman" w:hAnsi="Times New Roman" w:cs="Times New Roman"/>
          <w:i/>
          <w:iCs/>
          <w:sz w:val="24"/>
          <w:szCs w:val="24"/>
          <w:lang w:val="en-US"/>
        </w:rPr>
        <w:t xml:space="preserve">Gravely concerned </w:t>
      </w:r>
      <w:r w:rsidRPr="0017585A">
        <w:rPr>
          <w:rFonts w:ascii="Times New Roman" w:eastAsia="Times New Roman" w:hAnsi="Times New Roman" w:cs="Times New Roman"/>
          <w:sz w:val="24"/>
          <w:szCs w:val="24"/>
          <w:lang w:val="en-US"/>
        </w:rPr>
        <w:t>about the deterioration of the economic and living conditions of the Palestinian people in the Occupied Palestinian Territory, including East Jerusalem, and of the Arab population of the occupied Syrian Golan and the exploitation by Israel, the occupying Power, of their natural resources,</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 xml:space="preserve">8. </w:t>
      </w:r>
      <w:r w:rsidRPr="0017585A">
        <w:rPr>
          <w:rFonts w:ascii="Times New Roman" w:eastAsia="Times New Roman" w:hAnsi="Times New Roman" w:cs="Times New Roman"/>
          <w:i/>
          <w:iCs/>
          <w:sz w:val="24"/>
          <w:szCs w:val="24"/>
          <w:lang w:val="en-US"/>
        </w:rPr>
        <w:t xml:space="preserve">Calls upon </w:t>
      </w:r>
      <w:r w:rsidRPr="0017585A">
        <w:rPr>
          <w:rFonts w:ascii="Times New Roman" w:eastAsia="Times New Roman" w:hAnsi="Times New Roman" w:cs="Times New Roman"/>
          <w:sz w:val="24"/>
          <w:szCs w:val="24"/>
          <w:lang w:val="en-US"/>
        </w:rPr>
        <w:t>Israel, the occupying Power, to cease the dumping of all kinds of waste materials in the Occupied Palestinian Territory, including East Jerusalem, and in the occupied Syrian Golan, which gravely threaten their natural resources, namely, water and land resources, and pose an environmental hazard and health threat to the civilian populations.</w:t>
      </w:r>
      <w:r>
        <w:rPr>
          <w:rFonts w:ascii="Times New Roman" w:eastAsia="Times New Roman" w:hAnsi="Times New Roman" w:cs="Times New Roman"/>
          <w:noProof/>
          <w:sz w:val="24"/>
          <w:szCs w:val="24"/>
        </w:rPr>
        <w:drawing>
          <wp:inline distT="0" distB="0" distL="0" distR="0">
            <wp:extent cx="151130" cy="142875"/>
            <wp:effectExtent l="19050" t="0" r="1270" b="0"/>
            <wp:docPr id="1025" name="Imagen 10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 Human Rights Council</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a resolution adopted in 2006 on the situation of human rights in Lebanon caused by Israeli military operations, the UN Human Rights Council noted with concern “the environmental degradation caused by Israeli strikes against power plants and their adverse impact on health”.</w:t>
      </w:r>
      <w:r>
        <w:rPr>
          <w:rFonts w:ascii="Times New Roman" w:eastAsia="Times New Roman" w:hAnsi="Times New Roman" w:cs="Times New Roman"/>
          <w:noProof/>
          <w:sz w:val="24"/>
          <w:szCs w:val="24"/>
        </w:rPr>
        <w:drawing>
          <wp:inline distT="0" distB="0" distL="0" distR="0">
            <wp:extent cx="151130" cy="142875"/>
            <wp:effectExtent l="19050" t="0" r="1270" b="0"/>
            <wp:docPr id="1026" name="Imagen 10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 Compensation Commission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1991, with regard to the environmental consequences of the Gulf War, the Governing Council of the UNCC expressed “its concern about the environmental damage that occurred during the armed conflict in the Gulf area, which resulted in the pollution of the waters of the area by oil, air pollution from burning oil wells and other environmental damage to the surrounding areas”.</w:t>
      </w:r>
      <w:r>
        <w:rPr>
          <w:rFonts w:ascii="Times New Roman" w:eastAsia="Times New Roman" w:hAnsi="Times New Roman" w:cs="Times New Roman"/>
          <w:noProof/>
          <w:sz w:val="24"/>
          <w:szCs w:val="24"/>
        </w:rPr>
        <w:drawing>
          <wp:inline distT="0" distB="0" distL="0" distR="0">
            <wp:extent cx="151130" cy="142875"/>
            <wp:effectExtent l="19050" t="0" r="1270" b="0"/>
            <wp:docPr id="1027" name="Imagen 10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7" w:name="SectionA_VIOtInO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"javascript:openUrlLight('src_VIOtInOr')"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VIII. Other International Organizations</w:t>
      </w:r>
      <w:r w:rsidRPr="0017585A">
        <w:rPr>
          <w:rFonts w:ascii="Times New Roman" w:eastAsia="Times New Roman" w:hAnsi="Times New Roman" w:cs="Times New Roman"/>
          <w:sz w:val="24"/>
          <w:szCs w:val="24"/>
        </w:rPr>
        <w:fldChar w:fldCharType="end"/>
      </w:r>
      <w:bookmarkEnd w:id="137"/>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Council of Europe Parliamentary Assembly</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2001, in a report on the environmental impact of the war in the Federal Republic of Yugoslavia on south-east Europe, the Committee on the Environment, Regional Planning and Local Authorities of the Council of Europe Parliamentary Assembly noted that the military operations conducted by NATO against the Federal Republic of Yugoslavia during the 1999 Kosovo crisis had caused serious damage to the country’s natural environment and that the damage had extended to several other countries of south-east Europe. The report stated that “the military operations violated the rights of Yugoslav citizens and people in neighbouring countries, first and foremost the right to a healthy environment”.</w:t>
      </w:r>
      <w:r>
        <w:rPr>
          <w:rFonts w:ascii="Times New Roman" w:eastAsia="Times New Roman" w:hAnsi="Times New Roman" w:cs="Times New Roman"/>
          <w:noProof/>
          <w:sz w:val="24"/>
          <w:szCs w:val="24"/>
        </w:rPr>
        <w:drawing>
          <wp:inline distT="0" distB="0" distL="0" distR="0">
            <wp:extent cx="151130" cy="142875"/>
            <wp:effectExtent l="19050" t="0" r="1270" b="0"/>
            <wp:docPr id="1028" name="Imagen 10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8" w:name="SectionA_IXInCo"/>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"javascript:openUrlLight('src_IXInCo')"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IX. International Conferences</w:t>
      </w:r>
      <w:r w:rsidRPr="0017585A">
        <w:rPr>
          <w:rFonts w:ascii="Times New Roman" w:eastAsia="Times New Roman" w:hAnsi="Times New Roman" w:cs="Times New Roman"/>
          <w:sz w:val="24"/>
          <w:szCs w:val="24"/>
        </w:rPr>
        <w:fldChar w:fldCharType="end"/>
      </w:r>
      <w:bookmarkEnd w:id="138"/>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No data.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39" w:name="SectionA_XInanMi"/>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"javascript:openUrlLight('src_XInanMi')"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X. International and Mixed Judicial and Quasi-judicial Bodies</w:t>
      </w:r>
      <w:r w:rsidRPr="0017585A">
        <w:rPr>
          <w:rFonts w:ascii="Times New Roman" w:eastAsia="Times New Roman" w:hAnsi="Times New Roman" w:cs="Times New Roman"/>
          <w:sz w:val="24"/>
          <w:szCs w:val="24"/>
        </w:rPr>
        <w:fldChar w:fldCharType="end"/>
      </w:r>
      <w:bookmarkEnd w:id="139"/>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International Court of Justice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advisory opinion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1996, the ICJ made reference to the </w:t>
      </w:r>
      <w:r w:rsidRPr="0017585A">
        <w:rPr>
          <w:rFonts w:ascii="Times New Roman" w:eastAsia="Times New Roman" w:hAnsi="Times New Roman" w:cs="Times New Roman"/>
          <w:i/>
          <w:iCs/>
          <w:sz w:val="24"/>
          <w:szCs w:val="24"/>
          <w:lang w:val="en-US"/>
        </w:rPr>
        <w:t>Nuclear Tests case (Request for an Examination of the Situation)</w:t>
      </w:r>
      <w:r w:rsidRPr="0017585A">
        <w:rPr>
          <w:rFonts w:ascii="Times New Roman" w:eastAsia="Times New Roman" w:hAnsi="Times New Roman" w:cs="Times New Roman"/>
          <w:sz w:val="24"/>
          <w:szCs w:val="24"/>
          <w:lang w:val="en-US"/>
        </w:rPr>
        <w:t xml:space="preserve">, in which it held that its order in that case was “without prejudice to the obligations of States to respect </w:t>
      </w:r>
      <w:r w:rsidRPr="0017585A">
        <w:rPr>
          <w:rFonts w:ascii="Times New Roman" w:eastAsia="Times New Roman" w:hAnsi="Times New Roman" w:cs="Times New Roman"/>
          <w:sz w:val="24"/>
          <w:szCs w:val="24"/>
          <w:lang w:val="en-US"/>
        </w:rPr>
        <w:lastRenderedPageBreak/>
        <w:t>and protect the natural environment”. The Court stated: “Although that statement was made in the context of nuclear testing, it naturally also applies to the actual use of nuclear weapons in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029" name="Imagen 10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In its advisory opinion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1996, the ICJ stated:</w:t>
      </w:r>
      <w:r w:rsidRPr="0017585A">
        <w:rPr>
          <w:rFonts w:ascii="Times New Roman" w:eastAsia="Times New Roman" w:hAnsi="Times New Roman" w:cs="Times New Roman"/>
          <w:sz w:val="24"/>
          <w:szCs w:val="24"/>
          <w:lang w:val="en-US"/>
        </w:rPr>
        <w:br/>
        <w:t>The Court recognizes that the environment is under daily threat and … also recognizes that the environment is not an abstraction but represents the living space, the quality of life and the very health of human beings, including generations unborn. The existence of the general obligation of States to ensure that activities within their jurisdiction and control respect the environment of other States or of areas beyond national control is now part of the corpus of international law relating to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30" name="Imagen 10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In its judgment in the </w:t>
      </w:r>
      <w:r w:rsidRPr="0017585A">
        <w:rPr>
          <w:rFonts w:ascii="Times New Roman" w:eastAsia="Times New Roman" w:hAnsi="Times New Roman" w:cs="Times New Roman"/>
          <w:i/>
          <w:iCs/>
          <w:sz w:val="24"/>
          <w:szCs w:val="24"/>
          <w:lang w:val="en-US"/>
        </w:rPr>
        <w:t>Gabcíkovo-Nagymaros Project case</w:t>
      </w:r>
      <w:r w:rsidRPr="0017585A">
        <w:rPr>
          <w:rFonts w:ascii="Times New Roman" w:eastAsia="Times New Roman" w:hAnsi="Times New Roman" w:cs="Times New Roman"/>
          <w:sz w:val="24"/>
          <w:szCs w:val="24"/>
          <w:lang w:val="en-US"/>
        </w:rPr>
        <w:t xml:space="preserve"> in 1997, the ICJ considered whether protection of the environment amounted to an “essential interest” of a State that could be invoked in order to justify, by way of “necessity”, actions that were not in conformity with that State’s international obligations. The Court, stressing that a state of necessity could only be invoked in exceptional circumstances, answered in the affirmative. It quoted the International Law Commission in this regard, which stated that a state of necessity could include “a grave danger to … the ecological preservation of all or some of [the] territory [of a State]” and that “it is primarily in the last two decades that safeguarding the ecological balance has come to be considered an ‘essential interest’ of all States”. The Court then quoted paragraph 29 of its advisory opinion in the </w:t>
      </w:r>
      <w:r w:rsidRPr="0017585A">
        <w:rPr>
          <w:rFonts w:ascii="Times New Roman" w:eastAsia="Times New Roman" w:hAnsi="Times New Roman" w:cs="Times New Roman"/>
          <w:i/>
          <w:iCs/>
          <w:sz w:val="24"/>
          <w:szCs w:val="24"/>
          <w:lang w:val="en-US"/>
        </w:rPr>
        <w:t>Nuclear Weapons case</w:t>
      </w:r>
      <w:r w:rsidRPr="0017585A">
        <w:rPr>
          <w:rFonts w:ascii="Times New Roman" w:eastAsia="Times New Roman" w:hAnsi="Times New Roman" w:cs="Times New Roman"/>
          <w:sz w:val="24"/>
          <w:szCs w:val="24"/>
          <w:lang w:val="en-US"/>
        </w:rPr>
        <w:t xml:space="preserve"> in order to show that it had recently stressed “the great significance that it attaches to respect for the environment, not only for States but also for the whole of mankind”.</w:t>
      </w:r>
      <w:r>
        <w:rPr>
          <w:rFonts w:ascii="Times New Roman" w:eastAsia="Times New Roman" w:hAnsi="Times New Roman" w:cs="Times New Roman"/>
          <w:noProof/>
          <w:sz w:val="24"/>
          <w:szCs w:val="24"/>
        </w:rPr>
        <w:drawing>
          <wp:inline distT="0" distB="0" distL="0" distR="0">
            <wp:extent cx="151130" cy="142875"/>
            <wp:effectExtent l="19050" t="0" r="1270" b="0"/>
            <wp:docPr id="1031" name="Imagen 10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0" w:name="SectionA_XIInReC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"javascript:openUrlLight('src_XIInReCr')"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XI. International Red Cross and Red Crescent Movement</w:t>
      </w:r>
      <w:r w:rsidRPr="0017585A">
        <w:rPr>
          <w:rFonts w:ascii="Times New Roman" w:eastAsia="Times New Roman" w:hAnsi="Times New Roman" w:cs="Times New Roman"/>
          <w:sz w:val="24"/>
          <w:szCs w:val="24"/>
        </w:rPr>
        <w:fldChar w:fldCharType="end"/>
      </w:r>
      <w:bookmarkEnd w:id="140"/>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ICRC</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1992, in a report submitted to the UN Secretary-General on the protection of the environment in time of armed conflict, the ICRC stated:</w:t>
      </w:r>
      <w:r w:rsidRPr="0017585A">
        <w:rPr>
          <w:rFonts w:ascii="Times New Roman" w:eastAsia="Times New Roman" w:hAnsi="Times New Roman" w:cs="Times New Roman"/>
          <w:sz w:val="24"/>
          <w:szCs w:val="24"/>
          <w:lang w:val="en-US"/>
        </w:rPr>
        <w:br/>
        <w:t>In addition to the rules of law pertaining to warfare, general (peacetime) provisions on the protection of the environment may continue to be applicable. This holds true in particular for the relations between a belligerent State and third States.</w:t>
      </w:r>
      <w:r>
        <w:rPr>
          <w:rFonts w:ascii="Times New Roman" w:eastAsia="Times New Roman" w:hAnsi="Times New Roman" w:cs="Times New Roman"/>
          <w:noProof/>
          <w:sz w:val="24"/>
          <w:szCs w:val="24"/>
        </w:rPr>
        <w:drawing>
          <wp:inline distT="0" distB="0" distL="0" distR="0">
            <wp:extent cx="151130" cy="142875"/>
            <wp:effectExtent l="19050" t="0" r="1270" b="0"/>
            <wp:docPr id="1032" name="Imagen 10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1" w:name="SectionA_XIOt"/>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"javascript:openUrlLight('src_XIOt')"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XII. Other</w:t>
      </w:r>
      <w:r w:rsidRPr="0017585A">
        <w:rPr>
          <w:rFonts w:ascii="Times New Roman" w:eastAsia="Times New Roman" w:hAnsi="Times New Roman" w:cs="Times New Roman"/>
          <w:sz w:val="24"/>
          <w:szCs w:val="24"/>
        </w:rPr>
        <w:fldChar w:fldCharType="end"/>
      </w:r>
      <w:bookmarkEnd w:id="141"/>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American Law Institute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Restatement (Third) of the Foreign Relations Law of the United States, adopted and promulgated by the American Law Institute in 1986, provides:</w:t>
      </w:r>
      <w:r w:rsidRPr="0017585A">
        <w:rPr>
          <w:rFonts w:ascii="Times New Roman" w:eastAsia="Times New Roman" w:hAnsi="Times New Roman" w:cs="Times New Roman"/>
          <w:sz w:val="24"/>
          <w:szCs w:val="24"/>
          <w:lang w:val="en-US"/>
        </w:rPr>
        <w:br/>
        <w:t>(1) A state is obligated to take such measures as may be necessary, to the extent practicable under the circumstances, to ensure that activities within its jurisdiction or control</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 conform to generally accepted international rules and standards for the prevention, reduction, and control of injury to the environment of another state or of areas beyond the limits of national jurisdiction; and</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 are conducted so as not to cause significant injury to the environment of another state or of areas beyond the limits of national jurisdiction.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(2) A state is responsible to all other states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 for any violation of its obligations under Subsection 1(a), and</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 for any significant injury, resulting from such violation, to the environment of areas beyond the limits of national jurisdiction.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(3) A state is responsible for any significant injury, resulting from a violation of its obligations under Subsection (1), to the environment of another state or to its property, </w:t>
      </w:r>
      <w:r w:rsidRPr="0017585A">
        <w:rPr>
          <w:rFonts w:ascii="Times New Roman" w:eastAsia="Times New Roman" w:hAnsi="Times New Roman" w:cs="Times New Roman"/>
          <w:sz w:val="24"/>
          <w:szCs w:val="24"/>
          <w:lang w:val="en-US"/>
        </w:rPr>
        <w:lastRenderedPageBreak/>
        <w:t>or to persons or property within that state’s territory or under its jurisdiction or control.</w:t>
      </w:r>
      <w:r>
        <w:rPr>
          <w:rFonts w:ascii="Times New Roman" w:eastAsia="Times New Roman" w:hAnsi="Times New Roman" w:cs="Times New Roman"/>
          <w:noProof/>
          <w:sz w:val="24"/>
          <w:szCs w:val="24"/>
        </w:rPr>
        <w:drawing>
          <wp:inline distT="0" distB="0" distL="0" distR="0">
            <wp:extent cx="151130" cy="142875"/>
            <wp:effectExtent l="19050" t="0" r="1270" b="0"/>
            <wp:docPr id="1033" name="Imagen 10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Sudan People’s Liberation Movement/Army (SPLM/A)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a resolution adopted in 1991, the Politico-Military High Command of the SPLM/A stated: “The SPLM/SPLA shall do everything to halt the destruction of our wildlife resources and to protect and develop them for us and for posterity.”</w:t>
      </w:r>
      <w:r>
        <w:rPr>
          <w:rFonts w:ascii="Times New Roman" w:eastAsia="Times New Roman" w:hAnsi="Times New Roman" w:cs="Times New Roman"/>
          <w:noProof/>
          <w:sz w:val="24"/>
          <w:szCs w:val="24"/>
        </w:rPr>
        <w:drawing>
          <wp:inline distT="0" distB="0" distL="0" distR="0">
            <wp:extent cx="151130" cy="142875"/>
            <wp:effectExtent l="19050" t="0" r="1270" b="0"/>
            <wp:docPr id="1034" name="Imagen 10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International Union for the Conservation of Nature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1995, the IUCN Commission on Environmental Law, in cooperation with the International Council of Environmental Law, issued the Draft International Covenant on Environment and Development, which was intended to stimulate consideration of a global instrument on environmental conservation and sustainable development. Article 32(1) provides:</w:t>
      </w:r>
      <w:r w:rsidRPr="0017585A">
        <w:rPr>
          <w:rFonts w:ascii="Times New Roman" w:eastAsia="Times New Roman" w:hAnsi="Times New Roman" w:cs="Times New Roman"/>
          <w:sz w:val="24"/>
          <w:szCs w:val="24"/>
          <w:lang w:val="en-US"/>
        </w:rPr>
        <w:br/>
        <w:t>Parties shall protect the environment during periods of armed conflict. In particular, Parties shall:</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 observe, outside areas of armed conflict, all international environmental rules by which they are bound in times of peace;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 take care to protect the environment against avoidable harm in areas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035" name="Imagen 10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hyperlink r:id="rId6" w:history="1">
        <w:r w:rsidRPr="0017585A">
          <w:rPr>
            <w:rFonts w:ascii="Times New Roman" w:eastAsia="Times New Roman" w:hAnsi="Times New Roman" w:cs="Times New Roman"/>
            <w:color w:val="0000FF"/>
            <w:sz w:val="24"/>
            <w:szCs w:val="24"/>
            <w:u w:val="single"/>
            <w:lang w:val="en-US"/>
          </w:rPr>
          <w:t>Section B. The precautionary principle</w:t>
        </w:r>
      </w:hyperlink>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Quick navigation</w:t>
      </w:r>
    </w:p>
    <w:bookmarkStart w:id="142" w:name="SectionB_IT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"javascript:openUrlLight('src_ITr')"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 Treaties</w:t>
      </w:r>
      <w:r w:rsidRPr="0017585A">
        <w:rPr>
          <w:rFonts w:ascii="Times New Roman" w:eastAsia="Times New Roman" w:hAnsi="Times New Roman" w:cs="Times New Roman"/>
          <w:sz w:val="24"/>
          <w:szCs w:val="24"/>
        </w:rPr>
        <w:fldChar w:fldCharType="end"/>
      </w:r>
      <w:bookmarkEnd w:id="142"/>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Convention on Biodiversity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Paragraph 9 of the preamble to the 1992 Convention on Biodiversity states that “where there is a threat of significant reduction or loss of biological diversity, lack of full scientific certainty should not be used as a reason for postponing measures to avoid or minimize such a threat”.</w:t>
      </w:r>
      <w:r>
        <w:rPr>
          <w:rFonts w:ascii="Times New Roman" w:eastAsia="Times New Roman" w:hAnsi="Times New Roman" w:cs="Times New Roman"/>
          <w:noProof/>
          <w:sz w:val="24"/>
          <w:szCs w:val="24"/>
        </w:rPr>
        <w:drawing>
          <wp:inline distT="0" distB="0" distL="0" distR="0">
            <wp:extent cx="151130" cy="142875"/>
            <wp:effectExtent l="19050" t="0" r="1270" b="0"/>
            <wp:docPr id="1036" name="Imagen 10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3" w:name="SectionB_IIOtIn"/>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"javascript:openUrlLight('src_IIOtIn')"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II. Other Instruments</w:t>
      </w:r>
      <w:r w:rsidRPr="0017585A">
        <w:rPr>
          <w:rFonts w:ascii="Times New Roman" w:eastAsia="Times New Roman" w:hAnsi="Times New Roman" w:cs="Times New Roman"/>
          <w:sz w:val="24"/>
          <w:szCs w:val="24"/>
        </w:rPr>
        <w:fldChar w:fldCharType="end"/>
      </w:r>
      <w:bookmarkEnd w:id="143"/>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Rio Declaration</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Principle 15 of the 1992 Rio Declaration states:</w:t>
      </w:r>
      <w:r w:rsidRPr="0017585A">
        <w:rPr>
          <w:rFonts w:ascii="Times New Roman" w:eastAsia="Times New Roman" w:hAnsi="Times New Roman" w:cs="Times New Roman"/>
          <w:sz w:val="24"/>
          <w:szCs w:val="24"/>
          <w:lang w:val="en-US"/>
        </w:rPr>
        <w:br/>
        <w:t>In order to protect the environment, the precautionary approach shall be widely applied by States according to their capabilities. Where there are threats of serious or irreversible damage, lack of full scientific certainty shall not be used as a reason for postponing cost-effective measures to prevent environmental degradation.</w:t>
      </w:r>
      <w:r>
        <w:rPr>
          <w:rFonts w:ascii="Times New Roman" w:eastAsia="Times New Roman" w:hAnsi="Times New Roman" w:cs="Times New Roman"/>
          <w:noProof/>
          <w:sz w:val="24"/>
          <w:szCs w:val="24"/>
        </w:rPr>
        <w:drawing>
          <wp:inline distT="0" distB="0" distL="0" distR="0">
            <wp:extent cx="151130" cy="142875"/>
            <wp:effectExtent l="19050" t="0" r="1270" b="0"/>
            <wp:docPr id="1037" name="Imagen 10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4" w:name="SectionB_IIMiMa"/>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"javascript:openUrlLight('src_IIMiMa')"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III. Military Manuals</w:t>
      </w:r>
      <w:r w:rsidRPr="0017585A">
        <w:rPr>
          <w:rFonts w:ascii="Times New Roman" w:eastAsia="Times New Roman" w:hAnsi="Times New Roman" w:cs="Times New Roman"/>
          <w:sz w:val="24"/>
          <w:szCs w:val="24"/>
        </w:rPr>
        <w:fldChar w:fldCharType="end"/>
      </w:r>
      <w:bookmarkEnd w:id="144"/>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No data.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5" w:name="SectionB_IVNaLe"/>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"javascript:openUrlLight('src_IVNaLe')"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IV. National Legislation</w:t>
      </w:r>
      <w:r w:rsidRPr="0017585A">
        <w:rPr>
          <w:rFonts w:ascii="Times New Roman" w:eastAsia="Times New Roman" w:hAnsi="Times New Roman" w:cs="Times New Roman"/>
          <w:sz w:val="24"/>
          <w:szCs w:val="24"/>
        </w:rPr>
        <w:fldChar w:fldCharType="end"/>
      </w:r>
      <w:bookmarkEnd w:id="145"/>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Denmark</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Denmark’s Military Criminal Code (1973), as amended in 1978, provides:</w:t>
      </w:r>
      <w:r w:rsidRPr="0017585A">
        <w:rPr>
          <w:rFonts w:ascii="Times New Roman" w:eastAsia="Times New Roman" w:hAnsi="Times New Roman" w:cs="Times New Roman"/>
          <w:sz w:val="24"/>
          <w:szCs w:val="24"/>
          <w:lang w:val="en-US"/>
        </w:rPr>
        <w:br/>
        <w:t>Any person who uses war instruments or procedures the application of which violates an international agreement entered into by Denmark or the general rules of international law, shall be liable to the same penalty [i.e. a fine, lenient imprisonment or up to 12 years’ imprisonment].</w:t>
      </w:r>
      <w:r>
        <w:rPr>
          <w:rFonts w:ascii="Times New Roman" w:eastAsia="Times New Roman" w:hAnsi="Times New Roman" w:cs="Times New Roman"/>
          <w:noProof/>
          <w:sz w:val="24"/>
          <w:szCs w:val="24"/>
        </w:rPr>
        <w:drawing>
          <wp:inline distT="0" distB="0" distL="0" distR="0">
            <wp:extent cx="151130" cy="142875"/>
            <wp:effectExtent l="19050" t="0" r="1270" b="0"/>
            <wp:docPr id="1038" name="Imagen 10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Any person who deliberately uses war means [“krigsmiddel”] or procedures the application of which violates an international agreement entered into by Denmark or international customary law, shall be liable to the same penalty [i.e. imprisonment up to life imprisonment].</w:t>
      </w:r>
      <w:r>
        <w:rPr>
          <w:rFonts w:ascii="Times New Roman" w:eastAsia="Times New Roman" w:hAnsi="Times New Roman" w:cs="Times New Roman"/>
          <w:noProof/>
          <w:sz w:val="24"/>
          <w:szCs w:val="24"/>
        </w:rPr>
        <w:drawing>
          <wp:inline distT="0" distB="0" distL="0" distR="0">
            <wp:extent cx="151130" cy="142875"/>
            <wp:effectExtent l="19050" t="0" r="1270" b="0"/>
            <wp:docPr id="1039" name="Imagen 10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6" w:name="SectionB_VNaCa"/>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lastRenderedPageBreak/>
        <w:fldChar w:fldCharType="begin"/>
      </w:r>
      <w:r w:rsidRPr="0017585A">
        <w:rPr>
          <w:rFonts w:ascii="Times New Roman" w:eastAsia="Times New Roman" w:hAnsi="Times New Roman" w:cs="Times New Roman"/>
          <w:sz w:val="24"/>
          <w:szCs w:val="24"/>
          <w:lang w:val="en-US"/>
        </w:rPr>
        <w:instrText xml:space="preserve"> HYPERLINK "javascript:openUrlLight('src_VNaCa')"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 National Case-law</w:t>
      </w:r>
      <w:r w:rsidRPr="0017585A">
        <w:rPr>
          <w:rFonts w:ascii="Times New Roman" w:eastAsia="Times New Roman" w:hAnsi="Times New Roman" w:cs="Times New Roman"/>
          <w:sz w:val="24"/>
          <w:szCs w:val="24"/>
        </w:rPr>
        <w:fldChar w:fldCharType="end"/>
      </w:r>
      <w:bookmarkEnd w:id="146"/>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No data.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7" w:name="SectionB_VIOtNaP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"javascript:openUrlLight('src_VIOtNaPr')"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VI. Other National Practice</w:t>
      </w:r>
      <w:r w:rsidRPr="0017585A">
        <w:rPr>
          <w:rFonts w:ascii="Times New Roman" w:eastAsia="Times New Roman" w:hAnsi="Times New Roman" w:cs="Times New Roman"/>
          <w:sz w:val="24"/>
          <w:szCs w:val="24"/>
        </w:rPr>
        <w:fldChar w:fldCharType="end"/>
      </w:r>
      <w:bookmarkEnd w:id="147"/>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France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Tests case (Request for an Examination of the Situation)</w:t>
      </w:r>
      <w:r w:rsidRPr="0017585A">
        <w:rPr>
          <w:rFonts w:ascii="Times New Roman" w:eastAsia="Times New Roman" w:hAnsi="Times New Roman" w:cs="Times New Roman"/>
          <w:sz w:val="24"/>
          <w:szCs w:val="24"/>
          <w:lang w:val="en-US"/>
        </w:rPr>
        <w:t xml:space="preserve"> in 1995, France argued that it was uncertain whether the precautionary principle had become a binding rule of international law. It went on to state that France does carry out an analysis of the impact of its activities on the environment, and described all the measures it took to ensure that the tests would not have a negative effect. It described these measures as being precautions that were in keeping with its obligations under international environmental law and therefore France did exercise sufficient diligence. However, it denied that the precautionary principle could have the effect of shifting the burden of proof as New Zealand asserted.</w:t>
      </w:r>
      <w:r>
        <w:rPr>
          <w:rFonts w:ascii="Times New Roman" w:eastAsia="Times New Roman" w:hAnsi="Times New Roman" w:cs="Times New Roman"/>
          <w:noProof/>
          <w:sz w:val="24"/>
          <w:szCs w:val="24"/>
        </w:rPr>
        <w:drawing>
          <wp:inline distT="0" distB="0" distL="0" distR="0">
            <wp:extent cx="151130" cy="142875"/>
            <wp:effectExtent l="19050" t="0" r="1270" b="0"/>
            <wp:docPr id="1040" name="Imagen 10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New Zealand</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written statement submitted to the ICJ in the </w:t>
      </w:r>
      <w:r w:rsidRPr="0017585A">
        <w:rPr>
          <w:rFonts w:ascii="Times New Roman" w:eastAsia="Times New Roman" w:hAnsi="Times New Roman" w:cs="Times New Roman"/>
          <w:i/>
          <w:iCs/>
          <w:sz w:val="24"/>
          <w:szCs w:val="24"/>
          <w:lang w:val="en-US"/>
        </w:rPr>
        <w:t>Nuclear Tests case (Request for an Examination of the Situation)</w:t>
      </w:r>
      <w:r w:rsidRPr="0017585A">
        <w:rPr>
          <w:rFonts w:ascii="Times New Roman" w:eastAsia="Times New Roman" w:hAnsi="Times New Roman" w:cs="Times New Roman"/>
          <w:sz w:val="24"/>
          <w:szCs w:val="24"/>
          <w:lang w:val="en-US"/>
        </w:rPr>
        <w:t>, New Zealand argued, in its request for an examination of the situation, that, under customary international law, a State is under an obligation to carry out an environmental impact assessment “in relation to any activity which is likely to cause significant damage to the environment, particularly where such effects are likely to be transboundary in nature”.</w:t>
      </w:r>
      <w:r>
        <w:rPr>
          <w:rFonts w:ascii="Times New Roman" w:eastAsia="Times New Roman" w:hAnsi="Times New Roman" w:cs="Times New Roman"/>
          <w:noProof/>
          <w:sz w:val="24"/>
          <w:szCs w:val="24"/>
        </w:rPr>
        <w:drawing>
          <wp:inline distT="0" distB="0" distL="0" distR="0">
            <wp:extent cx="151130" cy="142875"/>
            <wp:effectExtent l="19050" t="0" r="1270" b="0"/>
            <wp:docPr id="1041" name="Imagen 10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r w:rsidRPr="0017585A">
        <w:rPr>
          <w:rFonts w:ascii="Times New Roman" w:eastAsia="Times New Roman" w:hAnsi="Times New Roman" w:cs="Times New Roman"/>
          <w:sz w:val="24"/>
          <w:szCs w:val="24"/>
          <w:lang w:val="en-US"/>
        </w:rPr>
        <w:br/>
        <w:t>The precautionary principle, according to which the absence of certainty, having regard to scientific and technical knowledge at the time, should not hold up the adoption of effective and proportionate measures with a view to avoiding a risk of serious and irreversible damage to the environment at an economically acceptable cost.</w:t>
      </w:r>
      <w:r>
        <w:rPr>
          <w:rFonts w:ascii="Times New Roman" w:eastAsia="Times New Roman" w:hAnsi="Times New Roman" w:cs="Times New Roman"/>
          <w:noProof/>
          <w:sz w:val="24"/>
          <w:szCs w:val="24"/>
        </w:rPr>
        <w:drawing>
          <wp:inline distT="0" distB="0" distL="0" distR="0">
            <wp:extent cx="151130" cy="142875"/>
            <wp:effectExtent l="19050" t="0" r="1270" b="0"/>
            <wp:docPr id="1042" name="Imagen 10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Yugoslavia, Federal Republic of</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On 14 August 2000, KFOR troops assisted UNMIK and UNMIK-Police in taking control of a lead-smelting plant in Zvecan, part of the Trepca mining complex in northern Kosovo. As a justification for the military action, the Special Representative of the UN Secretary-General for Kosovo explained that the Zvecan plant had been producing unacceptable levels of air pollution and therefore presented a serious threat to public health.</w:t>
      </w:r>
      <w:r>
        <w:rPr>
          <w:rFonts w:ascii="Times New Roman" w:eastAsia="Times New Roman" w:hAnsi="Times New Roman" w:cs="Times New Roman"/>
          <w:noProof/>
          <w:sz w:val="24"/>
          <w:szCs w:val="24"/>
        </w:rPr>
        <w:drawing>
          <wp:inline distT="0" distB="0" distL="0" distR="0">
            <wp:extent cx="151130" cy="142875"/>
            <wp:effectExtent l="19050" t="0" r="1270" b="0"/>
            <wp:docPr id="1043" name="Imagen 10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8" w:name="SectionB_VIUnNa"/>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"javascript:openUrlLight('src_VIUnNa')"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VII. United Nations</w:t>
      </w:r>
      <w:r w:rsidRPr="0017585A">
        <w:rPr>
          <w:rFonts w:ascii="Times New Roman" w:eastAsia="Times New Roman" w:hAnsi="Times New Roman" w:cs="Times New Roman"/>
          <w:sz w:val="24"/>
          <w:szCs w:val="24"/>
        </w:rPr>
        <w:fldChar w:fldCharType="end"/>
      </w:r>
      <w:bookmarkEnd w:id="148"/>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UN Economic Commission for Europe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meeting of the UN Economic Commission for Europe (ECE) in 1990 issued the Bergen ECE Ministerial Declaration on Sustainable Development. Article 7 of this Declaration formulated the precautionary principle in these terms:</w:t>
      </w:r>
      <w:r w:rsidRPr="0017585A">
        <w:rPr>
          <w:rFonts w:ascii="Times New Roman" w:eastAsia="Times New Roman" w:hAnsi="Times New Roman" w:cs="Times New Roman"/>
          <w:sz w:val="24"/>
          <w:szCs w:val="24"/>
          <w:lang w:val="en-US"/>
        </w:rPr>
        <w:br/>
        <w:t>In order to achieve sustainable development, policies must be based on the precautionary principle. Environmental measures must anticipate, prevent and attack the causes of environmental degradation. Where there are threats of serious or irreversible damage, lack of full scientific certainty should not be used as a reason for postponing measures to prevent environmental degradation.</w:t>
      </w:r>
      <w:r>
        <w:rPr>
          <w:rFonts w:ascii="Times New Roman" w:eastAsia="Times New Roman" w:hAnsi="Times New Roman" w:cs="Times New Roman"/>
          <w:noProof/>
          <w:sz w:val="24"/>
          <w:szCs w:val="24"/>
        </w:rPr>
        <w:drawing>
          <wp:inline distT="0" distB="0" distL="0" distR="0">
            <wp:extent cx="151130" cy="142875"/>
            <wp:effectExtent l="19050" t="0" r="1270" b="0"/>
            <wp:docPr id="1044" name="Imagen 10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UN Secretary-General (Special Representative for Kosovo)</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On 14 August 2000, KFOR troops assisted UNMIK and UNMIK-Police in taking control of a lead-smelting plant in Zvecan, part of the Trepca mining complex in northern Kosovo. As a justification for the military action, the Special Representative of the UN Secretary-General for Kosovo explained that the Zvecan plant had been producing unacceptable levels of air pollution and therefore presented a serious threat to public health.</w:t>
      </w:r>
      <w:r>
        <w:rPr>
          <w:rFonts w:ascii="Times New Roman" w:eastAsia="Times New Roman" w:hAnsi="Times New Roman" w:cs="Times New Roman"/>
          <w:noProof/>
          <w:sz w:val="24"/>
          <w:szCs w:val="24"/>
        </w:rPr>
        <w:drawing>
          <wp:inline distT="0" distB="0" distL="0" distR="0">
            <wp:extent cx="151130" cy="142875"/>
            <wp:effectExtent l="19050" t="0" r="1270" b="0"/>
            <wp:docPr id="1045" name="Imagen 10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lastRenderedPageBreak/>
        <w:t xml:space="preserve">UN Environment Programme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In its report in 1996, the Working Group of Experts on Liability and Compensation for Environmental Damage Arising from Military Activities, which was established by UNEP in 1994 within the purview of the Montevideo Programme II, provided a practical contribution to the work of the UN Compensation Commission, </w:t>
      </w:r>
      <w:r w:rsidRPr="0017585A">
        <w:rPr>
          <w:rFonts w:ascii="Times New Roman" w:eastAsia="Times New Roman" w:hAnsi="Times New Roman" w:cs="Times New Roman"/>
          <w:i/>
          <w:iCs/>
          <w:sz w:val="24"/>
          <w:szCs w:val="24"/>
          <w:lang w:val="en-US"/>
        </w:rPr>
        <w:t>inter alia</w:t>
      </w:r>
      <w:r w:rsidRPr="0017585A">
        <w:rPr>
          <w:rFonts w:ascii="Times New Roman" w:eastAsia="Times New Roman" w:hAnsi="Times New Roman" w:cs="Times New Roman"/>
          <w:sz w:val="24"/>
          <w:szCs w:val="24"/>
          <w:lang w:val="en-US"/>
        </w:rPr>
        <w:t>, by recommending the criteria for evaluating “environmental damage”. The Working Group examined four kinds of damages in respect of which claims for compensation were allowed:</w:t>
      </w:r>
      <w:r w:rsidRPr="0017585A">
        <w:rPr>
          <w:rFonts w:ascii="Times New Roman" w:eastAsia="Times New Roman" w:hAnsi="Times New Roman" w:cs="Times New Roman"/>
          <w:sz w:val="24"/>
          <w:szCs w:val="24"/>
          <w:lang w:val="en-US"/>
        </w:rPr>
        <w:br/>
        <w:t>a) Abatement and prevention of environmental damage (including expenses directly relating to fighting oil fires and stemming the flow of oil in coastal and international waters);</w:t>
      </w:r>
      <w:r w:rsidRPr="0017585A">
        <w:rPr>
          <w:rFonts w:ascii="Times New Roman" w:eastAsia="Times New Roman" w:hAnsi="Times New Roman" w:cs="Times New Roman"/>
          <w:sz w:val="24"/>
          <w:szCs w:val="24"/>
          <w:lang w:val="en-US"/>
        </w:rPr>
        <w:br/>
        <w:t>b) Reasonable measures already taken to clean and restore the environment or future measures which can be documented as reasonably necessary to clean and restore the environment;</w:t>
      </w:r>
      <w:r w:rsidRPr="0017585A">
        <w:rPr>
          <w:rFonts w:ascii="Times New Roman" w:eastAsia="Times New Roman" w:hAnsi="Times New Roman" w:cs="Times New Roman"/>
          <w:sz w:val="24"/>
          <w:szCs w:val="24"/>
          <w:lang w:val="en-US"/>
        </w:rPr>
        <w:br/>
        <w:t>c) Reasonable monitoring and assessment of the environmental damage for the purpose of evaluating and abating harm and restoring the environment; and</w:t>
      </w:r>
      <w:r w:rsidRPr="0017585A">
        <w:rPr>
          <w:rFonts w:ascii="Times New Roman" w:eastAsia="Times New Roman" w:hAnsi="Times New Roman" w:cs="Times New Roman"/>
          <w:sz w:val="24"/>
          <w:szCs w:val="24"/>
          <w:lang w:val="en-US"/>
        </w:rPr>
        <w:br/>
        <w:t>d) Reasonable monitoring of public health and performing medical screening for the purposes of investigation and combating increased health risks as a result of the environmental damage.</w:t>
      </w:r>
      <w:r>
        <w:rPr>
          <w:rFonts w:ascii="Times New Roman" w:eastAsia="Times New Roman" w:hAnsi="Times New Roman" w:cs="Times New Roman"/>
          <w:noProof/>
          <w:sz w:val="24"/>
          <w:szCs w:val="24"/>
        </w:rPr>
        <w:drawing>
          <wp:inline distT="0" distB="0" distL="0" distR="0">
            <wp:extent cx="151130" cy="142875"/>
            <wp:effectExtent l="19050" t="0" r="1270" b="0"/>
            <wp:docPr id="1046" name="Imagen 10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United Nations Compensation Commission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 June 2001, within the framework of the activities of the UNCC, the “F4” Panel of Commissioners submitted its first report to the Governing Council dealing with claims for losses resulting from environmental damage and the depletion of natural resources. The report addressed only the first instalment of “F4” claims, which included claims submitted by the governments of the Islamic Republic of Iran, Kuwait, Saudi Arabia, Syrian Arab Republic and Turkey for compensation for expenses resulting from monitoring and assessment activities undertaken or to be undertaken by the claimants to identify and evaluate environmental damage suffered as a result of Iraq’s invasion and occupation of Kuwait (“monitoring and assessment claims”). In particular, these activities related to damage from air pollution and oil pollution caused by the ignition of hundreds of oil wells and by the release of millions of barrels of oil into the sea by Iraqi forces in Kuwait.</w:t>
      </w:r>
      <w:r>
        <w:rPr>
          <w:rFonts w:ascii="Times New Roman" w:eastAsia="Times New Roman" w:hAnsi="Times New Roman" w:cs="Times New Roman"/>
          <w:noProof/>
          <w:sz w:val="24"/>
          <w:szCs w:val="24"/>
        </w:rPr>
        <w:drawing>
          <wp:inline distT="0" distB="0" distL="0" distR="0">
            <wp:extent cx="151130" cy="142875"/>
            <wp:effectExtent l="19050" t="0" r="1270" b="0"/>
            <wp:docPr id="1047" name="Imagen 10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xml:space="preserve">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49" w:name="SectionB_VIOtInO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"javascript:openUrlLight('src_VIOtInOr')"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VIII. Other International Organizations</w:t>
      </w:r>
      <w:r w:rsidRPr="0017585A">
        <w:rPr>
          <w:rFonts w:ascii="Times New Roman" w:eastAsia="Times New Roman" w:hAnsi="Times New Roman" w:cs="Times New Roman"/>
          <w:sz w:val="24"/>
          <w:szCs w:val="24"/>
        </w:rPr>
        <w:fldChar w:fldCharType="end"/>
      </w:r>
      <w:bookmarkEnd w:id="149"/>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No data.</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50" w:name="SectionB_IXInCo"/>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"javascript:openUrlLight('src_IXInCo')"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IX. International Conferences</w:t>
      </w:r>
      <w:r w:rsidRPr="0017585A">
        <w:rPr>
          <w:rFonts w:ascii="Times New Roman" w:eastAsia="Times New Roman" w:hAnsi="Times New Roman" w:cs="Times New Roman"/>
          <w:sz w:val="24"/>
          <w:szCs w:val="24"/>
        </w:rPr>
        <w:fldChar w:fldCharType="end"/>
      </w:r>
      <w:bookmarkEnd w:id="150"/>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International Conference of the Red Cross and Red Crescent (1995)</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The 26th International Conference of the Red Cross and Red Crescent in 1995 adopted a resolution on protection of the civilian population in period of armed conflict in which it called upon parties to conflict “to take all feasible precautions to avoid, in their military operations, all acts liable to destroy or damage water sources”.</w:t>
      </w:r>
      <w:r>
        <w:rPr>
          <w:rFonts w:ascii="Times New Roman" w:eastAsia="Times New Roman" w:hAnsi="Times New Roman" w:cs="Times New Roman"/>
          <w:noProof/>
          <w:sz w:val="24"/>
          <w:szCs w:val="24"/>
        </w:rPr>
        <w:drawing>
          <wp:inline distT="0" distB="0" distL="0" distR="0">
            <wp:extent cx="151130" cy="142875"/>
            <wp:effectExtent l="19050" t="0" r="1270" b="0"/>
            <wp:docPr id="1048" name="Imagen 10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51" w:name="SectionB_XInanMi"/>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"javascript:openUrlLight('src_XInanMi')"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X. International and Mixed Judicial and Quasi-judicial Bodies</w:t>
      </w:r>
      <w:r w:rsidRPr="0017585A">
        <w:rPr>
          <w:rFonts w:ascii="Times New Roman" w:eastAsia="Times New Roman" w:hAnsi="Times New Roman" w:cs="Times New Roman"/>
          <w:sz w:val="24"/>
          <w:szCs w:val="24"/>
        </w:rPr>
        <w:fldChar w:fldCharType="end"/>
      </w:r>
      <w:bookmarkEnd w:id="151"/>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International Court of Justice</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 xml:space="preserve">The ICJ’s order in the </w:t>
      </w:r>
      <w:r w:rsidRPr="0017585A">
        <w:rPr>
          <w:rFonts w:ascii="Times New Roman" w:eastAsia="Times New Roman" w:hAnsi="Times New Roman" w:cs="Times New Roman"/>
          <w:i/>
          <w:iCs/>
          <w:sz w:val="24"/>
          <w:szCs w:val="24"/>
          <w:lang w:val="en-US"/>
        </w:rPr>
        <w:t xml:space="preserve">Nuclear Tests case (Request for an Examination of the Situation) </w:t>
      </w:r>
      <w:r w:rsidRPr="0017585A">
        <w:rPr>
          <w:rFonts w:ascii="Times New Roman" w:eastAsia="Times New Roman" w:hAnsi="Times New Roman" w:cs="Times New Roman"/>
          <w:sz w:val="24"/>
          <w:szCs w:val="24"/>
          <w:lang w:val="en-US"/>
        </w:rPr>
        <w:t xml:space="preserve">in 1995 turned on procedural aspects and did not consider the merits of the arguments relating to the need for a prior assessment and the application of the precautionary principle. The order only made a reference in the most general terms to “obligations of States to respect and protect the natural environment, obligations to which both New </w:t>
      </w:r>
      <w:r w:rsidRPr="0017585A">
        <w:rPr>
          <w:rFonts w:ascii="Times New Roman" w:eastAsia="Times New Roman" w:hAnsi="Times New Roman" w:cs="Times New Roman"/>
          <w:sz w:val="24"/>
          <w:szCs w:val="24"/>
          <w:lang w:val="en-US"/>
        </w:rPr>
        <w:lastRenderedPageBreak/>
        <w:t>Zealand and France have in the present instance reaffirmed their commitment”.</w:t>
      </w:r>
      <w:r>
        <w:rPr>
          <w:rFonts w:ascii="Times New Roman" w:eastAsia="Times New Roman" w:hAnsi="Times New Roman" w:cs="Times New Roman"/>
          <w:noProof/>
          <w:sz w:val="24"/>
          <w:szCs w:val="24"/>
        </w:rPr>
        <w:drawing>
          <wp:inline distT="0" distB="0" distL="0" distR="0">
            <wp:extent cx="151130" cy="142875"/>
            <wp:effectExtent l="19050" t="0" r="1270" b="0"/>
            <wp:docPr id="1049" name="Imagen 10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In his dissenting opinion in the </w:t>
      </w:r>
      <w:r w:rsidRPr="0017585A">
        <w:rPr>
          <w:rFonts w:ascii="Times New Roman" w:eastAsia="Times New Roman" w:hAnsi="Times New Roman" w:cs="Times New Roman"/>
          <w:i/>
          <w:iCs/>
          <w:sz w:val="24"/>
          <w:szCs w:val="24"/>
          <w:lang w:val="en-US"/>
        </w:rPr>
        <w:t>Nuclear Tests case (Request for an Examination of the Situation)</w:t>
      </w:r>
      <w:r w:rsidRPr="0017585A">
        <w:rPr>
          <w:rFonts w:ascii="Times New Roman" w:eastAsia="Times New Roman" w:hAnsi="Times New Roman" w:cs="Times New Roman"/>
          <w:sz w:val="24"/>
          <w:szCs w:val="24"/>
          <w:lang w:val="en-US"/>
        </w:rPr>
        <w:t xml:space="preserve"> in 1995, Judge Weeramantry referred to the precautionary principle as one “which is gaining increasing support as part of the international law of the environment” and the principle requiring an environmental impact assessment as “gathering strength and international acceptance”.</w:t>
      </w:r>
      <w:r>
        <w:rPr>
          <w:rFonts w:ascii="Times New Roman" w:eastAsia="Times New Roman" w:hAnsi="Times New Roman" w:cs="Times New Roman"/>
          <w:noProof/>
          <w:sz w:val="24"/>
          <w:szCs w:val="24"/>
        </w:rPr>
        <w:drawing>
          <wp:inline distT="0" distB="0" distL="0" distR="0">
            <wp:extent cx="151130" cy="142875"/>
            <wp:effectExtent l="19050" t="0" r="1270" b="0"/>
            <wp:docPr id="1050" name="Imagen 10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 xml:space="preserve">In his dissenting opinion in the </w:t>
      </w:r>
      <w:r w:rsidRPr="0017585A">
        <w:rPr>
          <w:rFonts w:ascii="Times New Roman" w:eastAsia="Times New Roman" w:hAnsi="Times New Roman" w:cs="Times New Roman"/>
          <w:i/>
          <w:iCs/>
          <w:sz w:val="24"/>
          <w:szCs w:val="24"/>
          <w:lang w:val="en-US"/>
        </w:rPr>
        <w:t>Nuclear Tests case (Request for an Examination of the Situation)</w:t>
      </w:r>
      <w:r w:rsidRPr="0017585A">
        <w:rPr>
          <w:rFonts w:ascii="Times New Roman" w:eastAsia="Times New Roman" w:hAnsi="Times New Roman" w:cs="Times New Roman"/>
          <w:sz w:val="24"/>
          <w:szCs w:val="24"/>
          <w:lang w:val="en-US"/>
        </w:rPr>
        <w:t xml:space="preserve"> in 1995, Judge Palmer stated: </w:t>
      </w:r>
      <w:r w:rsidRPr="0017585A">
        <w:rPr>
          <w:rFonts w:ascii="Times New Roman" w:eastAsia="Times New Roman" w:hAnsi="Times New Roman" w:cs="Times New Roman"/>
          <w:sz w:val="24"/>
          <w:szCs w:val="24"/>
          <w:lang w:val="en-US"/>
        </w:rPr>
        <w:br/>
        <w:t>87. … As the law now stands it is a matter of legal duty to first establish before undertaking an activity that the activity does not involve any unacceptable risk to the environment. …</w:t>
      </w:r>
      <w:r w:rsidRPr="0017585A">
        <w:rPr>
          <w:rFonts w:ascii="Times New Roman" w:eastAsia="Times New Roman" w:hAnsi="Times New Roman" w:cs="Times New Roman"/>
          <w:sz w:val="24"/>
          <w:szCs w:val="24"/>
          <w:lang w:val="en-US"/>
        </w:rPr>
        <w:br/>
        <w:t>…</w:t>
      </w:r>
      <w:r w:rsidRPr="0017585A">
        <w:rPr>
          <w:rFonts w:ascii="Times New Roman" w:eastAsia="Times New Roman" w:hAnsi="Times New Roman" w:cs="Times New Roman"/>
          <w:sz w:val="24"/>
          <w:szCs w:val="24"/>
          <w:lang w:val="en-US"/>
        </w:rPr>
        <w:br/>
        <w:t>91. What those principles of international law establish in my view are the following propositions:</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w:t>
      </w:r>
      <w:r w:rsidRPr="0017585A">
        <w:rPr>
          <w:rFonts w:ascii="Times New Roman" w:eastAsia="Times New Roman" w:hAnsi="Times New Roman" w:cs="Times New Roman"/>
          <w:i/>
          <w:iCs/>
          <w:sz w:val="24"/>
          <w:szCs w:val="24"/>
          <w:lang w:val="en-US"/>
        </w:rPr>
        <w:t>d</w:t>
      </w:r>
      <w:r w:rsidRPr="0017585A">
        <w:rPr>
          <w:rFonts w:ascii="Times New Roman" w:eastAsia="Times New Roman" w:hAnsi="Times New Roman" w:cs="Times New Roman"/>
          <w:sz w:val="24"/>
          <w:szCs w:val="24"/>
          <w:lang w:val="en-US"/>
        </w:rPr>
        <w:t>) the norm involved in the precautionary principle has developed rapidly and may now be a principle of customary international law relating to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51" name="Imagen 10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Back to top</w:t>
      </w:r>
    </w:p>
    <w:bookmarkStart w:id="152" w:name="SectionB_XIInReCr"/>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rPr>
        <w:fldChar w:fldCharType="begin"/>
      </w:r>
      <w:r w:rsidRPr="0017585A">
        <w:rPr>
          <w:rFonts w:ascii="Times New Roman" w:eastAsia="Times New Roman" w:hAnsi="Times New Roman" w:cs="Times New Roman"/>
          <w:sz w:val="24"/>
          <w:szCs w:val="24"/>
          <w:lang w:val="en-US"/>
        </w:rPr>
        <w:instrText xml:space="preserve"> HYPERLINK "javascript:openUrlLight('src_XIInReCr')" </w:instrText>
      </w:r>
      <w:r w:rsidRPr="0017585A">
        <w:rPr>
          <w:rFonts w:ascii="Times New Roman" w:eastAsia="Times New Roman" w:hAnsi="Times New Roman" w:cs="Times New Roman"/>
          <w:sz w:val="24"/>
          <w:szCs w:val="24"/>
        </w:rPr>
        <w:fldChar w:fldCharType="separate"/>
      </w:r>
      <w:r w:rsidRPr="0017585A">
        <w:rPr>
          <w:rFonts w:ascii="Times New Roman" w:eastAsia="Times New Roman" w:hAnsi="Times New Roman" w:cs="Times New Roman"/>
          <w:color w:val="0000FF"/>
          <w:sz w:val="24"/>
          <w:szCs w:val="24"/>
          <w:u w:val="single"/>
          <w:lang w:val="en-US"/>
        </w:rPr>
        <w:t>XI. International Red Cross and Red Crescent Movement</w:t>
      </w:r>
      <w:r w:rsidRPr="0017585A">
        <w:rPr>
          <w:rFonts w:ascii="Times New Roman" w:eastAsia="Times New Roman" w:hAnsi="Times New Roman" w:cs="Times New Roman"/>
          <w:sz w:val="24"/>
          <w:szCs w:val="24"/>
        </w:rPr>
        <w:fldChar w:fldCharType="end"/>
      </w:r>
      <w:bookmarkEnd w:id="152"/>
    </w:p>
    <w:p w:rsidR="0017585A" w:rsidRPr="0017585A" w:rsidRDefault="0017585A" w:rsidP="0017585A">
      <w:pPr>
        <w:spacing w:after="0" w:line="240" w:lineRule="auto"/>
        <w:rPr>
          <w:rFonts w:ascii="Times New Roman" w:eastAsia="Times New Roman" w:hAnsi="Times New Roman" w:cs="Times New Roman"/>
          <w:sz w:val="24"/>
          <w:szCs w:val="24"/>
          <w:lang w:val="en-US"/>
        </w:rPr>
      </w:pPr>
      <w:r w:rsidRPr="0017585A">
        <w:rPr>
          <w:rFonts w:ascii="Times New Roman" w:eastAsia="Times New Roman" w:hAnsi="Times New Roman" w:cs="Times New Roman"/>
          <w:sz w:val="24"/>
          <w:szCs w:val="24"/>
          <w:lang w:val="en-US"/>
        </w:rPr>
        <w:t>ICRC</w:t>
      </w:r>
    </w:p>
    <w:p w:rsidR="004D74E4" w:rsidRPr="0017585A" w:rsidRDefault="0017585A" w:rsidP="0017585A">
      <w:pPr>
        <w:rPr>
          <w:lang w:val="en-US"/>
        </w:rPr>
      </w:pPr>
      <w:r w:rsidRPr="0017585A">
        <w:rPr>
          <w:rFonts w:ascii="Times New Roman" w:eastAsia="Times New Roman" w:hAnsi="Times New Roman" w:cs="Times New Roman"/>
          <w:sz w:val="24"/>
          <w:szCs w:val="24"/>
          <w:lang w:val="en-US"/>
        </w:rPr>
        <w:t xml:space="preserve">To fulfil its task of disseminating IHL, the ICRC has delegates around the world teaching armed and security forces that: </w:t>
      </w:r>
      <w:r w:rsidRPr="0017585A">
        <w:rPr>
          <w:rFonts w:ascii="Times New Roman" w:eastAsia="Times New Roman" w:hAnsi="Times New Roman" w:cs="Times New Roman"/>
          <w:sz w:val="24"/>
          <w:szCs w:val="24"/>
          <w:lang w:val="en-US"/>
        </w:rPr>
        <w:br/>
        <w:t>Targets for particular weapons and fire units shall be determined and assigned with the same precautions as to military objectives, specially taking into account the tactical result desired … and the destructive power of the ammunition used (… possible effects on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1052" name="Imagen 10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17585A">
        <w:rPr>
          <w:rFonts w:ascii="Times New Roman" w:eastAsia="Times New Roman" w:hAnsi="Times New Roman" w:cs="Times New Roman"/>
          <w:sz w:val="24"/>
          <w:szCs w:val="24"/>
          <w:lang w:val="en-US"/>
        </w:rPr>
        <w:t> </w:t>
      </w:r>
      <w:r w:rsidRPr="0017585A">
        <w:rPr>
          <w:rFonts w:ascii="Times New Roman" w:eastAsia="Times New Roman" w:hAnsi="Times New Roman" w:cs="Times New Roman"/>
          <w:sz w:val="24"/>
          <w:szCs w:val="24"/>
          <w:lang w:val="en-US"/>
        </w:rPr>
        <w:br/>
        <w:t>In 1993, in a report submitted to the UN General Assembly on the protection of the environment in times of armed conflict, the ICRC stated, with respect to the applicability of the precautionary principle to the protection of the environment in times of armed conflict:</w:t>
      </w:r>
      <w:r w:rsidRPr="0017585A">
        <w:rPr>
          <w:rFonts w:ascii="Times New Roman" w:eastAsia="Times New Roman" w:hAnsi="Times New Roman" w:cs="Times New Roman"/>
          <w:sz w:val="24"/>
          <w:szCs w:val="24"/>
          <w:lang w:val="en-US"/>
        </w:rPr>
        <w:br/>
        <w:t>This principle is an emerging, but generally recognized principle of international law. The object of the precautionary principle is to anticipate and prevent damage to the environment and to ensure that, where there are threats of serious or irreversible damage, lack of full scientific certainty shall not be used as a reason to postpone any measures to prevent such damage</w:t>
      </w:r>
      <w:r>
        <w:rPr>
          <w:rFonts w:ascii="Times New Roman" w:eastAsia="Times New Roman" w:hAnsi="Times New Roman" w:cs="Times New Roman"/>
          <w:sz w:val="24"/>
          <w:szCs w:val="24"/>
          <w:lang w:val="en-US"/>
        </w:rPr>
        <w:t>.</w:t>
      </w: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4D74E4" w:rsidRDefault="004D74E4">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7308BA" w:rsidRDefault="007308BA">
      <w:pPr>
        <w:rPr>
          <w:lang w:val="en-US"/>
        </w:rPr>
      </w:pPr>
    </w:p>
    <w:p w:rsidR="007308BA" w:rsidRPr="00530144" w:rsidRDefault="007308BA" w:rsidP="007308BA">
      <w:pPr>
        <w:rPr>
          <w:b/>
          <w:sz w:val="28"/>
          <w:szCs w:val="28"/>
          <w:lang w:val="en-US"/>
        </w:rPr>
      </w:pPr>
      <w:r w:rsidRPr="00530144">
        <w:rPr>
          <w:b/>
          <w:sz w:val="28"/>
          <w:szCs w:val="28"/>
          <w:lang w:val="en-US"/>
        </w:rPr>
        <w:t>Part III * Rape and Other Forms of Sexual Violence</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Rape and Other forms of Sexual Violence</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b/>
          <w:bCs/>
          <w:sz w:val="24"/>
          <w:szCs w:val="24"/>
          <w:lang w:val="en-US"/>
        </w:rPr>
        <w:t>Rule 93. Rape and other forms of sexual violence are prohibited.</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Summary</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State practice establishes this rule as a norm of customary international law applicable in both international and non-international armed conflicts.</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International and non-international armed conflicts</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The prohibition of rape under international humanitarian law was already recognized in the Lieber Code.</w:t>
      </w:r>
      <w:bookmarkStart w:id="153" w:name="refFn_56_1"/>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w:t>
      </w:r>
      <w:r w:rsidRPr="00085258">
        <w:rPr>
          <w:rFonts w:ascii="Times New Roman" w:eastAsia="Times New Roman" w:hAnsi="Times New Roman" w:cs="Times New Roman"/>
          <w:sz w:val="24"/>
          <w:szCs w:val="24"/>
        </w:rPr>
        <w:fldChar w:fldCharType="end"/>
      </w:r>
      <w:bookmarkEnd w:id="153"/>
      <w:r w:rsidRPr="00085258">
        <w:rPr>
          <w:rFonts w:ascii="Times New Roman" w:eastAsia="Times New Roman" w:hAnsi="Times New Roman" w:cs="Times New Roman"/>
          <w:sz w:val="24"/>
          <w:szCs w:val="24"/>
          <w:lang w:val="en-US"/>
        </w:rPr>
        <w:t>  While common Article 3 of the Geneva Conventions does not explicitly mention rape or other forms of sexual violence, it prohibits “violence to life and person” including cruel treatment and torture and “outrages upon personal dignity”.</w:t>
      </w:r>
      <w:bookmarkStart w:id="154" w:name="refFn_56_2"/>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w:t>
      </w:r>
      <w:r w:rsidRPr="00085258">
        <w:rPr>
          <w:rFonts w:ascii="Times New Roman" w:eastAsia="Times New Roman" w:hAnsi="Times New Roman" w:cs="Times New Roman"/>
          <w:sz w:val="24"/>
          <w:szCs w:val="24"/>
        </w:rPr>
        <w:fldChar w:fldCharType="end"/>
      </w:r>
      <w:bookmarkEnd w:id="154"/>
      <w:r w:rsidRPr="00085258">
        <w:rPr>
          <w:rFonts w:ascii="Times New Roman" w:eastAsia="Times New Roman" w:hAnsi="Times New Roman" w:cs="Times New Roman"/>
          <w:sz w:val="24"/>
          <w:szCs w:val="24"/>
          <w:lang w:val="en-US"/>
        </w:rPr>
        <w:t>  The Third Geneva Convention provides that prisoners of war are in all circumstances entitled to “respect for their persons and their honour”.</w:t>
      </w:r>
      <w:bookmarkStart w:id="155" w:name="refFn_56_3"/>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"Fn_56_3"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[3]</w:t>
      </w:r>
      <w:r w:rsidRPr="00085258">
        <w:rPr>
          <w:rFonts w:ascii="Times New Roman" w:eastAsia="Times New Roman" w:hAnsi="Times New Roman" w:cs="Times New Roman"/>
          <w:sz w:val="24"/>
          <w:szCs w:val="24"/>
        </w:rPr>
        <w:fldChar w:fldCharType="end"/>
      </w:r>
      <w:bookmarkEnd w:id="155"/>
      <w:r w:rsidRPr="00085258">
        <w:rPr>
          <w:rFonts w:ascii="Times New Roman" w:eastAsia="Times New Roman" w:hAnsi="Times New Roman" w:cs="Times New Roman"/>
          <w:sz w:val="24"/>
          <w:szCs w:val="24"/>
          <w:lang w:val="en-US"/>
        </w:rPr>
        <w:t xml:space="preserve">  The prohibition of “outrages upon personal dignity” is recognized in Additional Protocols I and II as a fundamental guarantee for civilians and persons </w:t>
      </w:r>
      <w:r w:rsidRPr="00085258">
        <w:rPr>
          <w:rFonts w:ascii="Times New Roman" w:eastAsia="Times New Roman" w:hAnsi="Times New Roman" w:cs="Times New Roman"/>
          <w:i/>
          <w:iCs/>
          <w:sz w:val="24"/>
          <w:szCs w:val="24"/>
          <w:lang w:val="en-US"/>
        </w:rPr>
        <w:t>hors de combat</w:t>
      </w:r>
      <w:r w:rsidRPr="00085258">
        <w:rPr>
          <w:rFonts w:ascii="Times New Roman" w:eastAsia="Times New Roman" w:hAnsi="Times New Roman" w:cs="Times New Roman"/>
          <w:sz w:val="24"/>
          <w:szCs w:val="24"/>
          <w:lang w:val="en-US"/>
        </w:rPr>
        <w:t>.</w:t>
      </w:r>
      <w:bookmarkStart w:id="156" w:name="refFn_56_4"/>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"Fn_56_4"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[4]</w:t>
      </w:r>
      <w:r w:rsidRPr="00085258">
        <w:rPr>
          <w:rFonts w:ascii="Times New Roman" w:eastAsia="Times New Roman" w:hAnsi="Times New Roman" w:cs="Times New Roman"/>
          <w:sz w:val="24"/>
          <w:szCs w:val="24"/>
        </w:rPr>
        <w:fldChar w:fldCharType="end"/>
      </w:r>
      <w:bookmarkEnd w:id="156"/>
      <w:r w:rsidRPr="00085258">
        <w:rPr>
          <w:rFonts w:ascii="Times New Roman" w:eastAsia="Times New Roman" w:hAnsi="Times New Roman" w:cs="Times New Roman"/>
          <w:sz w:val="24"/>
          <w:szCs w:val="24"/>
          <w:lang w:val="en-US"/>
        </w:rPr>
        <w:t>  Article 75 of Additional Protocol I specifies that this prohibition covers in particular “humiliating and degrading treatment, enforced prostitution and any form of indecent assault”, while Article 4 of Additional Protocol II specifically adds “rape” to this list.</w:t>
      </w:r>
      <w:bookmarkStart w:id="157" w:name="refFn_56_5"/>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"Fn_56_5"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[5]</w:t>
      </w:r>
      <w:r w:rsidRPr="00085258">
        <w:rPr>
          <w:rFonts w:ascii="Times New Roman" w:eastAsia="Times New Roman" w:hAnsi="Times New Roman" w:cs="Times New Roman"/>
          <w:sz w:val="24"/>
          <w:szCs w:val="24"/>
        </w:rPr>
        <w:fldChar w:fldCharType="end"/>
      </w:r>
      <w:bookmarkEnd w:id="157"/>
      <w:r w:rsidRPr="00085258">
        <w:rPr>
          <w:rFonts w:ascii="Times New Roman" w:eastAsia="Times New Roman" w:hAnsi="Times New Roman" w:cs="Times New Roman"/>
          <w:sz w:val="24"/>
          <w:szCs w:val="24"/>
          <w:lang w:val="en-US"/>
        </w:rPr>
        <w:t>  The Fourth Geneva Convention and Additional Protocol I require protection for women and children against rape, enforced prostitution or any other form of indecent assault.</w:t>
      </w:r>
      <w:bookmarkStart w:id="158" w:name="refFn_56_6"/>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"Fn_56_6"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[6]</w:t>
      </w:r>
      <w:r w:rsidRPr="00085258">
        <w:rPr>
          <w:rFonts w:ascii="Times New Roman" w:eastAsia="Times New Roman" w:hAnsi="Times New Roman" w:cs="Times New Roman"/>
          <w:sz w:val="24"/>
          <w:szCs w:val="24"/>
        </w:rPr>
        <w:fldChar w:fldCharType="end"/>
      </w:r>
      <w:bookmarkEnd w:id="158"/>
      <w:r w:rsidRPr="00085258">
        <w:rPr>
          <w:rFonts w:ascii="Times New Roman" w:eastAsia="Times New Roman" w:hAnsi="Times New Roman" w:cs="Times New Roman"/>
          <w:sz w:val="24"/>
          <w:szCs w:val="24"/>
          <w:lang w:val="en-US"/>
        </w:rPr>
        <w:t>  Rape, enforced prostitution and any form of indecent assault are war crimes under the Statutes of the International Criminal Tribunal for Rwanda and of the Special Court for Sierra Leone.</w:t>
      </w:r>
      <w:bookmarkStart w:id="159" w:name="refFn_56_7"/>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"Fn_56_7"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[7]</w:t>
      </w:r>
      <w:r w:rsidRPr="00085258">
        <w:rPr>
          <w:rFonts w:ascii="Times New Roman" w:eastAsia="Times New Roman" w:hAnsi="Times New Roman" w:cs="Times New Roman"/>
          <w:sz w:val="24"/>
          <w:szCs w:val="24"/>
        </w:rPr>
        <w:fldChar w:fldCharType="end"/>
      </w:r>
      <w:bookmarkEnd w:id="159"/>
      <w:r w:rsidRPr="00085258">
        <w:rPr>
          <w:rFonts w:ascii="Times New Roman" w:eastAsia="Times New Roman" w:hAnsi="Times New Roman" w:cs="Times New Roman"/>
          <w:sz w:val="24"/>
          <w:szCs w:val="24"/>
          <w:lang w:val="en-US"/>
        </w:rPr>
        <w:t>  The expressions “outrages upon personal dignity” and “any form of indecent assault” refer to any form of sexual violence. Under the Statute of the International Criminal Court, “committing rape, sexual slavery, enforced prostitution, forced pregnancy … enforced sterilization, or any other form of sexual violence” also constituting a grave breach of the Geneva Conventions or also constituting a serious violation of common Article 3 of the Geneva Conventions constitutes a war crime in international and non-international armed conflicts respectively.</w:t>
      </w:r>
      <w:bookmarkStart w:id="160" w:name="refFn_56_8"/>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"Fn_56_8"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[8]</w:t>
      </w:r>
      <w:r w:rsidRPr="00085258">
        <w:rPr>
          <w:rFonts w:ascii="Times New Roman" w:eastAsia="Times New Roman" w:hAnsi="Times New Roman" w:cs="Times New Roman"/>
          <w:sz w:val="24"/>
          <w:szCs w:val="24"/>
        </w:rPr>
        <w:fldChar w:fldCharType="end"/>
      </w:r>
      <w:bookmarkEnd w:id="160"/>
      <w:r w:rsidRPr="00085258">
        <w:rPr>
          <w:rFonts w:ascii="Times New Roman" w:eastAsia="Times New Roman" w:hAnsi="Times New Roman" w:cs="Times New Roman"/>
          <w:sz w:val="24"/>
          <w:szCs w:val="24"/>
          <w:lang w:val="en-US"/>
        </w:rPr>
        <w:t>  Furthermore, “rape, sexual slavery, enforced prostitution, forced pregnancy, enforced sterilization, or any other form of sexual violence of comparable gravity” constitutes a crime against humanity under the Statute of the International Criminal Court and “rape” constitutes a crime against humanity under the Statutes of the International Criminal Tribunals for the former Yugoslavia and Rwanda.</w:t>
      </w:r>
      <w:bookmarkStart w:id="161" w:name="refFn_56_9"/>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"Fn_56_9"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[9]</w:t>
      </w:r>
      <w:r w:rsidRPr="00085258">
        <w:rPr>
          <w:rFonts w:ascii="Times New Roman" w:eastAsia="Times New Roman" w:hAnsi="Times New Roman" w:cs="Times New Roman"/>
          <w:sz w:val="24"/>
          <w:szCs w:val="24"/>
        </w:rPr>
        <w:fldChar w:fldCharType="end"/>
      </w:r>
      <w:bookmarkEnd w:id="161"/>
      <w:r w:rsidRPr="00085258">
        <w:rPr>
          <w:rFonts w:ascii="Times New Roman" w:eastAsia="Times New Roman" w:hAnsi="Times New Roman" w:cs="Times New Roman"/>
          <w:sz w:val="24"/>
          <w:szCs w:val="24"/>
          <w:lang w:val="en-US"/>
        </w:rPr>
        <w:t> </w:t>
      </w:r>
      <w:r w:rsidRPr="00085258">
        <w:rPr>
          <w:rFonts w:ascii="Times New Roman" w:eastAsia="Times New Roman" w:hAnsi="Times New Roman" w:cs="Times New Roman"/>
          <w:sz w:val="24"/>
          <w:szCs w:val="24"/>
          <w:lang w:val="en-US"/>
        </w:rPr>
        <w:br/>
        <w:t>Numerous military manuals state that rape, enforced prostitution and indecent assault are prohibited and many of them specify that these acts are war crimes.</w:t>
      </w:r>
      <w:bookmarkStart w:id="162" w:name="refFn_56_10"/>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"Fn_56_10"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[10]</w:t>
      </w:r>
      <w:r w:rsidRPr="00085258">
        <w:rPr>
          <w:rFonts w:ascii="Times New Roman" w:eastAsia="Times New Roman" w:hAnsi="Times New Roman" w:cs="Times New Roman"/>
          <w:sz w:val="24"/>
          <w:szCs w:val="24"/>
        </w:rPr>
        <w:fldChar w:fldCharType="end"/>
      </w:r>
      <w:bookmarkEnd w:id="162"/>
      <w:r w:rsidRPr="00085258">
        <w:rPr>
          <w:rFonts w:ascii="Times New Roman" w:eastAsia="Times New Roman" w:hAnsi="Times New Roman" w:cs="Times New Roman"/>
          <w:sz w:val="24"/>
          <w:szCs w:val="24"/>
          <w:lang w:val="en-US"/>
        </w:rPr>
        <w:t>  The legislation of many States provides that rape and other forms of sexual violence are war crimes.</w:t>
      </w:r>
      <w:bookmarkStart w:id="163" w:name="refFn_56_11"/>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"Fn_56_11"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[11]</w:t>
      </w:r>
      <w:r w:rsidRPr="00085258">
        <w:rPr>
          <w:rFonts w:ascii="Times New Roman" w:eastAsia="Times New Roman" w:hAnsi="Times New Roman" w:cs="Times New Roman"/>
          <w:sz w:val="24"/>
          <w:szCs w:val="24"/>
        </w:rPr>
        <w:fldChar w:fldCharType="end"/>
      </w:r>
      <w:bookmarkEnd w:id="163"/>
      <w:r w:rsidRPr="00085258">
        <w:rPr>
          <w:rFonts w:ascii="Times New Roman" w:eastAsia="Times New Roman" w:hAnsi="Times New Roman" w:cs="Times New Roman"/>
          <w:sz w:val="24"/>
          <w:szCs w:val="24"/>
          <w:lang w:val="en-US"/>
        </w:rPr>
        <w:t xml:space="preserve">  National case-law has confirmed that rape constitutes a war crime, as early as 1946 in the </w:t>
      </w:r>
      <w:r w:rsidRPr="00085258">
        <w:rPr>
          <w:rFonts w:ascii="Times New Roman" w:eastAsia="Times New Roman" w:hAnsi="Times New Roman" w:cs="Times New Roman"/>
          <w:i/>
          <w:iCs/>
          <w:sz w:val="24"/>
          <w:szCs w:val="24"/>
          <w:lang w:val="en-US"/>
        </w:rPr>
        <w:t>Takashi Sakai case</w:t>
      </w:r>
      <w:r w:rsidRPr="00085258">
        <w:rPr>
          <w:rFonts w:ascii="Times New Roman" w:eastAsia="Times New Roman" w:hAnsi="Times New Roman" w:cs="Times New Roman"/>
          <w:sz w:val="24"/>
          <w:szCs w:val="24"/>
          <w:lang w:val="en-US"/>
        </w:rPr>
        <w:t xml:space="preserve"> before the War Crimes Military Tribunal of the Chinese Ministry of National Defence.</w:t>
      </w:r>
      <w:bookmarkStart w:id="164" w:name="refFn_56_12"/>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"Fn_56_12"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[12]</w:t>
      </w:r>
      <w:r w:rsidRPr="00085258">
        <w:rPr>
          <w:rFonts w:ascii="Times New Roman" w:eastAsia="Times New Roman" w:hAnsi="Times New Roman" w:cs="Times New Roman"/>
          <w:sz w:val="24"/>
          <w:szCs w:val="24"/>
        </w:rPr>
        <w:fldChar w:fldCharType="end"/>
      </w:r>
      <w:bookmarkEnd w:id="164"/>
      <w:r w:rsidRPr="00085258">
        <w:rPr>
          <w:rFonts w:ascii="Times New Roman" w:eastAsia="Times New Roman" w:hAnsi="Times New Roman" w:cs="Times New Roman"/>
          <w:sz w:val="24"/>
          <w:szCs w:val="24"/>
          <w:lang w:val="en-US"/>
        </w:rPr>
        <w:t xml:space="preserve">  In the </w:t>
      </w:r>
      <w:r w:rsidRPr="00085258">
        <w:rPr>
          <w:rFonts w:ascii="Times New Roman" w:eastAsia="Times New Roman" w:hAnsi="Times New Roman" w:cs="Times New Roman"/>
          <w:i/>
          <w:iCs/>
          <w:sz w:val="24"/>
          <w:szCs w:val="24"/>
          <w:lang w:val="en-US"/>
        </w:rPr>
        <w:t>John Schultz case</w:t>
      </w:r>
      <w:r w:rsidRPr="00085258">
        <w:rPr>
          <w:rFonts w:ascii="Times New Roman" w:eastAsia="Times New Roman" w:hAnsi="Times New Roman" w:cs="Times New Roman"/>
          <w:sz w:val="24"/>
          <w:szCs w:val="24"/>
          <w:lang w:val="en-US"/>
        </w:rPr>
        <w:t xml:space="preserve"> in 1952, the US </w:t>
      </w:r>
      <w:r w:rsidRPr="00085258">
        <w:rPr>
          <w:rFonts w:ascii="Times New Roman" w:eastAsia="Times New Roman" w:hAnsi="Times New Roman" w:cs="Times New Roman"/>
          <w:sz w:val="24"/>
          <w:szCs w:val="24"/>
          <w:lang w:val="en-US"/>
        </w:rPr>
        <w:lastRenderedPageBreak/>
        <w:t>Court of Military Appeals held that rape was a “crime universally recognized as properly punishable under the law of war”.</w:t>
      </w:r>
      <w:bookmarkStart w:id="165" w:name="refFn_56_13"/>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"Fn_56_13"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[13]</w:t>
      </w:r>
      <w:r w:rsidRPr="00085258">
        <w:rPr>
          <w:rFonts w:ascii="Times New Roman" w:eastAsia="Times New Roman" w:hAnsi="Times New Roman" w:cs="Times New Roman"/>
          <w:sz w:val="24"/>
          <w:szCs w:val="24"/>
        </w:rPr>
        <w:fldChar w:fldCharType="end"/>
      </w:r>
      <w:bookmarkEnd w:id="165"/>
      <w:r w:rsidRPr="00085258">
        <w:rPr>
          <w:rFonts w:ascii="Times New Roman" w:eastAsia="Times New Roman" w:hAnsi="Times New Roman" w:cs="Times New Roman"/>
          <w:sz w:val="24"/>
          <w:szCs w:val="24"/>
          <w:lang w:val="en-US"/>
        </w:rPr>
        <w:t> </w:t>
      </w:r>
      <w:r w:rsidRPr="00085258">
        <w:rPr>
          <w:rFonts w:ascii="Times New Roman" w:eastAsia="Times New Roman" w:hAnsi="Times New Roman" w:cs="Times New Roman"/>
          <w:sz w:val="24"/>
          <w:szCs w:val="24"/>
          <w:lang w:val="en-US"/>
        </w:rPr>
        <w:br/>
        <w:t>Violations of the prohibition of rape and other forms of sexual violence have been widely condemned by States and international organizations.</w:t>
      </w:r>
      <w:bookmarkStart w:id="166" w:name="refFn_56_14"/>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"Fn_56_14"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[14]</w:t>
      </w:r>
      <w:r w:rsidRPr="00085258">
        <w:rPr>
          <w:rFonts w:ascii="Times New Roman" w:eastAsia="Times New Roman" w:hAnsi="Times New Roman" w:cs="Times New Roman"/>
          <w:sz w:val="24"/>
          <w:szCs w:val="24"/>
        </w:rPr>
        <w:fldChar w:fldCharType="end"/>
      </w:r>
      <w:bookmarkEnd w:id="166"/>
      <w:r w:rsidRPr="00085258">
        <w:rPr>
          <w:rFonts w:ascii="Times New Roman" w:eastAsia="Times New Roman" w:hAnsi="Times New Roman" w:cs="Times New Roman"/>
          <w:sz w:val="24"/>
          <w:szCs w:val="24"/>
          <w:lang w:val="en-US"/>
        </w:rPr>
        <w:t>  For example, the UN Security Council, UN General Assembly and UN Commission on Human Rights condemned the sexual violence that occurred during the conflicts in Rwanda, Sierra Leone, Uganda and the former Yugoslavia.</w:t>
      </w:r>
      <w:bookmarkStart w:id="167" w:name="refFn_56_15"/>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"Fn_56_15"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[15]</w:t>
      </w:r>
      <w:r w:rsidRPr="00085258">
        <w:rPr>
          <w:rFonts w:ascii="Times New Roman" w:eastAsia="Times New Roman" w:hAnsi="Times New Roman" w:cs="Times New Roman"/>
          <w:sz w:val="24"/>
          <w:szCs w:val="24"/>
        </w:rPr>
        <w:fldChar w:fldCharType="end"/>
      </w:r>
      <w:bookmarkEnd w:id="167"/>
      <w:r w:rsidRPr="00085258">
        <w:rPr>
          <w:rFonts w:ascii="Times New Roman" w:eastAsia="Times New Roman" w:hAnsi="Times New Roman" w:cs="Times New Roman"/>
          <w:sz w:val="24"/>
          <w:szCs w:val="24"/>
          <w:lang w:val="en-US"/>
        </w:rPr>
        <w:t>  The European Parliament, Council of Europe and Gulf Cooperation Council have condemned rape in the former Yugoslavia as a war crime.</w:t>
      </w:r>
      <w:bookmarkStart w:id="168" w:name="refFn_56_16"/>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"Fn_56_16"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[16]</w:t>
      </w:r>
      <w:r w:rsidRPr="00085258">
        <w:rPr>
          <w:rFonts w:ascii="Times New Roman" w:eastAsia="Times New Roman" w:hAnsi="Times New Roman" w:cs="Times New Roman"/>
          <w:sz w:val="24"/>
          <w:szCs w:val="24"/>
        </w:rPr>
        <w:fldChar w:fldCharType="end"/>
      </w:r>
      <w:bookmarkEnd w:id="168"/>
      <w:r w:rsidRPr="00085258">
        <w:rPr>
          <w:rFonts w:ascii="Times New Roman" w:eastAsia="Times New Roman" w:hAnsi="Times New Roman" w:cs="Times New Roman"/>
          <w:sz w:val="24"/>
          <w:szCs w:val="24"/>
          <w:lang w:val="en-US"/>
        </w:rPr>
        <w:t>  It is significant that in 1993 Yugoslavia acknowledged in its report to the Committee on the Elimination of Discrimination Against Women that abuses of women in war zones were crimes contrary to international humanitarian law and apologized for an earlier statement giving the false impression that rape was considered normal behaviour in times of war.</w:t>
      </w:r>
      <w:bookmarkStart w:id="169" w:name="refFn_56_17"/>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"Fn_56_17"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[17]</w:t>
      </w:r>
      <w:r w:rsidRPr="00085258">
        <w:rPr>
          <w:rFonts w:ascii="Times New Roman" w:eastAsia="Times New Roman" w:hAnsi="Times New Roman" w:cs="Times New Roman"/>
          <w:sz w:val="24"/>
          <w:szCs w:val="24"/>
        </w:rPr>
        <w:fldChar w:fldCharType="end"/>
      </w:r>
      <w:bookmarkEnd w:id="169"/>
      <w:r w:rsidRPr="00085258">
        <w:rPr>
          <w:rFonts w:ascii="Times New Roman" w:eastAsia="Times New Roman" w:hAnsi="Times New Roman" w:cs="Times New Roman"/>
          <w:sz w:val="24"/>
          <w:szCs w:val="24"/>
          <w:lang w:val="en-US"/>
        </w:rPr>
        <w:t> </w:t>
      </w:r>
      <w:r w:rsidRPr="00085258">
        <w:rPr>
          <w:rFonts w:ascii="Times New Roman" w:eastAsia="Times New Roman" w:hAnsi="Times New Roman" w:cs="Times New Roman"/>
          <w:sz w:val="24"/>
          <w:szCs w:val="24"/>
          <w:lang w:val="en-US"/>
        </w:rPr>
        <w:br/>
        <w:t>Sexual violence is prohibited under human rights law primarily through the prohibition of torture and cruel, inhuman or degrading treatment or punishment. Thus, both the European Court of Human Rights and the Inter-American Commission on Human Rights have, in their case-law, found instances of rape of detainees to amount to torture.</w:t>
      </w:r>
      <w:bookmarkStart w:id="170" w:name="refFn_56_18"/>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"Fn_56_18"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[18]</w:t>
      </w:r>
      <w:r w:rsidRPr="00085258">
        <w:rPr>
          <w:rFonts w:ascii="Times New Roman" w:eastAsia="Times New Roman" w:hAnsi="Times New Roman" w:cs="Times New Roman"/>
          <w:sz w:val="24"/>
          <w:szCs w:val="24"/>
        </w:rPr>
        <w:fldChar w:fldCharType="end"/>
      </w:r>
      <w:bookmarkEnd w:id="170"/>
      <w:r w:rsidRPr="00085258">
        <w:rPr>
          <w:rFonts w:ascii="Times New Roman" w:eastAsia="Times New Roman" w:hAnsi="Times New Roman" w:cs="Times New Roman"/>
          <w:sz w:val="24"/>
          <w:szCs w:val="24"/>
          <w:lang w:val="en-US"/>
        </w:rPr>
        <w:t>  The European Court of Human Rights has also found the strip-searching of a male prisoner in the presence of a female prison officer to be degrading treatment.</w:t>
      </w:r>
      <w:bookmarkStart w:id="171" w:name="refFn_56_19"/>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"Fn_56_19"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[19]</w:t>
      </w:r>
      <w:r w:rsidRPr="00085258">
        <w:rPr>
          <w:rFonts w:ascii="Times New Roman" w:eastAsia="Times New Roman" w:hAnsi="Times New Roman" w:cs="Times New Roman"/>
          <w:sz w:val="24"/>
          <w:szCs w:val="24"/>
        </w:rPr>
        <w:fldChar w:fldCharType="end"/>
      </w:r>
      <w:bookmarkEnd w:id="171"/>
      <w:r w:rsidRPr="00085258">
        <w:rPr>
          <w:rFonts w:ascii="Times New Roman" w:eastAsia="Times New Roman" w:hAnsi="Times New Roman" w:cs="Times New Roman"/>
          <w:sz w:val="24"/>
          <w:szCs w:val="24"/>
          <w:lang w:val="en-US"/>
        </w:rPr>
        <w:t>  The Committee on the Elimination of Discrimination Against Women stated in a General Recommendation that discrimination includes gender-based violence.</w:t>
      </w:r>
      <w:bookmarkStart w:id="172" w:name="refFn_56_20"/>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"Fn_56_20"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[20]</w:t>
      </w:r>
      <w:r w:rsidRPr="00085258">
        <w:rPr>
          <w:rFonts w:ascii="Times New Roman" w:eastAsia="Times New Roman" w:hAnsi="Times New Roman" w:cs="Times New Roman"/>
          <w:sz w:val="24"/>
          <w:szCs w:val="24"/>
        </w:rPr>
        <w:fldChar w:fldCharType="end"/>
      </w:r>
      <w:bookmarkEnd w:id="172"/>
      <w:r w:rsidRPr="00085258">
        <w:rPr>
          <w:rFonts w:ascii="Times New Roman" w:eastAsia="Times New Roman" w:hAnsi="Times New Roman" w:cs="Times New Roman"/>
          <w:sz w:val="24"/>
          <w:szCs w:val="24"/>
          <w:lang w:val="en-US"/>
        </w:rPr>
        <w:t>  There is also an increasing number of treaties and other international instruments which state that trafficking in women and children for the purpose of prostitution is a criminal offence,</w:t>
      </w:r>
      <w:bookmarkStart w:id="173" w:name="refFn_56_21"/>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"Fn_56_21"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[21]</w:t>
      </w:r>
      <w:r w:rsidRPr="00085258">
        <w:rPr>
          <w:rFonts w:ascii="Times New Roman" w:eastAsia="Times New Roman" w:hAnsi="Times New Roman" w:cs="Times New Roman"/>
          <w:sz w:val="24"/>
          <w:szCs w:val="24"/>
        </w:rPr>
        <w:fldChar w:fldCharType="end"/>
      </w:r>
      <w:bookmarkEnd w:id="173"/>
      <w:r w:rsidRPr="00085258">
        <w:rPr>
          <w:rFonts w:ascii="Times New Roman" w:eastAsia="Times New Roman" w:hAnsi="Times New Roman" w:cs="Times New Roman"/>
          <w:sz w:val="24"/>
          <w:szCs w:val="24"/>
          <w:lang w:val="en-US"/>
        </w:rPr>
        <w:t>  as well as an increased recognition of the need to punish all persons responsible for sexual violence.</w:t>
      </w:r>
      <w:bookmarkStart w:id="174" w:name="refFn_56_22"/>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"Fn_56_22"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[22]</w:t>
      </w:r>
      <w:r w:rsidRPr="00085258">
        <w:rPr>
          <w:rFonts w:ascii="Times New Roman" w:eastAsia="Times New Roman" w:hAnsi="Times New Roman" w:cs="Times New Roman"/>
          <w:sz w:val="24"/>
          <w:szCs w:val="24"/>
        </w:rPr>
        <w:fldChar w:fldCharType="end"/>
      </w:r>
      <w:bookmarkEnd w:id="174"/>
      <w:r w:rsidRPr="00085258">
        <w:rPr>
          <w:rFonts w:ascii="Times New Roman" w:eastAsia="Times New Roman" w:hAnsi="Times New Roman" w:cs="Times New Roman"/>
          <w:sz w:val="24"/>
          <w:szCs w:val="24"/>
          <w:lang w:val="en-US"/>
        </w:rPr>
        <w:t>  The prohibition of using sexual violence as an official punishment is clear; not only is such a punishment not officially provided for by States, but also any confirmed reports of such an incident have either been denied or the relevant persons prosecuted.</w:t>
      </w:r>
      <w:bookmarkStart w:id="175" w:name="refFn_56_23"/>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"Fn_56_23"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[23]</w:t>
      </w:r>
      <w:r w:rsidRPr="00085258">
        <w:rPr>
          <w:rFonts w:ascii="Times New Roman" w:eastAsia="Times New Roman" w:hAnsi="Times New Roman" w:cs="Times New Roman"/>
          <w:sz w:val="24"/>
          <w:szCs w:val="24"/>
        </w:rPr>
        <w:fldChar w:fldCharType="end"/>
      </w:r>
      <w:bookmarkEnd w:id="175"/>
      <w:r w:rsidRPr="00085258">
        <w:rPr>
          <w:rFonts w:ascii="Times New Roman" w:eastAsia="Times New Roman" w:hAnsi="Times New Roman" w:cs="Times New Roman"/>
          <w:sz w:val="24"/>
          <w:szCs w:val="24"/>
          <w:lang w:val="en-US"/>
        </w:rPr>
        <w:t> </w:t>
      </w:r>
    </w:p>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Definition of rape</w:t>
      </w:r>
    </w:p>
    <w:p w:rsidR="00085258" w:rsidRPr="00085258" w:rsidRDefault="00085258" w:rsidP="00085258">
      <w:pPr>
        <w:spacing w:after="24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lang w:val="en-US"/>
        </w:rPr>
        <w:t xml:space="preserve">With respect to the definition of rape, the International Criminal Tribunal for the former Yugoslavia considered in its judgment in the </w:t>
      </w:r>
      <w:r w:rsidRPr="00085258">
        <w:rPr>
          <w:rFonts w:ascii="Times New Roman" w:eastAsia="Times New Roman" w:hAnsi="Times New Roman" w:cs="Times New Roman"/>
          <w:i/>
          <w:iCs/>
          <w:sz w:val="24"/>
          <w:szCs w:val="24"/>
          <w:lang w:val="en-US"/>
        </w:rPr>
        <w:t>Furundžija case</w:t>
      </w:r>
      <w:r w:rsidRPr="00085258">
        <w:rPr>
          <w:rFonts w:ascii="Times New Roman" w:eastAsia="Times New Roman" w:hAnsi="Times New Roman" w:cs="Times New Roman"/>
          <w:sz w:val="24"/>
          <w:szCs w:val="24"/>
          <w:lang w:val="en-US"/>
        </w:rPr>
        <w:t xml:space="preserve"> in 1998 that rape required “coercion or force or threat of force against the victim or a third person”.</w:t>
      </w:r>
      <w:bookmarkStart w:id="176" w:name="refFn_56_24"/>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"Fn_56_24"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[24]</w:t>
      </w:r>
      <w:r w:rsidRPr="00085258">
        <w:rPr>
          <w:rFonts w:ascii="Times New Roman" w:eastAsia="Times New Roman" w:hAnsi="Times New Roman" w:cs="Times New Roman"/>
          <w:sz w:val="24"/>
          <w:szCs w:val="24"/>
        </w:rPr>
        <w:fldChar w:fldCharType="end"/>
      </w:r>
      <w:bookmarkEnd w:id="176"/>
      <w:r w:rsidRPr="00085258">
        <w:rPr>
          <w:rFonts w:ascii="Times New Roman" w:eastAsia="Times New Roman" w:hAnsi="Times New Roman" w:cs="Times New Roman"/>
          <w:sz w:val="24"/>
          <w:szCs w:val="24"/>
          <w:lang w:val="en-US"/>
        </w:rPr>
        <w:t xml:space="preserve">  In its later case-law in the </w:t>
      </w:r>
      <w:r w:rsidRPr="00085258">
        <w:rPr>
          <w:rFonts w:ascii="Times New Roman" w:eastAsia="Times New Roman" w:hAnsi="Times New Roman" w:cs="Times New Roman"/>
          <w:i/>
          <w:iCs/>
          <w:sz w:val="24"/>
          <w:szCs w:val="24"/>
          <w:lang w:val="en-US"/>
        </w:rPr>
        <w:t>Kunarac case</w:t>
      </w:r>
      <w:r w:rsidRPr="00085258">
        <w:rPr>
          <w:rFonts w:ascii="Times New Roman" w:eastAsia="Times New Roman" w:hAnsi="Times New Roman" w:cs="Times New Roman"/>
          <w:sz w:val="24"/>
          <w:szCs w:val="24"/>
          <w:lang w:val="en-US"/>
        </w:rPr>
        <w:t xml:space="preserve"> in 2001, however, the Tribunal considered that there might be other factors “which would render an act of sexual penetration non-consensual or non-voluntary on the part of the victim” and that this consideration defined the accurate scope of the definition of rape under international law.</w:t>
      </w:r>
      <w:bookmarkStart w:id="177" w:name="refFn_56_25"/>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"Fn_56_25"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[25]</w:t>
      </w:r>
      <w:r w:rsidRPr="00085258">
        <w:rPr>
          <w:rFonts w:ascii="Times New Roman" w:eastAsia="Times New Roman" w:hAnsi="Times New Roman" w:cs="Times New Roman"/>
          <w:sz w:val="24"/>
          <w:szCs w:val="24"/>
        </w:rPr>
        <w:fldChar w:fldCharType="end"/>
      </w:r>
      <w:bookmarkEnd w:id="177"/>
      <w:r w:rsidRPr="00085258">
        <w:rPr>
          <w:rFonts w:ascii="Times New Roman" w:eastAsia="Times New Roman" w:hAnsi="Times New Roman" w:cs="Times New Roman"/>
          <w:sz w:val="24"/>
          <w:szCs w:val="24"/>
          <w:lang w:val="en-US"/>
        </w:rPr>
        <w:t xml:space="preserve">  The International Criminal Tribunal for Rwanda in the </w:t>
      </w:r>
      <w:r w:rsidRPr="00085258">
        <w:rPr>
          <w:rFonts w:ascii="Times New Roman" w:eastAsia="Times New Roman" w:hAnsi="Times New Roman" w:cs="Times New Roman"/>
          <w:i/>
          <w:iCs/>
          <w:sz w:val="24"/>
          <w:szCs w:val="24"/>
          <w:lang w:val="en-US"/>
        </w:rPr>
        <w:t>Akayesu case</w:t>
      </w:r>
      <w:r w:rsidRPr="00085258">
        <w:rPr>
          <w:rFonts w:ascii="Times New Roman" w:eastAsia="Times New Roman" w:hAnsi="Times New Roman" w:cs="Times New Roman"/>
          <w:sz w:val="24"/>
          <w:szCs w:val="24"/>
          <w:lang w:val="en-US"/>
        </w:rPr>
        <w:t xml:space="preserve"> in 1998 held that “rape is a form of aggression” and that “the central elements of the crime of rape cannot be captured in a mechanical description of objects and body parts”. It defined rape as “a physical invasion of a sexual nature, committed on a person under circumstances which are coercive”.</w:t>
      </w:r>
      <w:bookmarkStart w:id="178" w:name="refFn_56_26"/>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"Fn_56_26"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[26]</w:t>
      </w:r>
      <w:r w:rsidRPr="00085258">
        <w:rPr>
          <w:rFonts w:ascii="Times New Roman" w:eastAsia="Times New Roman" w:hAnsi="Times New Roman" w:cs="Times New Roman"/>
          <w:sz w:val="24"/>
          <w:szCs w:val="24"/>
        </w:rPr>
        <w:fldChar w:fldCharType="end"/>
      </w:r>
      <w:bookmarkEnd w:id="178"/>
      <w:r w:rsidRPr="00085258">
        <w:rPr>
          <w:rFonts w:ascii="Times New Roman" w:eastAsia="Times New Roman" w:hAnsi="Times New Roman" w:cs="Times New Roman"/>
          <w:sz w:val="24"/>
          <w:szCs w:val="24"/>
          <w:lang w:val="en-US"/>
        </w:rPr>
        <w:t> </w:t>
      </w:r>
      <w:r w:rsidRPr="00085258">
        <w:rPr>
          <w:rFonts w:ascii="Times New Roman" w:eastAsia="Times New Roman" w:hAnsi="Times New Roman" w:cs="Times New Roman"/>
          <w:sz w:val="24"/>
          <w:szCs w:val="24"/>
          <w:lang w:val="en-US"/>
        </w:rPr>
        <w:br/>
        <w:t xml:space="preserve">Rape and sexual violence can also be constituent elements of other crimes under international law. The International Criminal Tribunal for the former Yugoslavia in the </w:t>
      </w:r>
      <w:r w:rsidRPr="00085258">
        <w:rPr>
          <w:rFonts w:ascii="Times New Roman" w:eastAsia="Times New Roman" w:hAnsi="Times New Roman" w:cs="Times New Roman"/>
          <w:i/>
          <w:iCs/>
          <w:sz w:val="24"/>
          <w:szCs w:val="24"/>
          <w:lang w:val="en-US"/>
        </w:rPr>
        <w:t>Delalić case</w:t>
      </w:r>
      <w:r w:rsidRPr="00085258">
        <w:rPr>
          <w:rFonts w:ascii="Times New Roman" w:eastAsia="Times New Roman" w:hAnsi="Times New Roman" w:cs="Times New Roman"/>
          <w:sz w:val="24"/>
          <w:szCs w:val="24"/>
          <w:lang w:val="en-US"/>
        </w:rPr>
        <w:t xml:space="preserve"> held that rape could constitute torture when the specific conditions of torture were fulfilled.</w:t>
      </w:r>
      <w:bookmarkStart w:id="179" w:name="refFn_56_27"/>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"Fn_56_27"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[27]</w:t>
      </w:r>
      <w:r w:rsidRPr="00085258">
        <w:rPr>
          <w:rFonts w:ascii="Times New Roman" w:eastAsia="Times New Roman" w:hAnsi="Times New Roman" w:cs="Times New Roman"/>
          <w:sz w:val="24"/>
          <w:szCs w:val="24"/>
        </w:rPr>
        <w:fldChar w:fldCharType="end"/>
      </w:r>
      <w:bookmarkEnd w:id="179"/>
      <w:r w:rsidRPr="00085258">
        <w:rPr>
          <w:rFonts w:ascii="Times New Roman" w:eastAsia="Times New Roman" w:hAnsi="Times New Roman" w:cs="Times New Roman"/>
          <w:sz w:val="24"/>
          <w:szCs w:val="24"/>
          <w:lang w:val="en-US"/>
        </w:rPr>
        <w:t xml:space="preserve">  The International Criminal Tribunal for Rwanda in the </w:t>
      </w:r>
      <w:r w:rsidRPr="00085258">
        <w:rPr>
          <w:rFonts w:ascii="Times New Roman" w:eastAsia="Times New Roman" w:hAnsi="Times New Roman" w:cs="Times New Roman"/>
          <w:i/>
          <w:iCs/>
          <w:sz w:val="24"/>
          <w:szCs w:val="24"/>
          <w:lang w:val="en-US"/>
        </w:rPr>
        <w:t>Akayesu case</w:t>
      </w:r>
      <w:r w:rsidRPr="00085258">
        <w:rPr>
          <w:rFonts w:ascii="Times New Roman" w:eastAsia="Times New Roman" w:hAnsi="Times New Roman" w:cs="Times New Roman"/>
          <w:sz w:val="24"/>
          <w:szCs w:val="24"/>
          <w:lang w:val="en-US"/>
        </w:rPr>
        <w:t xml:space="preserve"> and </w:t>
      </w:r>
      <w:r w:rsidRPr="00085258">
        <w:rPr>
          <w:rFonts w:ascii="Times New Roman" w:eastAsia="Times New Roman" w:hAnsi="Times New Roman" w:cs="Times New Roman"/>
          <w:i/>
          <w:iCs/>
          <w:sz w:val="24"/>
          <w:szCs w:val="24"/>
          <w:lang w:val="en-US"/>
        </w:rPr>
        <w:t>Musema case</w:t>
      </w:r>
      <w:r w:rsidRPr="00085258">
        <w:rPr>
          <w:rFonts w:ascii="Times New Roman" w:eastAsia="Times New Roman" w:hAnsi="Times New Roman" w:cs="Times New Roman"/>
          <w:sz w:val="24"/>
          <w:szCs w:val="24"/>
          <w:lang w:val="en-US"/>
        </w:rPr>
        <w:t xml:space="preserve"> held that rape and sexual violence could constitute genocide when the specific conditions of genocide were fulfilled.</w:t>
      </w:r>
      <w:bookmarkStart w:id="180" w:name="refFn_56_28"/>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"Fn_56_28"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[28]</w:t>
      </w:r>
      <w:r w:rsidRPr="00085258">
        <w:rPr>
          <w:rFonts w:ascii="Times New Roman" w:eastAsia="Times New Roman" w:hAnsi="Times New Roman" w:cs="Times New Roman"/>
          <w:sz w:val="24"/>
          <w:szCs w:val="24"/>
        </w:rPr>
        <w:fldChar w:fldCharType="end"/>
      </w:r>
      <w:bookmarkEnd w:id="180"/>
      <w:r w:rsidRPr="00085258">
        <w:rPr>
          <w:rFonts w:ascii="Times New Roman" w:eastAsia="Times New Roman" w:hAnsi="Times New Roman" w:cs="Times New Roman"/>
          <w:sz w:val="24"/>
          <w:szCs w:val="24"/>
          <w:lang w:val="en-US"/>
        </w:rPr>
        <w:t> </w:t>
      </w:r>
      <w:r w:rsidRPr="00085258">
        <w:rPr>
          <w:rFonts w:ascii="Times New Roman" w:eastAsia="Times New Roman" w:hAnsi="Times New Roman" w:cs="Times New Roman"/>
          <w:sz w:val="24"/>
          <w:szCs w:val="24"/>
          <w:lang w:val="en-US"/>
        </w:rPr>
        <w:br/>
        <w:t xml:space="preserve">It has been specified in practice that the prohibition of sexual violence is non-discriminatory, i.e., that men and women, as well as adults and children, are equally protected by this prohibition. Except for forced pregnancy, the crimes of sexual violence </w:t>
      </w:r>
      <w:r w:rsidRPr="00085258">
        <w:rPr>
          <w:rFonts w:ascii="Times New Roman" w:eastAsia="Times New Roman" w:hAnsi="Times New Roman" w:cs="Times New Roman"/>
          <w:sz w:val="24"/>
          <w:szCs w:val="24"/>
          <w:lang w:val="en-US"/>
        </w:rPr>
        <w:lastRenderedPageBreak/>
        <w:t>in the Statute of the International Criminal Court are prohibited when committed against “any person”, not only women. In addition, in the Elements of Crimes for the International Criminal Court, the concept of “invasion” used to define rape is “intended to be broad enough to be gender-neutral”.</w:t>
      </w:r>
      <w:bookmarkStart w:id="181" w:name="refFn_56_29"/>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"Fn_56_29"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[29]</w:t>
      </w:r>
      <w:r w:rsidRPr="00085258">
        <w:rPr>
          <w:rFonts w:ascii="Times New Roman" w:eastAsia="Times New Roman" w:hAnsi="Times New Roman" w:cs="Times New Roman"/>
          <w:sz w:val="24"/>
          <w:szCs w:val="24"/>
        </w:rPr>
        <w:fldChar w:fldCharType="end"/>
      </w:r>
      <w:bookmarkEnd w:id="181"/>
      <w:r w:rsidRPr="00085258">
        <w:rPr>
          <w:rFonts w:ascii="Times New Roman" w:eastAsia="Times New Roman" w:hAnsi="Times New Roman" w:cs="Times New Roman"/>
          <w:sz w:val="24"/>
          <w:szCs w:val="24"/>
          <w:lang w:val="en-US"/>
        </w:rPr>
        <w:t> </w:t>
      </w:r>
    </w:p>
    <w:bookmarkStart w:id="182" w:name="Fn_56_1"/>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w:t>
      </w:r>
      <w:r w:rsidRPr="00085258">
        <w:rPr>
          <w:rFonts w:ascii="Times New Roman" w:eastAsia="Times New Roman" w:hAnsi="Times New Roman" w:cs="Times New Roman"/>
          <w:sz w:val="24"/>
          <w:szCs w:val="24"/>
        </w:rPr>
        <w:fldChar w:fldCharType="end"/>
      </w:r>
      <w:bookmarkEnd w:id="182"/>
      <w:r w:rsidRPr="00085258">
        <w:rPr>
          <w:rFonts w:ascii="Times New Roman" w:eastAsia="Times New Roman" w:hAnsi="Times New Roman" w:cs="Times New Roman"/>
          <w:sz w:val="24"/>
          <w:szCs w:val="24"/>
          <w:lang w:val="en-US"/>
        </w:rPr>
        <w:t xml:space="preserve"> Lieber Code, Article 44 (cited in Vol. II, Ch. 32, § 1570).</w:t>
      </w:r>
    </w:p>
    <w:bookmarkStart w:id="183" w:name="Fn_56_2"/>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w:t>
      </w:r>
      <w:r w:rsidRPr="00085258">
        <w:rPr>
          <w:rFonts w:ascii="Times New Roman" w:eastAsia="Times New Roman" w:hAnsi="Times New Roman" w:cs="Times New Roman"/>
          <w:sz w:val="24"/>
          <w:szCs w:val="24"/>
        </w:rPr>
        <w:fldChar w:fldCharType="end"/>
      </w:r>
      <w:bookmarkEnd w:id="183"/>
      <w:r w:rsidRPr="00085258">
        <w:rPr>
          <w:rFonts w:ascii="Times New Roman" w:eastAsia="Times New Roman" w:hAnsi="Times New Roman" w:cs="Times New Roman"/>
          <w:sz w:val="24"/>
          <w:szCs w:val="24"/>
          <w:lang w:val="en-US"/>
        </w:rPr>
        <w:t xml:space="preserve"> Geneva Conventions, common Article 3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1555).</w:t>
      </w:r>
    </w:p>
    <w:bookmarkStart w:id="184" w:name="Fn_56_3"/>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"refFn_56_3"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[3]</w:t>
      </w:r>
      <w:r w:rsidRPr="00085258">
        <w:rPr>
          <w:rFonts w:ascii="Times New Roman" w:eastAsia="Times New Roman" w:hAnsi="Times New Roman" w:cs="Times New Roman"/>
          <w:sz w:val="24"/>
          <w:szCs w:val="24"/>
        </w:rPr>
        <w:fldChar w:fldCharType="end"/>
      </w:r>
      <w:bookmarkEnd w:id="184"/>
      <w:r w:rsidRPr="00085258">
        <w:rPr>
          <w:rFonts w:ascii="Times New Roman" w:eastAsia="Times New Roman" w:hAnsi="Times New Roman" w:cs="Times New Roman"/>
          <w:sz w:val="24"/>
          <w:szCs w:val="24"/>
          <w:lang w:val="en-US"/>
        </w:rPr>
        <w:t xml:space="preserve"> Third Geneva Convention, Article 14, first paragraph.</w:t>
      </w:r>
    </w:p>
    <w:bookmarkStart w:id="185" w:name="Fn_56_4"/>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"refFn_56_4"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[4]</w:t>
      </w:r>
      <w:r w:rsidRPr="00085258">
        <w:rPr>
          <w:rFonts w:ascii="Times New Roman" w:eastAsia="Times New Roman" w:hAnsi="Times New Roman" w:cs="Times New Roman"/>
          <w:sz w:val="24"/>
          <w:szCs w:val="24"/>
        </w:rPr>
        <w:fldChar w:fldCharType="end"/>
      </w:r>
      <w:bookmarkEnd w:id="185"/>
      <w:r w:rsidRPr="00085258">
        <w:rPr>
          <w:rFonts w:ascii="Times New Roman" w:eastAsia="Times New Roman" w:hAnsi="Times New Roman" w:cs="Times New Roman"/>
          <w:sz w:val="24"/>
          <w:szCs w:val="24"/>
          <w:lang w:val="en-US"/>
        </w:rPr>
        <w:t xml:space="preserve"> Additional Protocol I, Article 75(2) (adopted by consensus) (cited in Vol. II, Ch. 32, § 996); Additional Protocol II, Article 4(2) (adopted by consensus)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997).</w:t>
      </w:r>
    </w:p>
    <w:bookmarkStart w:id="186" w:name="Fn_56_5"/>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"refFn_56_5"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[5]</w:t>
      </w:r>
      <w:r w:rsidRPr="00085258">
        <w:rPr>
          <w:rFonts w:ascii="Times New Roman" w:eastAsia="Times New Roman" w:hAnsi="Times New Roman" w:cs="Times New Roman"/>
          <w:sz w:val="24"/>
          <w:szCs w:val="24"/>
        </w:rPr>
        <w:fldChar w:fldCharType="end"/>
      </w:r>
      <w:bookmarkEnd w:id="186"/>
      <w:r w:rsidRPr="00085258">
        <w:rPr>
          <w:rFonts w:ascii="Times New Roman" w:eastAsia="Times New Roman" w:hAnsi="Times New Roman" w:cs="Times New Roman"/>
          <w:sz w:val="24"/>
          <w:szCs w:val="24"/>
          <w:lang w:val="en-US"/>
        </w:rPr>
        <w:t xml:space="preserve"> Additional Protocol I, Article 75(2) (adopted by consensus)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1558); Additional Protocol II, Article 4(2) (adopted by consensus)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1559).</w:t>
      </w:r>
    </w:p>
    <w:bookmarkStart w:id="187" w:name="Fn_56_6"/>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"refFn_56_6"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[6]</w:t>
      </w:r>
      <w:r w:rsidRPr="00085258">
        <w:rPr>
          <w:rFonts w:ascii="Times New Roman" w:eastAsia="Times New Roman" w:hAnsi="Times New Roman" w:cs="Times New Roman"/>
          <w:sz w:val="24"/>
          <w:szCs w:val="24"/>
        </w:rPr>
        <w:fldChar w:fldCharType="end"/>
      </w:r>
      <w:bookmarkEnd w:id="187"/>
      <w:r w:rsidRPr="00085258">
        <w:rPr>
          <w:rFonts w:ascii="Times New Roman" w:eastAsia="Times New Roman" w:hAnsi="Times New Roman" w:cs="Times New Roman"/>
          <w:sz w:val="24"/>
          <w:szCs w:val="24"/>
          <w:lang w:val="en-US"/>
        </w:rPr>
        <w:t xml:space="preserve"> Fourth Geneva Convention, Article 27, second paragraph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1556); Additional Protocol I, Articles 76–77 (adopted by consensus)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1560–1561).</w:t>
      </w:r>
    </w:p>
    <w:bookmarkStart w:id="188" w:name="Fn_56_7"/>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"refFn_56_7"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[7]</w:t>
      </w:r>
      <w:r w:rsidRPr="00085258">
        <w:rPr>
          <w:rFonts w:ascii="Times New Roman" w:eastAsia="Times New Roman" w:hAnsi="Times New Roman" w:cs="Times New Roman"/>
          <w:sz w:val="24"/>
          <w:szCs w:val="24"/>
        </w:rPr>
        <w:fldChar w:fldCharType="end"/>
      </w:r>
      <w:bookmarkEnd w:id="188"/>
      <w:r w:rsidRPr="00085258">
        <w:rPr>
          <w:rFonts w:ascii="Times New Roman" w:eastAsia="Times New Roman" w:hAnsi="Times New Roman" w:cs="Times New Roman"/>
          <w:sz w:val="24"/>
          <w:szCs w:val="24"/>
          <w:lang w:val="en-US"/>
        </w:rPr>
        <w:t xml:space="preserve"> ICTR Statute, Article 4(e)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1577); Statute of the Special Court for Sierra Leone, Article 3(e)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1569).</w:t>
      </w:r>
    </w:p>
    <w:bookmarkStart w:id="189" w:name="Fn_56_8"/>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"refFn_56_8"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[8]</w:t>
      </w:r>
      <w:r w:rsidRPr="00085258">
        <w:rPr>
          <w:rFonts w:ascii="Times New Roman" w:eastAsia="Times New Roman" w:hAnsi="Times New Roman" w:cs="Times New Roman"/>
          <w:sz w:val="24"/>
          <w:szCs w:val="24"/>
        </w:rPr>
        <w:fldChar w:fldCharType="end"/>
      </w:r>
      <w:bookmarkEnd w:id="189"/>
      <w:r w:rsidRPr="00085258">
        <w:rPr>
          <w:rFonts w:ascii="Times New Roman" w:eastAsia="Times New Roman" w:hAnsi="Times New Roman" w:cs="Times New Roman"/>
          <w:sz w:val="24"/>
          <w:szCs w:val="24"/>
          <w:lang w:val="en-US"/>
        </w:rPr>
        <w:t xml:space="preserve"> ICC Statute, Article 8(2)(b)(xxii) and (e)(vi)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1565).</w:t>
      </w:r>
    </w:p>
    <w:bookmarkStart w:id="190" w:name="Fn_56_9"/>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"refFn_56_9"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[9]</w:t>
      </w:r>
      <w:r w:rsidRPr="00085258">
        <w:rPr>
          <w:rFonts w:ascii="Times New Roman" w:eastAsia="Times New Roman" w:hAnsi="Times New Roman" w:cs="Times New Roman"/>
          <w:sz w:val="24"/>
          <w:szCs w:val="24"/>
        </w:rPr>
        <w:fldChar w:fldCharType="end"/>
      </w:r>
      <w:bookmarkEnd w:id="190"/>
      <w:r w:rsidRPr="00085258">
        <w:rPr>
          <w:rFonts w:ascii="Times New Roman" w:eastAsia="Times New Roman" w:hAnsi="Times New Roman" w:cs="Times New Roman"/>
          <w:sz w:val="24"/>
          <w:szCs w:val="24"/>
          <w:lang w:val="en-US"/>
        </w:rPr>
        <w:t xml:space="preserve"> ICC Statute, Article 7(1)(g)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1564); ICTY Statute, Article 5(g)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1576); ICTR Statute, Article 3(g)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1577).</w:t>
      </w:r>
    </w:p>
    <w:bookmarkStart w:id="191" w:name="Fn_56_10"/>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"refFn_56_10"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[10]</w:t>
      </w:r>
      <w:r w:rsidRPr="00085258">
        <w:rPr>
          <w:rFonts w:ascii="Times New Roman" w:eastAsia="Times New Roman" w:hAnsi="Times New Roman" w:cs="Times New Roman"/>
          <w:sz w:val="24"/>
          <w:szCs w:val="24"/>
        </w:rPr>
        <w:fldChar w:fldCharType="end"/>
      </w:r>
      <w:bookmarkEnd w:id="191"/>
      <w:r w:rsidRPr="00085258">
        <w:rPr>
          <w:rFonts w:ascii="Times New Roman" w:eastAsia="Times New Roman" w:hAnsi="Times New Roman" w:cs="Times New Roman"/>
          <w:sz w:val="24"/>
          <w:szCs w:val="24"/>
          <w:lang w:val="en-US"/>
        </w:rPr>
        <w:t xml:space="preserve"> See, e.g., the military manuals of Argentina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1584–1585), Australia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1586–1587), Canada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1588–1589), China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1590), Dominican Republic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1591), El Salvador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1592), France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1594–1595), Germany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1596), Israel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1597), Madagascar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1598), Netherlands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1599), New Zealand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1600), Nicaragua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1601), Nigeria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1602), Peru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1603), Senegal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1604), Spain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1605), Sweden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1606), Switzerland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1607), Uganda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1608), United Kingdom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1609–1610), United States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1611–1615) and Yugoslavia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1616).</w:t>
      </w:r>
    </w:p>
    <w:bookmarkStart w:id="192" w:name="Fn_56_11"/>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"refFn_56_11"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[11]</w:t>
      </w:r>
      <w:r w:rsidRPr="00085258">
        <w:rPr>
          <w:rFonts w:ascii="Times New Roman" w:eastAsia="Times New Roman" w:hAnsi="Times New Roman" w:cs="Times New Roman"/>
          <w:sz w:val="24"/>
          <w:szCs w:val="24"/>
        </w:rPr>
        <w:fldChar w:fldCharType="end"/>
      </w:r>
      <w:bookmarkEnd w:id="192"/>
      <w:r w:rsidRPr="00085258">
        <w:rPr>
          <w:rFonts w:ascii="Times New Roman" w:eastAsia="Times New Roman" w:hAnsi="Times New Roman" w:cs="Times New Roman"/>
          <w:sz w:val="24"/>
          <w:szCs w:val="24"/>
          <w:lang w:val="en-US"/>
        </w:rPr>
        <w:t xml:space="preserve"> See, e.g., the legislation of Armenia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1618), Australia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1619–1621), Azerbaijan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1623), Bangladesh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1624), Belgium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1625), Bosnia and Herzegovina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1626), Canada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1628), China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1629), Colombia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1630), Congo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1631), Croatia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1632), Estonia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1634), Ethiopia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1635), Georgia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1636), Germany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1637), Republic of Korea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1641), Lithuania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1642), Mali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1643), Mozambique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1644), Netherlands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1646–1647), New Zealand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1648), Paraguay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1651), Slovenia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1652), Spain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1654), United Kingdom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1656) and Yugoslavia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1657–1658); see also the draft legislation of Argentina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1617), Burundi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1627) and Trinidad and Tobago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1655).</w:t>
      </w:r>
    </w:p>
    <w:bookmarkStart w:id="193" w:name="Fn_56_12"/>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"refFn_56_12"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[12]</w:t>
      </w:r>
      <w:r w:rsidRPr="00085258">
        <w:rPr>
          <w:rFonts w:ascii="Times New Roman" w:eastAsia="Times New Roman" w:hAnsi="Times New Roman" w:cs="Times New Roman"/>
          <w:sz w:val="24"/>
          <w:szCs w:val="24"/>
        </w:rPr>
        <w:fldChar w:fldCharType="end"/>
      </w:r>
      <w:bookmarkEnd w:id="193"/>
      <w:r w:rsidRPr="00085258">
        <w:rPr>
          <w:rFonts w:ascii="Times New Roman" w:eastAsia="Times New Roman" w:hAnsi="Times New Roman" w:cs="Times New Roman"/>
          <w:sz w:val="24"/>
          <w:szCs w:val="24"/>
          <w:lang w:val="en-US"/>
        </w:rPr>
        <w:t xml:space="preserve"> China, War Crimes Military Tribunal of the Ministry of National Defence, </w:t>
      </w:r>
      <w:r w:rsidRPr="00085258">
        <w:rPr>
          <w:rFonts w:ascii="Times New Roman" w:eastAsia="Times New Roman" w:hAnsi="Times New Roman" w:cs="Times New Roman"/>
          <w:i/>
          <w:iCs/>
          <w:sz w:val="24"/>
          <w:szCs w:val="24"/>
          <w:lang w:val="en-US"/>
        </w:rPr>
        <w:t>Takashi Sakai case</w:t>
      </w:r>
      <w:r w:rsidRPr="00085258">
        <w:rPr>
          <w:rFonts w:ascii="Times New Roman" w:eastAsia="Times New Roman" w:hAnsi="Times New Roman" w:cs="Times New Roman"/>
          <w:sz w:val="24"/>
          <w:szCs w:val="24"/>
          <w:lang w:val="en-US"/>
        </w:rPr>
        <w:t xml:space="preserv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1659).</w:t>
      </w:r>
    </w:p>
    <w:bookmarkStart w:id="194" w:name="Fn_56_13"/>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"refFn_56_13"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[13]</w:t>
      </w:r>
      <w:r w:rsidRPr="00085258">
        <w:rPr>
          <w:rFonts w:ascii="Times New Roman" w:eastAsia="Times New Roman" w:hAnsi="Times New Roman" w:cs="Times New Roman"/>
          <w:sz w:val="24"/>
          <w:szCs w:val="24"/>
        </w:rPr>
        <w:fldChar w:fldCharType="end"/>
      </w:r>
      <w:bookmarkEnd w:id="194"/>
      <w:r w:rsidRPr="00085258">
        <w:rPr>
          <w:rFonts w:ascii="Times New Roman" w:eastAsia="Times New Roman" w:hAnsi="Times New Roman" w:cs="Times New Roman"/>
          <w:sz w:val="24"/>
          <w:szCs w:val="24"/>
          <w:lang w:val="en-US"/>
        </w:rPr>
        <w:t xml:space="preserve"> United States, Court of Military Appeals, </w:t>
      </w:r>
      <w:r w:rsidRPr="00085258">
        <w:rPr>
          <w:rFonts w:ascii="Times New Roman" w:eastAsia="Times New Roman" w:hAnsi="Times New Roman" w:cs="Times New Roman"/>
          <w:i/>
          <w:iCs/>
          <w:sz w:val="24"/>
          <w:szCs w:val="24"/>
          <w:lang w:val="en-US"/>
        </w:rPr>
        <w:t>John Schultz case</w:t>
      </w:r>
      <w:r w:rsidRPr="00085258">
        <w:rPr>
          <w:rFonts w:ascii="Times New Roman" w:eastAsia="Times New Roman" w:hAnsi="Times New Roman" w:cs="Times New Roman"/>
          <w:sz w:val="24"/>
          <w:szCs w:val="24"/>
          <w:lang w:val="en-US"/>
        </w:rPr>
        <w:t xml:space="preserv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1661).</w:t>
      </w:r>
    </w:p>
    <w:bookmarkStart w:id="195" w:name="Fn_56_14"/>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"refFn_56_14"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[14]</w:t>
      </w:r>
      <w:r w:rsidRPr="00085258">
        <w:rPr>
          <w:rFonts w:ascii="Times New Roman" w:eastAsia="Times New Roman" w:hAnsi="Times New Roman" w:cs="Times New Roman"/>
          <w:sz w:val="24"/>
          <w:szCs w:val="24"/>
        </w:rPr>
        <w:fldChar w:fldCharType="end"/>
      </w:r>
      <w:bookmarkEnd w:id="195"/>
      <w:r w:rsidRPr="00085258">
        <w:rPr>
          <w:rFonts w:ascii="Times New Roman" w:eastAsia="Times New Roman" w:hAnsi="Times New Roman" w:cs="Times New Roman"/>
          <w:sz w:val="24"/>
          <w:szCs w:val="24"/>
          <w:lang w:val="en-US"/>
        </w:rPr>
        <w:t xml:space="preserve"> See, e.g., the statements of Germany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1665–1666), Netherlands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1667) and United States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1672–1673).</w:t>
      </w:r>
    </w:p>
    <w:bookmarkStart w:id="196" w:name="Fn_56_15"/>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"refFn_56_15"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[15]</w:t>
      </w:r>
      <w:r w:rsidRPr="00085258">
        <w:rPr>
          <w:rFonts w:ascii="Times New Roman" w:eastAsia="Times New Roman" w:hAnsi="Times New Roman" w:cs="Times New Roman"/>
          <w:sz w:val="24"/>
          <w:szCs w:val="24"/>
        </w:rPr>
        <w:fldChar w:fldCharType="end"/>
      </w:r>
      <w:bookmarkEnd w:id="196"/>
      <w:r w:rsidRPr="00085258">
        <w:rPr>
          <w:rFonts w:ascii="Times New Roman" w:eastAsia="Times New Roman" w:hAnsi="Times New Roman" w:cs="Times New Roman"/>
          <w:sz w:val="24"/>
          <w:szCs w:val="24"/>
          <w:lang w:val="en-US"/>
        </w:rPr>
        <w:t xml:space="preserve"> See, e.g., UN Security Council, Res. 798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1678), Res. 820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1679), Res. 827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1680), Res. 1019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1681) and Res. 1034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1682); UN Security Council, Statement by the President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1685); UN General Assembly, Res. 48/143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1688), Res. 49/196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1689), Res. 50/192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1690), Res. 50/193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1690–1691), Res. 51/114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1692) and Res. 51/115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1690); UN Commission on Human Rights, Res. 1994/72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1694), Res. 1996/71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1695) and Res. 1998/75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1696).</w:t>
      </w:r>
    </w:p>
    <w:bookmarkStart w:id="197" w:name="Fn_56_16"/>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lastRenderedPageBreak/>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"refFn_56_16"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[16]</w:t>
      </w:r>
      <w:r w:rsidRPr="00085258">
        <w:rPr>
          <w:rFonts w:ascii="Times New Roman" w:eastAsia="Times New Roman" w:hAnsi="Times New Roman" w:cs="Times New Roman"/>
          <w:sz w:val="24"/>
          <w:szCs w:val="24"/>
        </w:rPr>
        <w:fldChar w:fldCharType="end"/>
      </w:r>
      <w:bookmarkEnd w:id="197"/>
      <w:r w:rsidRPr="00085258">
        <w:rPr>
          <w:rFonts w:ascii="Times New Roman" w:eastAsia="Times New Roman" w:hAnsi="Times New Roman" w:cs="Times New Roman"/>
          <w:sz w:val="24"/>
          <w:szCs w:val="24"/>
          <w:lang w:val="en-US"/>
        </w:rPr>
        <w:t xml:space="preserve"> See European Parliament, Resolution on the rape of women in the former Yugoslavia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1712); Council of Europe, Committee of Ministers, Declaration on the Rape of Women and Children in the Territory of Former Yugoslavia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1709); Gulf Cooperation Council, Supreme Council, Final Communiqué of the 13th Session (</w:t>
      </w:r>
      <w:r w:rsidRPr="00085258">
        <w:rPr>
          <w:rFonts w:ascii="Times New Roman" w:eastAsia="Times New Roman" w:hAnsi="Times New Roman" w:cs="Times New Roman"/>
          <w:i/>
          <w:iCs/>
          <w:sz w:val="24"/>
          <w:szCs w:val="24"/>
          <w:lang w:val="en-US"/>
        </w:rPr>
        <w:t xml:space="preserve"> ibid.</w:t>
      </w:r>
      <w:r w:rsidRPr="00085258">
        <w:rPr>
          <w:rFonts w:ascii="Times New Roman" w:eastAsia="Times New Roman" w:hAnsi="Times New Roman" w:cs="Times New Roman"/>
          <w:sz w:val="24"/>
          <w:szCs w:val="24"/>
          <w:lang w:val="en-US"/>
        </w:rPr>
        <w:t>, § 1715).</w:t>
      </w:r>
    </w:p>
    <w:bookmarkStart w:id="198" w:name="Fn_56_17"/>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"refFn_56_17"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[17]</w:t>
      </w:r>
      <w:r w:rsidRPr="00085258">
        <w:rPr>
          <w:rFonts w:ascii="Times New Roman" w:eastAsia="Times New Roman" w:hAnsi="Times New Roman" w:cs="Times New Roman"/>
          <w:sz w:val="24"/>
          <w:szCs w:val="24"/>
        </w:rPr>
        <w:fldChar w:fldCharType="end"/>
      </w:r>
      <w:bookmarkEnd w:id="198"/>
      <w:r w:rsidRPr="00085258">
        <w:rPr>
          <w:rFonts w:ascii="Times New Roman" w:eastAsia="Times New Roman" w:hAnsi="Times New Roman" w:cs="Times New Roman"/>
          <w:sz w:val="24"/>
          <w:szCs w:val="24"/>
          <w:lang w:val="en-US"/>
        </w:rPr>
        <w:t xml:space="preserve"> Yugoslavia, Statement before the Committee on the Elimination of Discrimination Against Women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1677).</w:t>
      </w:r>
    </w:p>
    <w:bookmarkStart w:id="199" w:name="Fn_56_18"/>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"refFn_56_18"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[18]</w:t>
      </w:r>
      <w:r w:rsidRPr="00085258">
        <w:rPr>
          <w:rFonts w:ascii="Times New Roman" w:eastAsia="Times New Roman" w:hAnsi="Times New Roman" w:cs="Times New Roman"/>
          <w:sz w:val="24"/>
          <w:szCs w:val="24"/>
        </w:rPr>
        <w:fldChar w:fldCharType="end"/>
      </w:r>
      <w:bookmarkEnd w:id="199"/>
      <w:r w:rsidRPr="00085258">
        <w:rPr>
          <w:rFonts w:ascii="Times New Roman" w:eastAsia="Times New Roman" w:hAnsi="Times New Roman" w:cs="Times New Roman"/>
          <w:sz w:val="24"/>
          <w:szCs w:val="24"/>
          <w:lang w:val="en-US"/>
        </w:rPr>
        <w:t xml:space="preserve"> See, e.g., European Court of Human Rights, </w:t>
      </w:r>
      <w:r w:rsidRPr="00085258">
        <w:rPr>
          <w:rFonts w:ascii="Times New Roman" w:eastAsia="Times New Roman" w:hAnsi="Times New Roman" w:cs="Times New Roman"/>
          <w:i/>
          <w:iCs/>
          <w:sz w:val="24"/>
          <w:szCs w:val="24"/>
          <w:lang w:val="en-US"/>
        </w:rPr>
        <w:t>Aydin v. Turkey</w:t>
      </w:r>
      <w:r w:rsidRPr="00085258">
        <w:rPr>
          <w:rFonts w:ascii="Times New Roman" w:eastAsia="Times New Roman" w:hAnsi="Times New Roman" w:cs="Times New Roman"/>
          <w:sz w:val="24"/>
          <w:szCs w:val="24"/>
          <w:lang w:val="en-US"/>
        </w:rPr>
        <w:t xml:space="preserv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xml:space="preserve">, § 1741); Inter-American Commission on Human Rights, </w:t>
      </w:r>
      <w:r w:rsidRPr="00085258">
        <w:rPr>
          <w:rFonts w:ascii="Times New Roman" w:eastAsia="Times New Roman" w:hAnsi="Times New Roman" w:cs="Times New Roman"/>
          <w:i/>
          <w:iCs/>
          <w:sz w:val="24"/>
          <w:szCs w:val="24"/>
          <w:lang w:val="en-US"/>
        </w:rPr>
        <w:t>Case 10.970 (Peru)</w:t>
      </w:r>
      <w:r w:rsidRPr="00085258">
        <w:rPr>
          <w:rFonts w:ascii="Times New Roman" w:eastAsia="Times New Roman" w:hAnsi="Times New Roman" w:cs="Times New Roman"/>
          <w:sz w:val="24"/>
          <w:szCs w:val="24"/>
          <w:lang w:val="en-US"/>
        </w:rPr>
        <w:t xml:space="preserv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1743).</w:t>
      </w:r>
    </w:p>
    <w:bookmarkStart w:id="200" w:name="Fn_56_19"/>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"refFn_56_19"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[19]</w:t>
      </w:r>
      <w:r w:rsidRPr="00085258">
        <w:rPr>
          <w:rFonts w:ascii="Times New Roman" w:eastAsia="Times New Roman" w:hAnsi="Times New Roman" w:cs="Times New Roman"/>
          <w:sz w:val="24"/>
          <w:szCs w:val="24"/>
        </w:rPr>
        <w:fldChar w:fldCharType="end"/>
      </w:r>
      <w:bookmarkEnd w:id="200"/>
      <w:r w:rsidRPr="00085258">
        <w:rPr>
          <w:rFonts w:ascii="Times New Roman" w:eastAsia="Times New Roman" w:hAnsi="Times New Roman" w:cs="Times New Roman"/>
          <w:sz w:val="24"/>
          <w:szCs w:val="24"/>
          <w:lang w:val="en-US"/>
        </w:rPr>
        <w:t xml:space="preserve"> European Court of Human Rights, </w:t>
      </w:r>
      <w:r w:rsidRPr="00085258">
        <w:rPr>
          <w:rFonts w:ascii="Times New Roman" w:eastAsia="Times New Roman" w:hAnsi="Times New Roman" w:cs="Times New Roman"/>
          <w:i/>
          <w:iCs/>
          <w:sz w:val="24"/>
          <w:szCs w:val="24"/>
          <w:lang w:val="en-US"/>
        </w:rPr>
        <w:t>Valasinas v. Lithuania</w:t>
      </w:r>
      <w:r w:rsidRPr="00085258">
        <w:rPr>
          <w:rFonts w:ascii="Times New Roman" w:eastAsia="Times New Roman" w:hAnsi="Times New Roman" w:cs="Times New Roman"/>
          <w:sz w:val="24"/>
          <w:szCs w:val="24"/>
          <w:lang w:val="en-US"/>
        </w:rPr>
        <w:t xml:space="preserv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1742).</w:t>
      </w:r>
    </w:p>
    <w:bookmarkStart w:id="201" w:name="Fn_56_20"/>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"refFn_56_20"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[20]</w:t>
      </w:r>
      <w:r w:rsidRPr="00085258">
        <w:rPr>
          <w:rFonts w:ascii="Times New Roman" w:eastAsia="Times New Roman" w:hAnsi="Times New Roman" w:cs="Times New Roman"/>
          <w:sz w:val="24"/>
          <w:szCs w:val="24"/>
        </w:rPr>
        <w:fldChar w:fldCharType="end"/>
      </w:r>
      <w:bookmarkEnd w:id="201"/>
      <w:r w:rsidRPr="00085258">
        <w:rPr>
          <w:rFonts w:ascii="Times New Roman" w:eastAsia="Times New Roman" w:hAnsi="Times New Roman" w:cs="Times New Roman"/>
          <w:sz w:val="24"/>
          <w:szCs w:val="24"/>
          <w:lang w:val="en-US"/>
        </w:rPr>
        <w:t xml:space="preserve"> Committee on the Elimination of Discrimination Against Women, General Recommendation 19 (Violence against Women)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1735).</w:t>
      </w:r>
    </w:p>
    <w:bookmarkStart w:id="202" w:name="Fn_56_21"/>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"refFn_56_21"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[21]</w:t>
      </w:r>
      <w:r w:rsidRPr="00085258">
        <w:rPr>
          <w:rFonts w:ascii="Times New Roman" w:eastAsia="Times New Roman" w:hAnsi="Times New Roman" w:cs="Times New Roman"/>
          <w:sz w:val="24"/>
          <w:szCs w:val="24"/>
        </w:rPr>
        <w:fldChar w:fldCharType="end"/>
      </w:r>
      <w:bookmarkEnd w:id="202"/>
      <w:r w:rsidRPr="00085258">
        <w:rPr>
          <w:rFonts w:ascii="Times New Roman" w:eastAsia="Times New Roman" w:hAnsi="Times New Roman" w:cs="Times New Roman"/>
          <w:sz w:val="24"/>
          <w:szCs w:val="24"/>
          <w:lang w:val="en-US"/>
        </w:rPr>
        <w:t xml:space="preserve"> See, e.g., Convention for the Suppression of the Traffic in Persons and of the Exploitation of the Prostitution of Others, Article 1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1557); Protocol on Trafficking in Persons, Article 1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1567); SAARC Convention on Preventing and Combating Trafficking in Women and Children for Prostitution (not yet in force), Article 3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1568); UN High Commissioner for Human Rights, Recommended Principles and Guidelines on Human Rights and Human Trafficking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1707–1708); ECOWAS, Declaration on the Fight against Trafficking in Persons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1714); OAS Inter-American Commission of Women, Res. CIM/RES 225 (XXXI-0/02)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1716).</w:t>
      </w:r>
    </w:p>
    <w:bookmarkStart w:id="203" w:name="Fn_56_22"/>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"refFn_56_22"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[22]</w:t>
      </w:r>
      <w:r w:rsidRPr="00085258">
        <w:rPr>
          <w:rFonts w:ascii="Times New Roman" w:eastAsia="Times New Roman" w:hAnsi="Times New Roman" w:cs="Times New Roman"/>
          <w:sz w:val="24"/>
          <w:szCs w:val="24"/>
        </w:rPr>
        <w:fldChar w:fldCharType="end"/>
      </w:r>
      <w:bookmarkEnd w:id="203"/>
      <w:r w:rsidRPr="00085258">
        <w:rPr>
          <w:rFonts w:ascii="Times New Roman" w:eastAsia="Times New Roman" w:hAnsi="Times New Roman" w:cs="Times New Roman"/>
          <w:sz w:val="24"/>
          <w:szCs w:val="24"/>
          <w:lang w:val="en-US"/>
        </w:rPr>
        <w:t xml:space="preserve"> See, e.g., UN General Assembly, Res. 48/104 proclaiming the UN Declaration on the Elimination of Violence against Women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1687); Committee on the Elimination of Discrimination Against Women, General Recommendation No. 19 (Violence against Women)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xml:space="preserve">, § 1735); European Court of Human Rights, </w:t>
      </w:r>
      <w:r w:rsidRPr="00085258">
        <w:rPr>
          <w:rFonts w:ascii="Times New Roman" w:eastAsia="Times New Roman" w:hAnsi="Times New Roman" w:cs="Times New Roman"/>
          <w:i/>
          <w:iCs/>
          <w:sz w:val="24"/>
          <w:szCs w:val="24"/>
          <w:lang w:val="en-US"/>
        </w:rPr>
        <w:t>S. W. v. UK</w:t>
      </w:r>
      <w:r w:rsidRPr="00085258">
        <w:rPr>
          <w:rFonts w:ascii="Times New Roman" w:eastAsia="Times New Roman" w:hAnsi="Times New Roman" w:cs="Times New Roman"/>
          <w:sz w:val="24"/>
          <w:szCs w:val="24"/>
          <w:lang w:val="en-US"/>
        </w:rPr>
        <w:t xml:space="preserve">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1740).</w:t>
      </w:r>
    </w:p>
    <w:bookmarkStart w:id="204" w:name="Fn_56_23"/>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"refFn_56_23"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[23]</w:t>
      </w:r>
      <w:r w:rsidRPr="00085258">
        <w:rPr>
          <w:rFonts w:ascii="Times New Roman" w:eastAsia="Times New Roman" w:hAnsi="Times New Roman" w:cs="Times New Roman"/>
          <w:sz w:val="24"/>
          <w:szCs w:val="24"/>
        </w:rPr>
        <w:fldChar w:fldCharType="end"/>
      </w:r>
      <w:bookmarkEnd w:id="204"/>
      <w:r w:rsidRPr="00085258">
        <w:rPr>
          <w:rFonts w:ascii="Times New Roman" w:eastAsia="Times New Roman" w:hAnsi="Times New Roman" w:cs="Times New Roman"/>
          <w:sz w:val="24"/>
          <w:szCs w:val="24"/>
          <w:lang w:val="en-US"/>
        </w:rPr>
        <w:t xml:space="preserve"> For example, when a Pakistani tribal council ordered the rape of a girl as a punishment, widespread outrage resulted in the Chief Justice of Pakistan ordering the prosecution of the persons concerned and resulting in conviction and a severe punishment. See news.bbc.co.uk/1/world/south_asia/2089624.stm, 3 July 2002 and the official reply of Pakistan dated 7 January 2003 to the letter of the International Commission of Jurists protesting this event and pointing out the government’s international responsibility (on file with the authors); see also Committee on the Elimination of Discrimination Against Women, General Recommendation 19 (Violence against Women), 29 January 1992, § 8. </w:t>
      </w:r>
    </w:p>
    <w:bookmarkStart w:id="205" w:name="Fn_56_24"/>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"refFn_56_24"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[24]</w:t>
      </w:r>
      <w:r w:rsidRPr="00085258">
        <w:rPr>
          <w:rFonts w:ascii="Times New Roman" w:eastAsia="Times New Roman" w:hAnsi="Times New Roman" w:cs="Times New Roman"/>
          <w:sz w:val="24"/>
          <w:szCs w:val="24"/>
        </w:rPr>
        <w:fldChar w:fldCharType="end"/>
      </w:r>
      <w:bookmarkEnd w:id="205"/>
      <w:r w:rsidRPr="00085258">
        <w:rPr>
          <w:rFonts w:ascii="Times New Roman" w:eastAsia="Times New Roman" w:hAnsi="Times New Roman" w:cs="Times New Roman"/>
          <w:sz w:val="24"/>
          <w:szCs w:val="24"/>
          <w:lang w:val="en-US"/>
        </w:rPr>
        <w:t xml:space="preserve"> ICTY, </w:t>
      </w:r>
      <w:r w:rsidRPr="00085258">
        <w:rPr>
          <w:rFonts w:ascii="Times New Roman" w:eastAsia="Times New Roman" w:hAnsi="Times New Roman" w:cs="Times New Roman"/>
          <w:i/>
          <w:iCs/>
          <w:sz w:val="24"/>
          <w:szCs w:val="24"/>
          <w:lang w:val="en-US"/>
        </w:rPr>
        <w:t>Furundžija case</w:t>
      </w:r>
      <w:r w:rsidRPr="00085258">
        <w:rPr>
          <w:rFonts w:ascii="Times New Roman" w:eastAsia="Times New Roman" w:hAnsi="Times New Roman" w:cs="Times New Roman"/>
          <w:sz w:val="24"/>
          <w:szCs w:val="24"/>
          <w:lang w:val="en-US"/>
        </w:rPr>
        <w:t>, Judgment (cited in Vol. II, Ch. 32, § 1732).</w:t>
      </w:r>
    </w:p>
    <w:bookmarkStart w:id="206" w:name="Fn_56_25"/>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"refFn_56_25"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[25]</w:t>
      </w:r>
      <w:r w:rsidRPr="00085258">
        <w:rPr>
          <w:rFonts w:ascii="Times New Roman" w:eastAsia="Times New Roman" w:hAnsi="Times New Roman" w:cs="Times New Roman"/>
          <w:sz w:val="24"/>
          <w:szCs w:val="24"/>
        </w:rPr>
        <w:fldChar w:fldCharType="end"/>
      </w:r>
      <w:bookmarkEnd w:id="206"/>
      <w:r w:rsidRPr="00085258">
        <w:rPr>
          <w:rFonts w:ascii="Times New Roman" w:eastAsia="Times New Roman" w:hAnsi="Times New Roman" w:cs="Times New Roman"/>
          <w:sz w:val="24"/>
          <w:szCs w:val="24"/>
          <w:lang w:val="en-US"/>
        </w:rPr>
        <w:t xml:space="preserve"> ICTY, </w:t>
      </w:r>
      <w:r w:rsidRPr="00085258">
        <w:rPr>
          <w:rFonts w:ascii="Times New Roman" w:eastAsia="Times New Roman" w:hAnsi="Times New Roman" w:cs="Times New Roman"/>
          <w:i/>
          <w:iCs/>
          <w:sz w:val="24"/>
          <w:szCs w:val="24"/>
          <w:lang w:val="en-US"/>
        </w:rPr>
        <w:t>Kunarac case</w:t>
      </w:r>
      <w:r w:rsidRPr="00085258">
        <w:rPr>
          <w:rFonts w:ascii="Times New Roman" w:eastAsia="Times New Roman" w:hAnsi="Times New Roman" w:cs="Times New Roman"/>
          <w:sz w:val="24"/>
          <w:szCs w:val="24"/>
          <w:lang w:val="en-US"/>
        </w:rPr>
        <w:t>, Judgment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1734).</w:t>
      </w:r>
    </w:p>
    <w:bookmarkStart w:id="207" w:name="Fn_56_26"/>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"refFn_56_26"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[26]</w:t>
      </w:r>
      <w:r w:rsidRPr="00085258">
        <w:rPr>
          <w:rFonts w:ascii="Times New Roman" w:eastAsia="Times New Roman" w:hAnsi="Times New Roman" w:cs="Times New Roman"/>
          <w:sz w:val="24"/>
          <w:szCs w:val="24"/>
        </w:rPr>
        <w:fldChar w:fldCharType="end"/>
      </w:r>
      <w:bookmarkEnd w:id="207"/>
      <w:r w:rsidRPr="00085258">
        <w:rPr>
          <w:rFonts w:ascii="Times New Roman" w:eastAsia="Times New Roman" w:hAnsi="Times New Roman" w:cs="Times New Roman"/>
          <w:sz w:val="24"/>
          <w:szCs w:val="24"/>
          <w:lang w:val="en-US"/>
        </w:rPr>
        <w:t xml:space="preserve"> ICTR, </w:t>
      </w:r>
      <w:r w:rsidRPr="00085258">
        <w:rPr>
          <w:rFonts w:ascii="Times New Roman" w:eastAsia="Times New Roman" w:hAnsi="Times New Roman" w:cs="Times New Roman"/>
          <w:i/>
          <w:iCs/>
          <w:sz w:val="24"/>
          <w:szCs w:val="24"/>
          <w:lang w:val="en-US"/>
        </w:rPr>
        <w:t>Akayesu case</w:t>
      </w:r>
      <w:r w:rsidRPr="00085258">
        <w:rPr>
          <w:rFonts w:ascii="Times New Roman" w:eastAsia="Times New Roman" w:hAnsi="Times New Roman" w:cs="Times New Roman"/>
          <w:sz w:val="24"/>
          <w:szCs w:val="24"/>
          <w:lang w:val="en-US"/>
        </w:rPr>
        <w:t>, Judgment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1726).</w:t>
      </w:r>
    </w:p>
    <w:bookmarkStart w:id="208" w:name="Fn_56_27"/>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"refFn_56_27"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[27]</w:t>
      </w:r>
      <w:r w:rsidRPr="00085258">
        <w:rPr>
          <w:rFonts w:ascii="Times New Roman" w:eastAsia="Times New Roman" w:hAnsi="Times New Roman" w:cs="Times New Roman"/>
          <w:sz w:val="24"/>
          <w:szCs w:val="24"/>
        </w:rPr>
        <w:fldChar w:fldCharType="end"/>
      </w:r>
      <w:bookmarkEnd w:id="208"/>
      <w:r w:rsidRPr="00085258">
        <w:rPr>
          <w:rFonts w:ascii="Times New Roman" w:eastAsia="Times New Roman" w:hAnsi="Times New Roman" w:cs="Times New Roman"/>
          <w:sz w:val="24"/>
          <w:szCs w:val="24"/>
          <w:lang w:val="en-US"/>
        </w:rPr>
        <w:t xml:space="preserve"> ICTY, </w:t>
      </w:r>
      <w:r w:rsidRPr="00085258">
        <w:rPr>
          <w:rFonts w:ascii="Times New Roman" w:eastAsia="Times New Roman" w:hAnsi="Times New Roman" w:cs="Times New Roman"/>
          <w:i/>
          <w:iCs/>
          <w:sz w:val="24"/>
          <w:szCs w:val="24"/>
          <w:lang w:val="en-US"/>
        </w:rPr>
        <w:t>Delalić case</w:t>
      </w:r>
      <w:r w:rsidRPr="00085258">
        <w:rPr>
          <w:rFonts w:ascii="Times New Roman" w:eastAsia="Times New Roman" w:hAnsi="Times New Roman" w:cs="Times New Roman"/>
          <w:sz w:val="24"/>
          <w:szCs w:val="24"/>
          <w:lang w:val="en-US"/>
        </w:rPr>
        <w:t>, Judgment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1731).</w:t>
      </w:r>
    </w:p>
    <w:bookmarkStart w:id="209" w:name="Fn_56_28"/>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"refFn_56_28"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[28]</w:t>
      </w:r>
      <w:r w:rsidRPr="00085258">
        <w:rPr>
          <w:rFonts w:ascii="Times New Roman" w:eastAsia="Times New Roman" w:hAnsi="Times New Roman" w:cs="Times New Roman"/>
          <w:sz w:val="24"/>
          <w:szCs w:val="24"/>
        </w:rPr>
        <w:fldChar w:fldCharType="end"/>
      </w:r>
      <w:bookmarkEnd w:id="209"/>
      <w:r w:rsidRPr="00085258">
        <w:rPr>
          <w:rFonts w:ascii="Times New Roman" w:eastAsia="Times New Roman" w:hAnsi="Times New Roman" w:cs="Times New Roman"/>
          <w:sz w:val="24"/>
          <w:szCs w:val="24"/>
          <w:lang w:val="en-US"/>
        </w:rPr>
        <w:t xml:space="preserve"> ICTR, </w:t>
      </w:r>
      <w:r w:rsidRPr="00085258">
        <w:rPr>
          <w:rFonts w:ascii="Times New Roman" w:eastAsia="Times New Roman" w:hAnsi="Times New Roman" w:cs="Times New Roman"/>
          <w:i/>
          <w:iCs/>
          <w:sz w:val="24"/>
          <w:szCs w:val="24"/>
          <w:lang w:val="en-US"/>
        </w:rPr>
        <w:t>Akayesu case</w:t>
      </w:r>
      <w:r w:rsidRPr="00085258">
        <w:rPr>
          <w:rFonts w:ascii="Times New Roman" w:eastAsia="Times New Roman" w:hAnsi="Times New Roman" w:cs="Times New Roman"/>
          <w:sz w:val="24"/>
          <w:szCs w:val="24"/>
          <w:lang w:val="en-US"/>
        </w:rPr>
        <w:t>, Judgment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xml:space="preserve">, § 1726) and </w:t>
      </w:r>
      <w:r w:rsidRPr="00085258">
        <w:rPr>
          <w:rFonts w:ascii="Times New Roman" w:eastAsia="Times New Roman" w:hAnsi="Times New Roman" w:cs="Times New Roman"/>
          <w:i/>
          <w:iCs/>
          <w:sz w:val="24"/>
          <w:szCs w:val="24"/>
          <w:lang w:val="en-US"/>
        </w:rPr>
        <w:t>Musema case</w:t>
      </w:r>
      <w:r w:rsidRPr="00085258">
        <w:rPr>
          <w:rFonts w:ascii="Times New Roman" w:eastAsia="Times New Roman" w:hAnsi="Times New Roman" w:cs="Times New Roman"/>
          <w:sz w:val="24"/>
          <w:szCs w:val="24"/>
          <w:lang w:val="en-US"/>
        </w:rPr>
        <w:t>, Judgment (</w:t>
      </w:r>
      <w:r w:rsidRPr="00085258">
        <w:rPr>
          <w:rFonts w:ascii="Times New Roman" w:eastAsia="Times New Roman" w:hAnsi="Times New Roman" w:cs="Times New Roman"/>
          <w:i/>
          <w:iCs/>
          <w:sz w:val="24"/>
          <w:szCs w:val="24"/>
          <w:lang w:val="en-US"/>
        </w:rPr>
        <w:t>ibid.</w:t>
      </w:r>
      <w:r w:rsidRPr="00085258">
        <w:rPr>
          <w:rFonts w:ascii="Times New Roman" w:eastAsia="Times New Roman" w:hAnsi="Times New Roman" w:cs="Times New Roman"/>
          <w:sz w:val="24"/>
          <w:szCs w:val="24"/>
          <w:lang w:val="en-US"/>
        </w:rPr>
        <w:t>, § 1728).</w:t>
      </w:r>
    </w:p>
    <w:bookmarkStart w:id="210" w:name="Fn_56_29"/>
    <w:p w:rsidR="00085258" w:rsidRPr="00085258" w:rsidRDefault="00085258" w:rsidP="00085258">
      <w:pPr>
        <w:spacing w:after="0" w:line="240" w:lineRule="auto"/>
        <w:rPr>
          <w:rFonts w:ascii="Times New Roman" w:eastAsia="Times New Roman" w:hAnsi="Times New Roman" w:cs="Times New Roman"/>
          <w:sz w:val="24"/>
          <w:szCs w:val="24"/>
          <w:lang w:val="en-US"/>
        </w:rPr>
      </w:pPr>
      <w:r w:rsidRPr="00085258">
        <w:rPr>
          <w:rFonts w:ascii="Times New Roman" w:eastAsia="Times New Roman" w:hAnsi="Times New Roman" w:cs="Times New Roman"/>
          <w:sz w:val="24"/>
          <w:szCs w:val="24"/>
        </w:rPr>
        <w:fldChar w:fldCharType="begin"/>
      </w:r>
      <w:r w:rsidRPr="00085258">
        <w:rPr>
          <w:rFonts w:ascii="Times New Roman" w:eastAsia="Times New Roman" w:hAnsi="Times New Roman" w:cs="Times New Roman"/>
          <w:sz w:val="24"/>
          <w:szCs w:val="24"/>
          <w:lang w:val="en-US"/>
        </w:rPr>
        <w:instrText xml:space="preserve"> HYPERLINK "https://ihl-databases.icrc.org/customary-ihl/eng/docs/v1_rul_rule93" \l "refFn_56_29" </w:instrText>
      </w:r>
      <w:r w:rsidRPr="00085258">
        <w:rPr>
          <w:rFonts w:ascii="Times New Roman" w:eastAsia="Times New Roman" w:hAnsi="Times New Roman" w:cs="Times New Roman"/>
          <w:sz w:val="24"/>
          <w:szCs w:val="24"/>
        </w:rPr>
        <w:fldChar w:fldCharType="separate"/>
      </w:r>
      <w:r w:rsidRPr="00085258">
        <w:rPr>
          <w:rFonts w:ascii="Times New Roman" w:eastAsia="Times New Roman" w:hAnsi="Times New Roman" w:cs="Times New Roman"/>
          <w:color w:val="0000FF"/>
          <w:sz w:val="24"/>
          <w:szCs w:val="24"/>
          <w:u w:val="single"/>
          <w:lang w:val="en-US"/>
        </w:rPr>
        <w:t>[29]</w:t>
      </w:r>
      <w:r w:rsidRPr="00085258">
        <w:rPr>
          <w:rFonts w:ascii="Times New Roman" w:eastAsia="Times New Roman" w:hAnsi="Times New Roman" w:cs="Times New Roman"/>
          <w:sz w:val="24"/>
          <w:szCs w:val="24"/>
        </w:rPr>
        <w:fldChar w:fldCharType="end"/>
      </w:r>
      <w:bookmarkEnd w:id="210"/>
      <w:r w:rsidRPr="00085258">
        <w:rPr>
          <w:rFonts w:ascii="Times New Roman" w:eastAsia="Times New Roman" w:hAnsi="Times New Roman" w:cs="Times New Roman"/>
          <w:sz w:val="24"/>
          <w:szCs w:val="24"/>
          <w:lang w:val="en-US"/>
        </w:rPr>
        <w:t xml:space="preserve"> Elements of Crimes for the ICC, Definition of rape as a war crime (Footnote 50 relating to Article 8(2)(b)(xxii) and Footnote 62 relating to Article 8(2)(e)(vi) of the ICC Statute).</w:t>
      </w:r>
    </w:p>
    <w:p w:rsidR="007308BA" w:rsidRPr="00530144" w:rsidRDefault="007308BA" w:rsidP="007308BA">
      <w:pPr>
        <w:rPr>
          <w:b/>
          <w:sz w:val="28"/>
          <w:szCs w:val="28"/>
          <w:lang w:val="en-US"/>
        </w:rPr>
      </w:pPr>
    </w:p>
    <w:p w:rsidR="00A52B0A" w:rsidRDefault="00A52B0A">
      <w:pPr>
        <w:rPr>
          <w:lang w:val="en-US"/>
        </w:rPr>
      </w:pP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Practice Relating to Rule 93. Rape and Other Forms of Sexual Violence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Quick navigation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7" w:history="1">
        <w:r w:rsidRPr="00E848A7">
          <w:rPr>
            <w:rFonts w:ascii="Times New Roman" w:eastAsia="Times New Roman" w:hAnsi="Times New Roman" w:cs="Times New Roman"/>
            <w:color w:val="0000FF"/>
            <w:sz w:val="24"/>
            <w:szCs w:val="24"/>
            <w:u w:val="single"/>
            <w:lang w:val="en-US"/>
          </w:rPr>
          <w:t>I. Treaties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Geneva Conventions (1949)</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Common Article 3(1)(c) of the 1949 Geneva Conventions provides that “outrages upon personal dignity” are prohibited at any time and in any place whatsoever with respect to persons </w:t>
      </w:r>
      <w:r w:rsidRPr="00E848A7">
        <w:rPr>
          <w:rFonts w:ascii="Times New Roman" w:eastAsia="Times New Roman" w:hAnsi="Times New Roman" w:cs="Times New Roman"/>
          <w:i/>
          <w:iCs/>
          <w:sz w:val="24"/>
          <w:szCs w:val="24"/>
          <w:lang w:val="en-US"/>
        </w:rPr>
        <w:t>hors de combat</w:t>
      </w:r>
      <w:r w:rsidRPr="00E848A7">
        <w:rPr>
          <w:rFonts w:ascii="Times New Roman" w:eastAsia="Times New Roman" w:hAnsi="Times New Roman" w:cs="Times New Roman"/>
          <w:sz w:val="24"/>
          <w:szCs w:val="24"/>
          <w:lang w:val="en-US"/>
        </w:rPr>
        <w:t>.</w:t>
      </w:r>
      <w:r>
        <w:rPr>
          <w:rFonts w:ascii="Times New Roman" w:eastAsia="Times New Roman" w:hAnsi="Times New Roman" w:cs="Times New Roman"/>
          <w:noProof/>
          <w:sz w:val="24"/>
          <w:szCs w:val="24"/>
        </w:rPr>
        <w:drawing>
          <wp:inline distT="0" distB="0" distL="0" distR="0">
            <wp:extent cx="151130" cy="142875"/>
            <wp:effectExtent l="19050" t="0" r="1270" b="0"/>
            <wp:docPr id="1143" name="Imagen 11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Geneva Convention IV</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27, second paragraph, of the 1949 Geneva Convention IV provides: “Women shall be especially protected against any attack on their honour, in particular against rape, enforced prostitution, or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44" name="Imagen 11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Convention for the Suppression of the Traffic in Persons and of the Exploitation of the Prostitution of Others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1 of the 1949 Convention for the Suppression of the Traffic in Persons and of the Exploitation of the Prostitution of Others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 Parties to the present Convention agree to punish any person who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Procures, entices or leads away, for purposes of prostitution, another person, even with the consent of that person;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Exploits the prostitution of another person, even with the consent of that person.</w:t>
      </w:r>
      <w:r>
        <w:rPr>
          <w:rFonts w:ascii="Times New Roman" w:eastAsia="Times New Roman" w:hAnsi="Times New Roman" w:cs="Times New Roman"/>
          <w:noProof/>
          <w:sz w:val="24"/>
          <w:szCs w:val="24"/>
        </w:rPr>
        <w:drawing>
          <wp:inline distT="0" distB="0" distL="0" distR="0">
            <wp:extent cx="151130" cy="142875"/>
            <wp:effectExtent l="19050" t="0" r="1270" b="0"/>
            <wp:docPr id="1145" name="Imagen 11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Additional Protocol 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75(2)(b) of the 1977 Additional Protocol I provides that “enforced prostitution and any form of indecent assault” shall remain prohibited at any time and in any place whatsoever.</w:t>
      </w:r>
      <w:r>
        <w:rPr>
          <w:rFonts w:ascii="Times New Roman" w:eastAsia="Times New Roman" w:hAnsi="Times New Roman" w:cs="Times New Roman"/>
          <w:noProof/>
          <w:sz w:val="24"/>
          <w:szCs w:val="24"/>
        </w:rPr>
        <w:drawing>
          <wp:inline distT="0" distB="0" distL="0" distR="0">
            <wp:extent cx="151130" cy="142875"/>
            <wp:effectExtent l="19050" t="0" r="1270" b="0"/>
            <wp:docPr id="1146" name="Imagen 11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Article 76(1) of the 1977 Additional Protocol I provides that women “shall be protected in particular against rape, forced prostitution and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47" name="Imagen 11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Article 77(1) of the 1977 Additional Protocol I provides that children “shall be protected against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48" name="Imagen 11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Additional Protocol II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4(2)(e) of the 1977 Additional Protocol II provides that “enforced prostitution and any form of indecent assault” shall remain prohibited at any time and in any place whatsoever.</w:t>
      </w:r>
      <w:r>
        <w:rPr>
          <w:rFonts w:ascii="Times New Roman" w:eastAsia="Times New Roman" w:hAnsi="Times New Roman" w:cs="Times New Roman"/>
          <w:noProof/>
          <w:sz w:val="24"/>
          <w:szCs w:val="24"/>
        </w:rPr>
        <w:drawing>
          <wp:inline distT="0" distB="0" distL="0" distR="0">
            <wp:extent cx="151130" cy="142875"/>
            <wp:effectExtent l="19050" t="0" r="1270" b="0"/>
            <wp:docPr id="1149" name="Imagen 11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African Charter on the Rights and Welfare of the Child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27 of the 1990 African Charter on the Rights and Welfare of the Child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States Parties to the present Charter shall undertake to protect the child from all forms of sexual exploitation and sexual abuse and shall in particular take measures to prevent: (a) the inducement, coercion or encouragement of a child to engage in any sexual activity; (b) the use of children in prostitution or other sexual practices; (c) the use of children in pornographic activities, performances and materials.</w:t>
      </w:r>
      <w:r>
        <w:rPr>
          <w:rFonts w:ascii="Times New Roman" w:eastAsia="Times New Roman" w:hAnsi="Times New Roman" w:cs="Times New Roman"/>
          <w:noProof/>
          <w:sz w:val="24"/>
          <w:szCs w:val="24"/>
        </w:rPr>
        <w:drawing>
          <wp:inline distT="0" distB="0" distL="0" distR="0">
            <wp:extent cx="151130" cy="142875"/>
            <wp:effectExtent l="19050" t="0" r="1270" b="0"/>
            <wp:docPr id="1150" name="Imagen 11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ICC Statute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Pursuant to Article 6(d) of the 1998 ICC Statute, “[i]mposing measures intended to prevent births within the group” constitutes genocide when “committed with intent to destroy, in whole or in part, a national, ethnical, racial or religious group”.</w:t>
      </w:r>
      <w:r>
        <w:rPr>
          <w:rFonts w:ascii="Times New Roman" w:eastAsia="Times New Roman" w:hAnsi="Times New Roman" w:cs="Times New Roman"/>
          <w:noProof/>
          <w:sz w:val="24"/>
          <w:szCs w:val="24"/>
        </w:rPr>
        <w:drawing>
          <wp:inline distT="0" distB="0" distL="0" distR="0">
            <wp:extent cx="151130" cy="142875"/>
            <wp:effectExtent l="19050" t="0" r="1270" b="0"/>
            <wp:docPr id="1151" name="Imagen 11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Pursuant to Article 7(1)(g) of the 1998 ICC Statute, “[r]ape, sexual slavery, enforced prostitution, forced pregnancy, enforced sterilization, or any other form of sexual violence of comparable gravity” constitutes a crime against humanity “when committed as part of a widespread or systematic attack directed against any civilian population, with knowledge of the attack”.</w:t>
      </w:r>
      <w:r>
        <w:rPr>
          <w:rFonts w:ascii="Times New Roman" w:eastAsia="Times New Roman" w:hAnsi="Times New Roman" w:cs="Times New Roman"/>
          <w:noProof/>
          <w:sz w:val="24"/>
          <w:szCs w:val="24"/>
        </w:rPr>
        <w:drawing>
          <wp:inline distT="0" distB="0" distL="0" distR="0">
            <wp:extent cx="151130" cy="142875"/>
            <wp:effectExtent l="19050" t="0" r="1270" b="0"/>
            <wp:docPr id="1152" name="Imagen 11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Pursuant to Article 8(2)(b)(xxii) and (e)(vi) of the 1998 ICC Statute, “[c]ommitting rape, sexual slavery, enforced prostitution, forced pregnancy … enforced sterilization, or any other form of sexual violence” constitutes a war crime in both international and non-international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1153" name="Imagen 11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 xml:space="preserve">Optional Protocol on Child Trade, Prostitution and Pornography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1 of the 2000 Optional Protocol on Child Trade, Prostitution and Pornography provides that the States Parties shall prohibit child prostitution and child pornography.</w:t>
      </w:r>
      <w:r>
        <w:rPr>
          <w:rFonts w:ascii="Times New Roman" w:eastAsia="Times New Roman" w:hAnsi="Times New Roman" w:cs="Times New Roman"/>
          <w:noProof/>
          <w:sz w:val="24"/>
          <w:szCs w:val="24"/>
        </w:rPr>
        <w:drawing>
          <wp:inline distT="0" distB="0" distL="0" distR="0">
            <wp:extent cx="151130" cy="142875"/>
            <wp:effectExtent l="19050" t="0" r="1270" b="0"/>
            <wp:docPr id="1154" name="Imagen 11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Protocol on Trafficking in Persons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1 of the 2000 Protocol on Trafficking in Persons states: “The purposes of this Protocol are … (a) to prevent and combat trafficking in persons, paying particular attention to women and children”. Article 5 of the Protocol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1. Each State Party shall adopt such legislative and other measures as may be necessary to establish as criminal offences the conduct set forth in article 3 of this Protocol [i.e. trafficking in persons], when committed intentionally.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Each State Party shall also adopt such legislative and other measures as may be necessary to establish as criminal offences: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Subject to the basic concepts of its legal system, attempting to commit an offence established in accordance with paragraph 1 of this article;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Participating as an accomplice in an offence established in accordance with paragraph 1 of this article;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Organizing or directing other persons to commit an offence established in accordance with paragraph 1 of this article.</w:t>
      </w:r>
      <w:r>
        <w:rPr>
          <w:rFonts w:ascii="Times New Roman" w:eastAsia="Times New Roman" w:hAnsi="Times New Roman" w:cs="Times New Roman"/>
          <w:noProof/>
          <w:sz w:val="24"/>
          <w:szCs w:val="24"/>
        </w:rPr>
        <w:drawing>
          <wp:inline distT="0" distB="0" distL="0" distR="0">
            <wp:extent cx="151130" cy="142875"/>
            <wp:effectExtent l="19050" t="0" r="1270" b="0"/>
            <wp:docPr id="1155" name="Imagen 11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SAARC Convention on Preventing and Combating Trafficking in Women and Children for Prostitution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3 of the 2002 SAARC Convention on Preventing and Combating Trafficking in Women and Children for Prostitution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1. The State Parties to the Convention shall take effective measures to ensure that trafficking in any form is an offence under their respective criminal law and shall make such an offence punishable by appropriate penalties which take into account its grave nature.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The State Parties to the Convention, in their respective territories, shall provide for punishment of any person who keeps, maintains or manages or knowingly finances or takes part in the financing of a place used for the purpose of trafficking and knowingly lets or rents a building or other place or any part thereof for the purpose of trafficking.</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Any attempt or abetment to commit any crime mentioned in paras 1 and 2 above or their financing shall also be punishable.</w:t>
      </w:r>
      <w:r>
        <w:rPr>
          <w:rFonts w:ascii="Times New Roman" w:eastAsia="Times New Roman" w:hAnsi="Times New Roman" w:cs="Times New Roman"/>
          <w:noProof/>
          <w:sz w:val="24"/>
          <w:szCs w:val="24"/>
        </w:rPr>
        <w:drawing>
          <wp:inline distT="0" distB="0" distL="0" distR="0">
            <wp:extent cx="151130" cy="142875"/>
            <wp:effectExtent l="19050" t="0" r="1270" b="0"/>
            <wp:docPr id="1156" name="Imagen 11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Statute of the Special Court for Sierra Leone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3(e) of the 2002 Statute of the Special Court for Sierra Leone states that “[t]he Special Court shall have the power to prosecute persons who committed or ordered the commission of serious violations of article 3 common to the Geneva Conventions of 12 August 1949 for the Protection of War Victims, and of Additional Protocol II thereto of 8 June 1977”, which include “rape, enforced prostitution and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57" name="Imagen 11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UN-Cambodia Agreement Concerning the Prosecution under Cambodian Law of Crimes Committed During the Period of Democratic Kampuchea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9 of the 2003 UN-Cambodia Agreement Concerning the Prosecution under Cambodian Law of Crimes Committed During the Period of Democratic Kampuchea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The subject-matter jurisdiction of the Extraordinary Chambers shall be the crime of genocide as defined in the 1948 Convention on the Prevention and Punishment of the Crime of Genocide, crimes against humanity as defined in the 1998 Rome Statute of the International Criminal Court and grave breaches of the 1949 Geneva Conventions and </w:t>
      </w:r>
      <w:r w:rsidRPr="00E848A7">
        <w:rPr>
          <w:rFonts w:ascii="Times New Roman" w:eastAsia="Times New Roman" w:hAnsi="Times New Roman" w:cs="Times New Roman"/>
          <w:sz w:val="24"/>
          <w:szCs w:val="24"/>
          <w:lang w:val="en-US"/>
        </w:rPr>
        <w:lastRenderedPageBreak/>
        <w:t>such other crimes as defined in Chapter II of the Law on the Establishment of the Extraordinary Chambers as promulgated on 10 August 2001.</w:t>
      </w:r>
      <w:r>
        <w:rPr>
          <w:rFonts w:ascii="Times New Roman" w:eastAsia="Times New Roman" w:hAnsi="Times New Roman" w:cs="Times New Roman"/>
          <w:noProof/>
          <w:sz w:val="24"/>
          <w:szCs w:val="24"/>
        </w:rPr>
        <w:drawing>
          <wp:inline distT="0" distB="0" distL="0" distR="0">
            <wp:extent cx="151130" cy="142875"/>
            <wp:effectExtent l="19050" t="0" r="1270" b="0"/>
            <wp:docPr id="1158" name="Imagen 11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Kampala Convention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Article 9(1) of the 2009 Kampala Convention states: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State Parties shall protect the rights of internally displaced persons regardless of the cause of displacement by refraining from, and preventing, the following acts, amongst others: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Sexual and gender based violence in all its forms, notably rape, enforced prostitution, sexual exploitation and harmful practices … .</w:t>
      </w:r>
      <w:r>
        <w:rPr>
          <w:rFonts w:ascii="Times New Roman" w:eastAsia="Times New Roman" w:hAnsi="Times New Roman" w:cs="Times New Roman"/>
          <w:noProof/>
          <w:sz w:val="24"/>
          <w:szCs w:val="24"/>
        </w:rPr>
        <w:drawing>
          <wp:inline distT="0" distB="0" distL="0" distR="0">
            <wp:extent cx="151130" cy="142875"/>
            <wp:effectExtent l="19050" t="0" r="1270" b="0"/>
            <wp:docPr id="1159" name="Imagen 11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8" w:history="1">
        <w:r w:rsidRPr="00E848A7">
          <w:rPr>
            <w:rFonts w:ascii="Times New Roman" w:eastAsia="Times New Roman" w:hAnsi="Times New Roman" w:cs="Times New Roman"/>
            <w:color w:val="0000FF"/>
            <w:sz w:val="24"/>
            <w:szCs w:val="24"/>
            <w:u w:val="single"/>
            <w:lang w:val="en-US"/>
          </w:rPr>
          <w:t>II. Other Instruments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Lieber Code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44 of the 1863 Lieber Code provides that all rape of persons in the invaded country is prohibited.</w:t>
      </w:r>
      <w:r>
        <w:rPr>
          <w:rFonts w:ascii="Times New Roman" w:eastAsia="Times New Roman" w:hAnsi="Times New Roman" w:cs="Times New Roman"/>
          <w:noProof/>
          <w:sz w:val="24"/>
          <w:szCs w:val="24"/>
        </w:rPr>
        <w:drawing>
          <wp:inline distT="0" distB="0" distL="0" distR="0">
            <wp:extent cx="151130" cy="142875"/>
            <wp:effectExtent l="19050" t="0" r="1270" b="0"/>
            <wp:docPr id="1160" name="Imagen 11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Report of the Commission on Responsibility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Based on several documents supplying evidence of outrages committed during the First World War, the 1919 Report of the Commission on Responsibility lists violations of the laws and customs of war which should be subject to criminal prosecution, including rape and the abduction of girls and women for the purpose of enforced prostitution.</w:t>
      </w:r>
      <w:r>
        <w:rPr>
          <w:rFonts w:ascii="Times New Roman" w:eastAsia="Times New Roman" w:hAnsi="Times New Roman" w:cs="Times New Roman"/>
          <w:noProof/>
          <w:sz w:val="24"/>
          <w:szCs w:val="24"/>
        </w:rPr>
        <w:drawing>
          <wp:inline distT="0" distB="0" distL="0" distR="0">
            <wp:extent cx="151130" cy="142875"/>
            <wp:effectExtent l="19050" t="0" r="1270" b="0"/>
            <wp:docPr id="1161" name="Imagen 11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Allied Control Council Law No. 10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II(1)(c) of the 1945 Allied Control Council Law No. 10 provides that “rape, or other inhumane acts committed against any civilian population”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162" name="Imagen 11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Memorandum of Understanding on the Application of IHL between Croatia and the Socialist Federal Republic of Yugoslavia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Paragraph 4 of the 1991 Memorandum of Understanding on the Application of IHL between Croatia and the Socialist Federal Republic of Yugoslavia requires that all civilians be treated in accordance with Article 75 of the 1977 Additional Protocol I.</w:t>
      </w:r>
      <w:r>
        <w:rPr>
          <w:rFonts w:ascii="Times New Roman" w:eastAsia="Times New Roman" w:hAnsi="Times New Roman" w:cs="Times New Roman"/>
          <w:noProof/>
          <w:sz w:val="24"/>
          <w:szCs w:val="24"/>
        </w:rPr>
        <w:drawing>
          <wp:inline distT="0" distB="0" distL="0" distR="0">
            <wp:extent cx="151130" cy="142875"/>
            <wp:effectExtent l="19050" t="0" r="1270" b="0"/>
            <wp:docPr id="1163" name="Imagen 11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Agreement on the Application of IHL between the Parties to the Conflict in Bosnia and Herzegovina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Under paragraph 1 of the 1992 Agreement on the Application of IHL between the Parties to the Conflict in Bosnia and Herzegovina, the parties committed themselves to respect and ensure respect for common Article 3 of the 1949 Geneva Conventions. Paragraph 2.3 requires that all civilians be treated in accordance with Article 75 of the 1977 Additional Protocol I.</w:t>
      </w:r>
      <w:r>
        <w:rPr>
          <w:rFonts w:ascii="Times New Roman" w:eastAsia="Times New Roman" w:hAnsi="Times New Roman" w:cs="Times New Roman"/>
          <w:noProof/>
          <w:sz w:val="24"/>
          <w:szCs w:val="24"/>
        </w:rPr>
        <w:drawing>
          <wp:inline distT="0" distB="0" distL="0" distR="0">
            <wp:extent cx="151130" cy="142875"/>
            <wp:effectExtent l="19050" t="0" r="1270" b="0"/>
            <wp:docPr id="1164" name="Imagen 11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UN Declaration on the Elimination of Violence against Women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preamble to the 1993 UN Declaration on the Elimination of Violence against Women expresses concern that “women in situations of armed conflict are especially vulnerable to violence”. Article 2 of the Declaration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Violence against women shall be understood to encompass, but not be limited to, the following: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Physical, sexual and psychological violence occurring in the family, including battering, sexual abuse of female children in the household, dowry-related violence, marital rape, female genital mutilation and other traditional practices harmful to women, non-spousal violence and violence related to exploitation;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Physical, sexual and psychological violence occurring within the general community, including rape, sexual abuse, sexual harassment and intimidation at work, in educational institutions and elsewhere, trafficking in women and forced prostitution;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Physical, sexual and psychological violence perpetrated or condoned by the State, wherever it occurs.</w:t>
      </w:r>
      <w:r>
        <w:rPr>
          <w:rFonts w:ascii="Times New Roman" w:eastAsia="Times New Roman" w:hAnsi="Times New Roman" w:cs="Times New Roman"/>
          <w:noProof/>
          <w:sz w:val="24"/>
          <w:szCs w:val="24"/>
        </w:rPr>
        <w:drawing>
          <wp:inline distT="0" distB="0" distL="0" distR="0">
            <wp:extent cx="151130" cy="142875"/>
            <wp:effectExtent l="19050" t="0" r="1270" b="0"/>
            <wp:docPr id="1165" name="Imagen 11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 xml:space="preserve">ICTY Statute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5(g) of the 1993 ICTY Statute provides that rape, when committed in armed conflict, whether international or internal in character, and directed against any civilian population, constitutes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166" name="Imagen 11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ICTR Statute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According to Article 3(g) of the 1994 ICTR Statute, rape, when committed as part of a widespread and systematic attack against any civilian population on national, political, ethnic, racial or religious grounds, constitutes a crime against humanity. Article 4(e) provides that the Tribunal is competent to prosecute violations of common Article 3 of the 1949 Geneva Conventions, including rape, enforced prostitution and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67" name="Imagen 11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ILC Draft Code of Crimes against the Peace and Security of Mankind (1996)</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Under Article 18(j) of the 1996 ILC Draft Code of Crimes against the Peace and Security of Mankind, “rape, enforced prostitution and any form of sexual abuse” constitute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168" name="Imagen 11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Article 20(d) of the 1996 ILC Draft Code of Crimes against the Peace and Security of Mankind states that “[r]ape, enforced prostitution and any form of indecent assault” committed in violation of international humanitarian law applicable in international conflict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169" name="Imagen 11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Article 20(f)(v) of the 1996 ILC Draft Code of Crimes against the Peace and Security of Mankind stipulates that “[r]ape, enforced prostitution and any form of indecent assault” constitutes a war crime in conflicts not of an international character.</w:t>
      </w:r>
      <w:r>
        <w:rPr>
          <w:rFonts w:ascii="Times New Roman" w:eastAsia="Times New Roman" w:hAnsi="Times New Roman" w:cs="Times New Roman"/>
          <w:noProof/>
          <w:sz w:val="24"/>
          <w:szCs w:val="24"/>
        </w:rPr>
        <w:drawing>
          <wp:inline distT="0" distB="0" distL="0" distR="0">
            <wp:extent cx="151130" cy="142875"/>
            <wp:effectExtent l="19050" t="0" r="1270" b="0"/>
            <wp:docPr id="1170" name="Imagen 11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Comprehensive Agreement on Respect for Human Rights and IHL in the Philippines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Article 2(7) of Part III of the 1998 Comprehensive Agreement on Respect for Human Rights and IHL in the Philippines provides that the Agreement seeks to protect and promote the right not to be subject to rape and sexual abuse.</w:t>
      </w:r>
      <w:r>
        <w:rPr>
          <w:rFonts w:ascii="Times New Roman" w:eastAsia="Times New Roman" w:hAnsi="Times New Roman" w:cs="Times New Roman"/>
          <w:noProof/>
          <w:sz w:val="24"/>
          <w:szCs w:val="24"/>
        </w:rPr>
        <w:drawing>
          <wp:inline distT="0" distB="0" distL="0" distR="0">
            <wp:extent cx="151130" cy="142875"/>
            <wp:effectExtent l="19050" t="0" r="1270" b="0"/>
            <wp:docPr id="1171" name="Imagen 11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Secretary-General’s Bulletin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According to Section 7.2, 7.3 and 7.4 of the 1999 UN Secretary-General’s Bulletin, rape, enforced prostitution or any form of sexual assault and humiliation against persons not, or no longer, taking part in military operations and persons placed </w:t>
      </w:r>
      <w:r w:rsidRPr="00E848A7">
        <w:rPr>
          <w:rFonts w:ascii="Times New Roman" w:eastAsia="Times New Roman" w:hAnsi="Times New Roman" w:cs="Times New Roman"/>
          <w:i/>
          <w:iCs/>
          <w:sz w:val="24"/>
          <w:szCs w:val="24"/>
          <w:lang w:val="en-US"/>
        </w:rPr>
        <w:t>hors de combat</w:t>
      </w:r>
      <w:r w:rsidRPr="00E848A7">
        <w:rPr>
          <w:rFonts w:ascii="Times New Roman" w:eastAsia="Times New Roman" w:hAnsi="Times New Roman" w:cs="Times New Roman"/>
          <w:sz w:val="24"/>
          <w:szCs w:val="24"/>
          <w:lang w:val="en-US"/>
        </w:rPr>
        <w:t>, with a specific reference to women and children, are prohibited at any time and in any place.</w:t>
      </w:r>
      <w:r>
        <w:rPr>
          <w:rFonts w:ascii="Times New Roman" w:eastAsia="Times New Roman" w:hAnsi="Times New Roman" w:cs="Times New Roman"/>
          <w:noProof/>
          <w:sz w:val="24"/>
          <w:szCs w:val="24"/>
        </w:rPr>
        <w:drawing>
          <wp:inline distT="0" distB="0" distL="0" distR="0">
            <wp:extent cx="151130" cy="142875"/>
            <wp:effectExtent l="19050" t="0" r="1270" b="0"/>
            <wp:docPr id="1172" name="Imagen 11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UNTAET Regulation No. 2000/15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UNTAET Regulation No. 2000/15 establishes panels with exclusive jurisdiction over serious criminal offences, including war crimes. According to Section 6(1)(b)(xxii) and (e)(vi), “[c]ommitting rape, sexual slavery, enforced prostitution, forced pregnancy … enforced sterilization, or any other form of sexual violence” constitutes a war crime in both international and non-international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1173" name="Imagen 11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N’Djamena Declaration on Ending Recruitment and Use of Children by Armed Forces and Groups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In June 2010, Cameroon, the Central African Republic, Chad, Nigeria, Niger and Sudan adopted the N’Djamena Declaration. In the preamble, the participating States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Reiterat[ed] [their]</w:t>
      </w:r>
      <w:r w:rsidRPr="00E848A7">
        <w:rPr>
          <w:rFonts w:ascii="Times New Roman" w:eastAsia="Times New Roman" w:hAnsi="Times New Roman" w:cs="Times New Roman"/>
          <w:sz w:val="24"/>
          <w:szCs w:val="24"/>
          <w:lang w:val="en-US"/>
        </w:rPr>
        <w:t xml:space="preserve"> concern regarding the precarious situation of children affected by conflict and the consistent presence of children within armed forces and groups in [their] region”;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Recall[ed]</w:t>
      </w:r>
      <w:r w:rsidRPr="00E848A7">
        <w:rPr>
          <w:rFonts w:ascii="Times New Roman" w:eastAsia="Times New Roman" w:hAnsi="Times New Roman" w:cs="Times New Roman"/>
          <w:sz w:val="24"/>
          <w:szCs w:val="24"/>
          <w:lang w:val="en-US"/>
        </w:rPr>
        <w:t xml:space="preserve"> the Optional Protocol [to the Convention on the Rights of the Child] on the sale of children, child prostitution and child pornography;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Recall[ed]</w:t>
      </w:r>
      <w:r w:rsidRPr="00E848A7">
        <w:rPr>
          <w:rFonts w:ascii="Times New Roman" w:eastAsia="Times New Roman" w:hAnsi="Times New Roman" w:cs="Times New Roman"/>
          <w:sz w:val="24"/>
          <w:szCs w:val="24"/>
          <w:lang w:val="en-US"/>
        </w:rPr>
        <w:t xml:space="preserve"> Security Council resolution 1888 (2009) on sexual violence in situations of armed conflict;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lastRenderedPageBreak/>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[expressed deep concern over] the situation of young girls associated with armed forces and groups, subject to sexual violence and abuse during armed conflict, and excluded from the release, withdrawal, psychosocial rehabilitation and socio-economic reintegration programs often by socio-cultural barriers; [and]</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 xml:space="preserve">Recogniz[ed] </w:t>
      </w:r>
      <w:r w:rsidRPr="00E848A7">
        <w:rPr>
          <w:rFonts w:ascii="Times New Roman" w:eastAsia="Times New Roman" w:hAnsi="Times New Roman" w:cs="Times New Roman"/>
          <w:sz w:val="24"/>
          <w:szCs w:val="24"/>
          <w:lang w:val="en-US"/>
        </w:rPr>
        <w:t>that</w:t>
      </w:r>
      <w:r w:rsidRPr="00E848A7">
        <w:rPr>
          <w:rFonts w:ascii="Times New Roman" w:eastAsia="Times New Roman" w:hAnsi="Times New Roman" w:cs="Times New Roman"/>
          <w:i/>
          <w:iCs/>
          <w:sz w:val="24"/>
          <w:szCs w:val="24"/>
          <w:lang w:val="en-US"/>
        </w:rPr>
        <w:t xml:space="preserve"> </w:t>
      </w:r>
      <w:r w:rsidRPr="00E848A7">
        <w:rPr>
          <w:rFonts w:ascii="Times New Roman" w:eastAsia="Times New Roman" w:hAnsi="Times New Roman" w:cs="Times New Roman"/>
          <w:sz w:val="24"/>
          <w:szCs w:val="24"/>
          <w:lang w:val="en-US"/>
        </w:rPr>
        <w:t>States have the primary responsibility of ensuring, without discrimination, the security and protection of all children living on their national territory.</w:t>
      </w:r>
      <w:r>
        <w:rPr>
          <w:rFonts w:ascii="Times New Roman" w:eastAsia="Times New Roman" w:hAnsi="Times New Roman" w:cs="Times New Roman"/>
          <w:noProof/>
          <w:sz w:val="24"/>
          <w:szCs w:val="24"/>
        </w:rPr>
        <w:drawing>
          <wp:inline distT="0" distB="0" distL="0" distR="0">
            <wp:extent cx="151130" cy="142875"/>
            <wp:effectExtent l="19050" t="0" r="1270" b="0"/>
            <wp:docPr id="1174" name="Imagen 11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E848A7">
        <w:rPr>
          <w:rFonts w:ascii="Times New Roman" w:eastAsia="Times New Roman" w:hAnsi="Times New Roman" w:cs="Times New Roman"/>
          <w:i/>
          <w:iCs/>
          <w:sz w:val="24"/>
          <w:szCs w:val="24"/>
          <w:lang w:val="en-US"/>
        </w:rPr>
        <w:t xml:space="preserve"> </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[t]o protect children from all forms of exploitation and violence, by criminalizing all acts of … child prostitution and child pornography and ensuring the rights of child victims and witnesses.</w:t>
      </w:r>
      <w:r>
        <w:rPr>
          <w:rFonts w:ascii="Times New Roman" w:eastAsia="Times New Roman" w:hAnsi="Times New Roman" w:cs="Times New Roman"/>
          <w:noProof/>
          <w:sz w:val="24"/>
          <w:szCs w:val="24"/>
        </w:rPr>
        <w:drawing>
          <wp:inline distT="0" distB="0" distL="0" distR="0">
            <wp:extent cx="151130" cy="142875"/>
            <wp:effectExtent l="19050" t="0" r="1270" b="0"/>
            <wp:docPr id="1175" name="Imagen 11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9" w:history="1">
        <w:r w:rsidRPr="00E848A7">
          <w:rPr>
            <w:rFonts w:ascii="Times New Roman" w:eastAsia="Times New Roman" w:hAnsi="Times New Roman" w:cs="Times New Roman"/>
            <w:color w:val="0000FF"/>
            <w:sz w:val="24"/>
            <w:szCs w:val="24"/>
            <w:u w:val="single"/>
            <w:lang w:val="en-US"/>
          </w:rPr>
          <w:t>III. Military Manuals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Argentina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Argentina’s Law of War Manual (1969) stipulates: “Women will be especially protected against attempts on their honour, particularly against rape, enforced prostitution and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76" name="Imagen 11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Argentina’s Law of War Manual (1989) states: “Women shall be subject to special respect and protected particularly against all forms of indecent assault.” It further provides that forced prostitution and any other form of indecent assault are prohibited in international and internal armed conflicts and in occupied territories.</w:t>
      </w:r>
      <w:r>
        <w:rPr>
          <w:rFonts w:ascii="Times New Roman" w:eastAsia="Times New Roman" w:hAnsi="Times New Roman" w:cs="Times New Roman"/>
          <w:noProof/>
          <w:sz w:val="24"/>
          <w:szCs w:val="24"/>
        </w:rPr>
        <w:drawing>
          <wp:inline distT="0" distB="0" distL="0" distR="0">
            <wp:extent cx="151130" cy="142875"/>
            <wp:effectExtent l="19050" t="0" r="1270" b="0"/>
            <wp:docPr id="1177" name="Imagen 11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Australia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Australia’s Commanders’ Guide (1994) states that the 1949 Geneva Conventions provide “particular protection for women and children, specifically against acts of rape or indecency”.</w:t>
      </w:r>
      <w:r>
        <w:rPr>
          <w:rFonts w:ascii="Times New Roman" w:eastAsia="Times New Roman" w:hAnsi="Times New Roman" w:cs="Times New Roman"/>
          <w:noProof/>
          <w:sz w:val="24"/>
          <w:szCs w:val="24"/>
        </w:rPr>
        <w:drawing>
          <wp:inline distT="0" distB="0" distL="0" distR="0">
            <wp:extent cx="151130" cy="142875"/>
            <wp:effectExtent l="19050" t="0" r="1270" b="0"/>
            <wp:docPr id="1178" name="Imagen 11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Australia’s Defence Force Manual (1994) stipulates: “Women receive special protection under LOAC against any attack on their honour, in particular against rape, forced prostitution and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79" name="Imagen 11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Australia’s LOAC Manual (2006) states: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9.20 … Women shall be especially protected against attack in particular against rape and any form of indecent assault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9.45 The following acts are prohibited at any time and in any place whatsoever: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outrages upon personal dignity, in particular humiliating and degrading treatment, enforced prostitution and any form of indecent assault …;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threats to commit any of the foregoing acts.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9.50 Children are to be respected and protected, especially against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80" name="Imagen 11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Burundi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Burundi’s Regulations on International Humanitarian Law (2007) lists “rape” as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181" name="Imagen 11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Cameroon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Cameroon’s Instructor’s Manual (2006), under the heading “Protection of Women”, states that “they must not be subjected to rape, enforced prostitution, or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82" name="Imagen 11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Canada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Canada’s LOAC Manual (1999) provides that women must be specially protected against any attack on their honour, in particular against rape, enforced prostitution or </w:t>
      </w:r>
      <w:r w:rsidRPr="00E848A7">
        <w:rPr>
          <w:rFonts w:ascii="Times New Roman" w:eastAsia="Times New Roman" w:hAnsi="Times New Roman" w:cs="Times New Roman"/>
          <w:sz w:val="24"/>
          <w:szCs w:val="24"/>
          <w:lang w:val="en-US"/>
        </w:rPr>
        <w:lastRenderedPageBreak/>
        <w:t>any other form of indecent assault. It states that this provision also applies in occupied territories. According to the manual, rape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183" name="Imagen 11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Canada’s Code of Conduct (2001) provides: “Women and children in particular must not be subjected to rape, enforced prostitution, and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84" name="Imagen 11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Canada’s LOAC Manual (2001) states in its chapter on the treatment of prisoners of war (PWs): “Female PWs must be treated with due regard to their gender and must in no case be treated less favourably than male PWs … They must also be specially protected against rape and other sexual assaults.”</w:t>
      </w:r>
      <w:r>
        <w:rPr>
          <w:rFonts w:ascii="Times New Roman" w:eastAsia="Times New Roman" w:hAnsi="Times New Roman" w:cs="Times New Roman"/>
          <w:noProof/>
          <w:sz w:val="24"/>
          <w:szCs w:val="24"/>
        </w:rPr>
        <w:drawing>
          <wp:inline distT="0" distB="0" distL="0" distR="0">
            <wp:extent cx="151130" cy="142875"/>
            <wp:effectExtent l="19050" t="0" r="1270" b="0"/>
            <wp:docPr id="1185" name="Imagen 11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1119. Equal treatment without adverse distinction</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1. Women must be specially protected against any attack on their honour, in particular against rape, enforced prostitution or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86" name="Imagen 11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1. [The 1977 Additional Protocol I] provides that all persons in the power of a party to the conflict are entitled to at least a minimum of humane treatment without adverse discrimination on grounds of race, gender, language, religion, political discrimination or similar criteria. It states in part: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The following acts are and shall remain prohibited at any time and in any place whatsoever, whether committed by civilian or by military agents: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outrages upon personal dignity, in particular humiliating and degrading treatment, enforced prostitution and any form of indecent assault;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threats to commit any of the foregoing acts.</w:t>
      </w:r>
      <w:r>
        <w:rPr>
          <w:rFonts w:ascii="Times New Roman" w:eastAsia="Times New Roman" w:hAnsi="Times New Roman" w:cs="Times New Roman"/>
          <w:noProof/>
          <w:sz w:val="24"/>
          <w:szCs w:val="24"/>
        </w:rPr>
        <w:drawing>
          <wp:inline distT="0" distB="0" distL="0" distR="0">
            <wp:extent cx="151130" cy="142875"/>
            <wp:effectExtent l="19050" t="0" r="1270" b="0"/>
            <wp:docPr id="1187" name="Imagen 11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By Common Article 3, the parties to a non-international armed conflict occurring in the territory of a party to the Conventions are obliged to apply, as a minimum, the following provisions: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 Persons taking no active part in the hostilities, including members of armed forces who have laid down their arms and those placed </w:t>
      </w:r>
      <w:r w:rsidRPr="00C74F6F">
        <w:rPr>
          <w:rFonts w:ascii="Times New Roman" w:eastAsia="Times New Roman" w:hAnsi="Times New Roman" w:cs="Times New Roman"/>
          <w:i/>
          <w:iCs/>
          <w:sz w:val="24"/>
          <w:szCs w:val="24"/>
          <w:lang w:val="en-US"/>
        </w:rPr>
        <w:t xml:space="preserve">hors de combat </w:t>
      </w:r>
      <w:r w:rsidRPr="00C74F6F">
        <w:rPr>
          <w:rFonts w:ascii="Times New Roman" w:eastAsia="Times New Roman" w:hAnsi="Times New Roman" w:cs="Times New Roman"/>
          <w:sz w:val="24"/>
          <w:szCs w:val="24"/>
          <w:lang w:val="en-US"/>
        </w:rPr>
        <w:t>by sickness, wounds, detention, or any other cause, shall in all circumstances be treated humanely, without any adverse distinction founded on race, colour, religion or faith, gender, birth or wealth, or any other similar criteria.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To this end, the following are at any time and in any place prohibited with regard to such persons: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Although [the 1977 Additional Protocol II] contains no provisions relating to enforcement or punishment of breaches, it does contain a statement of fundamental guarantees prohibiting at any time and anywhere: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outrages upon personal dignity, in particular humiliating and degrading treatment, rape, enforced prostitution and any form of indecent assault;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threats to commit any of the foregoing.</w:t>
      </w:r>
      <w:r>
        <w:rPr>
          <w:rFonts w:ascii="Times New Roman" w:eastAsia="Times New Roman" w:hAnsi="Times New Roman" w:cs="Times New Roman"/>
          <w:noProof/>
          <w:sz w:val="24"/>
          <w:szCs w:val="24"/>
        </w:rPr>
        <w:drawing>
          <wp:inline distT="0" distB="0" distL="0" distR="0">
            <wp:extent cx="151130" cy="142875"/>
            <wp:effectExtent l="19050" t="0" r="1270" b="0"/>
            <wp:docPr id="1188" name="Imagen 11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Canada’s Code of Conduct (2005) instructs Canadian Forces (CF) personnel:</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In your daily interaction with the civilian population, they must at all times be humanely treated and shall not be subjected to acts of violence, threats, or insults. Women and children in particular must not be subjected to rape, enforced prostitution, and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89" name="Imagen 11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Chad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Chad’s Instructor’s Manual (2006) states that women “must not be raped or forced into prostitution or be subjected to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190" name="Imagen 11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China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The PLA Rules of Discipline (1947) provides that women are not to be assailed with obscenities.</w:t>
      </w:r>
      <w:r>
        <w:rPr>
          <w:rFonts w:ascii="Times New Roman" w:eastAsia="Times New Roman" w:hAnsi="Times New Roman" w:cs="Times New Roman"/>
          <w:noProof/>
          <w:sz w:val="24"/>
          <w:szCs w:val="24"/>
        </w:rPr>
        <w:drawing>
          <wp:inline distT="0" distB="0" distL="0" distR="0">
            <wp:extent cx="151130" cy="142875"/>
            <wp:effectExtent l="19050" t="0" r="1270" b="0"/>
            <wp:docPr id="1191" name="Imagen 11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Côte d’Ivoire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Côte d’Ivoire’s Teaching Manual (2007) provides in Book I (Basic instruction):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 </w:t>
      </w:r>
      <w:r w:rsidRPr="00E848A7">
        <w:rPr>
          <w:rFonts w:ascii="Times New Roman" w:eastAsia="Times New Roman" w:hAnsi="Times New Roman" w:cs="Times New Roman"/>
          <w:i/>
          <w:iCs/>
          <w:sz w:val="24"/>
          <w:szCs w:val="24"/>
          <w:lang w:val="en-US"/>
        </w:rPr>
        <w:t>Grave violations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They are enumerated by the Geneva Conventions and the Additional Protocols, as well as by the Ivorian Penal Code.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They are: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rape.</w:t>
      </w:r>
      <w:r>
        <w:rPr>
          <w:rFonts w:ascii="Times New Roman" w:eastAsia="Times New Roman" w:hAnsi="Times New Roman" w:cs="Times New Roman"/>
          <w:noProof/>
          <w:sz w:val="24"/>
          <w:szCs w:val="24"/>
        </w:rPr>
        <w:drawing>
          <wp:inline distT="0" distB="0" distL="0" distR="0">
            <wp:extent cx="151130" cy="142875"/>
            <wp:effectExtent l="19050" t="0" r="1270" b="0"/>
            <wp:docPr id="1192" name="Imagen 11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I.1.1. </w:t>
      </w:r>
      <w:r w:rsidRPr="00E848A7">
        <w:rPr>
          <w:rFonts w:ascii="Times New Roman" w:eastAsia="Times New Roman" w:hAnsi="Times New Roman" w:cs="Times New Roman"/>
          <w:i/>
          <w:iCs/>
          <w:sz w:val="24"/>
          <w:szCs w:val="24"/>
          <w:lang w:val="en-US"/>
        </w:rPr>
        <w:t>War crimes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They are grave violations of IHL mentioned in the Geneva Conventions and their Additional Protocols, committed during armed conflict.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Examples: rape, forced prostitution …</w:t>
      </w:r>
      <w:r>
        <w:rPr>
          <w:rFonts w:ascii="Times New Roman" w:eastAsia="Times New Roman" w:hAnsi="Times New Roman" w:cs="Times New Roman"/>
          <w:noProof/>
          <w:sz w:val="24"/>
          <w:szCs w:val="24"/>
        </w:rPr>
        <w:drawing>
          <wp:inline distT="0" distB="0" distL="0" distR="0">
            <wp:extent cx="151130" cy="142875"/>
            <wp:effectExtent l="19050" t="0" r="1270" b="0"/>
            <wp:docPr id="1193" name="Imagen 11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III. </w:t>
      </w:r>
      <w:r w:rsidRPr="00E848A7">
        <w:rPr>
          <w:rFonts w:ascii="Times New Roman" w:eastAsia="Times New Roman" w:hAnsi="Times New Roman" w:cs="Times New Roman"/>
          <w:i/>
          <w:iCs/>
          <w:sz w:val="24"/>
          <w:szCs w:val="24"/>
          <w:lang w:val="en-US"/>
        </w:rPr>
        <w:t>Prisoners of war</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III.1.2. </w:t>
      </w:r>
      <w:r w:rsidRPr="00E848A7">
        <w:rPr>
          <w:rFonts w:ascii="Times New Roman" w:eastAsia="Times New Roman" w:hAnsi="Times New Roman" w:cs="Times New Roman"/>
          <w:i/>
          <w:iCs/>
          <w:sz w:val="24"/>
          <w:szCs w:val="24"/>
          <w:lang w:val="en-US"/>
        </w:rPr>
        <w:t>Women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Women have full and complete combatant status in numerous armed forces worldwide, whether at the front or as support personnel or personnel charged with logistical tasks. As combatants, they must respect exactly the same rules as their male counterparts, and are protected by these same provisions. In case of capture, they must be treated with respect and must not be made the object of violence of any form, including violence or ill-treatment of a sexual character. In case of detention in a prisoner-of-war camp, they must be detained in places separate from those of men.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Rape and indecent assaults are prohibited, and in the majority of cases constitute a form of torture repressed by provisions of the law. Rape, which represents a form of torture or “inhuman” treatment, is a grave violation of the law and can give rise to prosecutions before the courts of any State. This type of violence is only too frequent in situations of conflict. Moreover, in recent conflicts, like in ex-Yugoslavia, systematic and organized rape seems to have become a common practice. Such behaviour demeans the profession of the soldier, and must, just like torture, be regarded as unworthy by all soldiers.</w:t>
      </w:r>
      <w:r>
        <w:rPr>
          <w:rFonts w:ascii="Times New Roman" w:eastAsia="Times New Roman" w:hAnsi="Times New Roman" w:cs="Times New Roman"/>
          <w:noProof/>
          <w:sz w:val="24"/>
          <w:szCs w:val="24"/>
        </w:rPr>
        <w:drawing>
          <wp:inline distT="0" distB="0" distL="0" distR="0">
            <wp:extent cx="151130" cy="142875"/>
            <wp:effectExtent l="19050" t="0" r="1270" b="0"/>
            <wp:docPr id="1194" name="Imagen 11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I.1. </w:t>
      </w:r>
      <w:r w:rsidRPr="00E848A7">
        <w:rPr>
          <w:rFonts w:ascii="Times New Roman" w:eastAsia="Times New Roman" w:hAnsi="Times New Roman" w:cs="Times New Roman"/>
          <w:i/>
          <w:iCs/>
          <w:sz w:val="24"/>
          <w:szCs w:val="24"/>
          <w:lang w:val="en-US"/>
        </w:rPr>
        <w:t>Protection of the civilian population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I.1.2. </w:t>
      </w:r>
      <w:r w:rsidRPr="00E848A7">
        <w:rPr>
          <w:rFonts w:ascii="Times New Roman" w:eastAsia="Times New Roman" w:hAnsi="Times New Roman" w:cs="Times New Roman"/>
          <w:i/>
          <w:iCs/>
          <w:sz w:val="24"/>
          <w:szCs w:val="24"/>
          <w:lang w:val="en-US"/>
        </w:rPr>
        <w:t>Women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Women must be treated with special respect. Any attack against the physical or psychological integrity of women – in particular rape, forced prostitution or any form of indecent assault – is prohibited. Rape and indecent assault against men is also prohibited.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I.2. </w:t>
      </w:r>
      <w:r w:rsidRPr="00E848A7">
        <w:rPr>
          <w:rFonts w:ascii="Times New Roman" w:eastAsia="Times New Roman" w:hAnsi="Times New Roman" w:cs="Times New Roman"/>
          <w:i/>
          <w:iCs/>
          <w:sz w:val="24"/>
          <w:szCs w:val="24"/>
          <w:lang w:val="en-US"/>
        </w:rPr>
        <w:t>Protection of combatants and associated personnel</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A person </w:t>
      </w:r>
      <w:r w:rsidRPr="00E848A7">
        <w:rPr>
          <w:rFonts w:ascii="Times New Roman" w:eastAsia="Times New Roman" w:hAnsi="Times New Roman" w:cs="Times New Roman"/>
          <w:i/>
          <w:iCs/>
          <w:sz w:val="24"/>
          <w:szCs w:val="24"/>
          <w:lang w:val="en-US"/>
        </w:rPr>
        <w:t>hors de combat</w:t>
      </w:r>
      <w:r w:rsidRPr="00E848A7">
        <w:rPr>
          <w:rFonts w:ascii="Times New Roman" w:eastAsia="Times New Roman" w:hAnsi="Times New Roman" w:cs="Times New Roman"/>
          <w:sz w:val="24"/>
          <w:szCs w:val="24"/>
          <w:lang w:val="en-US"/>
        </w:rPr>
        <w:t xml:space="preserve"> must be collected and protected in conformity with the provisions of Geneva Convention I for the Amelioration of the Condition of the Wounded and Sick. In this respect, they must not be the object: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of outrages against personal dignity or of humiliating treatment,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I.2.7. </w:t>
      </w:r>
      <w:r w:rsidRPr="00E848A7">
        <w:rPr>
          <w:rFonts w:ascii="Times New Roman" w:eastAsia="Times New Roman" w:hAnsi="Times New Roman" w:cs="Times New Roman"/>
          <w:i/>
          <w:iCs/>
          <w:sz w:val="24"/>
          <w:szCs w:val="24"/>
          <w:lang w:val="en-US"/>
        </w:rPr>
        <w:t>Women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lastRenderedPageBreak/>
        <w:t>A case of rape is a clear indication that discipline has completely disappeared and that military leaders no longer have any control over their subordinates.</w:t>
      </w:r>
      <w:r>
        <w:rPr>
          <w:rFonts w:ascii="Times New Roman" w:eastAsia="Times New Roman" w:hAnsi="Times New Roman" w:cs="Times New Roman"/>
          <w:noProof/>
          <w:sz w:val="24"/>
          <w:szCs w:val="24"/>
        </w:rPr>
        <w:drawing>
          <wp:inline distT="0" distB="0" distL="0" distR="0">
            <wp:extent cx="151130" cy="142875"/>
            <wp:effectExtent l="19050" t="0" r="1270" b="0"/>
            <wp:docPr id="1195" name="Imagen 11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Djibouti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Djibouti’s Manual on International Humanitarian Law (2004) states that “acts prohibited in circumstances of armed conflict [include]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196" name="Imagen 11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Dominican Republic</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Dominican Republic’s Military Manual (1980) provides: “Women in combat zones shall be protected against sexual assault and forced prostitution.”</w:t>
      </w:r>
      <w:r>
        <w:rPr>
          <w:rFonts w:ascii="Times New Roman" w:eastAsia="Times New Roman" w:hAnsi="Times New Roman" w:cs="Times New Roman"/>
          <w:noProof/>
          <w:sz w:val="24"/>
          <w:szCs w:val="24"/>
        </w:rPr>
        <w:drawing>
          <wp:inline distT="0" distB="0" distL="0" distR="0">
            <wp:extent cx="151130" cy="142875"/>
            <wp:effectExtent l="19050" t="0" r="1270" b="0"/>
            <wp:docPr id="1197" name="Imagen 11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El Salvador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El Salvador’s Human Rights Charter of the Armed Forces lists the prohibition of sexual violence against women as one of the ten basic rules. It stipulates that it is prohibited to commit sexual abuse and that soldiers “do not permit others to commit” such acts. According to the manual, sexual abuse is a violation of human rights.</w:t>
      </w:r>
      <w:r>
        <w:rPr>
          <w:rFonts w:ascii="Times New Roman" w:eastAsia="Times New Roman" w:hAnsi="Times New Roman" w:cs="Times New Roman"/>
          <w:noProof/>
          <w:sz w:val="24"/>
          <w:szCs w:val="24"/>
        </w:rPr>
        <w:drawing>
          <wp:inline distT="0" distB="0" distL="0" distR="0">
            <wp:extent cx="151130" cy="142875"/>
            <wp:effectExtent l="19050" t="0" r="1270" b="0"/>
            <wp:docPr id="1198" name="Imagen 11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El Salvador’s Soldiers’ Manual instructs soldiers not to mistreat women.</w:t>
      </w:r>
      <w:r>
        <w:rPr>
          <w:rFonts w:ascii="Times New Roman" w:eastAsia="Times New Roman" w:hAnsi="Times New Roman" w:cs="Times New Roman"/>
          <w:noProof/>
          <w:sz w:val="24"/>
          <w:szCs w:val="24"/>
        </w:rPr>
        <w:drawing>
          <wp:inline distT="0" distB="0" distL="0" distR="0">
            <wp:extent cx="151130" cy="142875"/>
            <wp:effectExtent l="19050" t="0" r="1270" b="0"/>
            <wp:docPr id="1199" name="Imagen 11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France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France’s LOAC Teaching Note (2000) provides that acts of rape are criminally prosecuted. It states that rape is a grave breach of the law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200" name="Imagen 12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France’s LOAC Manual (2001) restates Article 7(1) of the 1998 ICC Statute. It adds that “forced prostitution and any attempts on decency” and “rape” are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201" name="Imagen 12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Germany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Germany’s Military Manual (1992) provides: “Any attack on the honour of women, in particular rape, enforced prostitution, or any other form of indecent assault, is prohibited.”</w:t>
      </w:r>
      <w:r>
        <w:rPr>
          <w:rFonts w:ascii="Times New Roman" w:eastAsia="Times New Roman" w:hAnsi="Times New Roman" w:cs="Times New Roman"/>
          <w:noProof/>
          <w:sz w:val="24"/>
          <w:szCs w:val="24"/>
        </w:rPr>
        <w:drawing>
          <wp:inline distT="0" distB="0" distL="0" distR="0">
            <wp:extent cx="151130" cy="142875"/>
            <wp:effectExtent l="19050" t="0" r="1270" b="0"/>
            <wp:docPr id="1202" name="Imagen 12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Israel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Israel’s Manual on the Laws of War (1998) states: “The rationale behind the law of war is that even in the midst of the inferno, there are grave deeds [such as rape] that must not be committed.” It recalls the definition of crimes against humanity contained in the 1998 ICC Statute, stating: “Crimes against humanity were defined as the systematic harming of a civilian population, which includes deeds such as: … rape”.</w:t>
      </w:r>
      <w:r>
        <w:rPr>
          <w:rFonts w:ascii="Times New Roman" w:eastAsia="Times New Roman" w:hAnsi="Times New Roman" w:cs="Times New Roman"/>
          <w:noProof/>
          <w:sz w:val="24"/>
          <w:szCs w:val="24"/>
        </w:rPr>
        <w:drawing>
          <wp:inline distT="0" distB="0" distL="0" distR="0">
            <wp:extent cx="151130" cy="142875"/>
            <wp:effectExtent l="19050" t="0" r="1270" b="0"/>
            <wp:docPr id="1203" name="Imagen 12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Israel’s Manual on the Rules of Warfare (2006) states: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Even if it appears that in war everything is permissible and there is no differentiating between a moral and an immoral act, even in the heat of battle there are actions that are considered unacceptable (rape, the torturing of prisoners-of-war, medical experiments) and it is on these that the rules of warfare are based. Although the rules of warfare do not entirely prevent the horrors of war, they draw a line in the sand that must not be crossed, even in war.</w:t>
      </w:r>
      <w:r>
        <w:rPr>
          <w:rFonts w:ascii="Times New Roman" w:eastAsia="Times New Roman" w:hAnsi="Times New Roman" w:cs="Times New Roman"/>
          <w:noProof/>
          <w:sz w:val="24"/>
          <w:szCs w:val="24"/>
        </w:rPr>
        <w:drawing>
          <wp:inline distT="0" distB="0" distL="0" distR="0">
            <wp:extent cx="151130" cy="142875"/>
            <wp:effectExtent l="19050" t="0" r="1270" b="0"/>
            <wp:docPr id="1204" name="Imagen 12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Madagascar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Madagascar’s Military Manual (1994) states: “Women … shall be subject to special respect and protected against any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05" name="Imagen 12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Mexico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Mexico’s IHL Guidelines (2009), in a section titled “Basic rules of conduct in armed conflict”, states: “Sexual violence is prohibited.”</w:t>
      </w:r>
      <w:r>
        <w:rPr>
          <w:rFonts w:ascii="Times New Roman" w:eastAsia="Times New Roman" w:hAnsi="Times New Roman" w:cs="Times New Roman"/>
          <w:noProof/>
          <w:sz w:val="24"/>
          <w:szCs w:val="24"/>
        </w:rPr>
        <w:drawing>
          <wp:inline distT="0" distB="0" distL="0" distR="0">
            <wp:extent cx="151130" cy="142875"/>
            <wp:effectExtent l="19050" t="0" r="1270" b="0"/>
            <wp:docPr id="1206" name="Imagen 12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Netherlands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Military Manual (1993) of the Netherlands restates the prohibition of sexual violence found in common Article 3 to the 1949 Geneva Conventions, Articles 75–77 of the 1977 Additional Protocol I and Article 4 of the 1977 Additional Protocol II.</w:t>
      </w:r>
      <w:r>
        <w:rPr>
          <w:rFonts w:ascii="Times New Roman" w:eastAsia="Times New Roman" w:hAnsi="Times New Roman" w:cs="Times New Roman"/>
          <w:noProof/>
          <w:sz w:val="24"/>
          <w:szCs w:val="24"/>
        </w:rPr>
        <w:drawing>
          <wp:inline distT="0" distB="0" distL="0" distR="0">
            <wp:extent cx="151130" cy="142875"/>
            <wp:effectExtent l="19050" t="0" r="1270" b="0"/>
            <wp:docPr id="1207" name="Imagen 12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Military Manual (2005) of the Netherlands states that “women should be protected from rape and other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208" name="Imagen 12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1051. It is expressly prohibited to carry out the following acts against the civilian population or individual civilians, wounded, sick or prisoners: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outrages upon personal dignity, especially humiliating and degrading treatment, rape, forced prostitution, sterilization and indecent assault;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threatening anyone with the above-mentioned acts or treatment.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1062. Any indecent assault on women is prohibited, especially rape, forced pregnancy with a view to influencing the ethnic composition of the population, or committing any other international offence, forced prostitution or any other form of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209" name="Imagen 12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New Zealand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New Zealand’s Military Manual (1992) provides that female civilians and female prisoners must be specially protected against rape and other forms of sexual assault.</w:t>
      </w:r>
      <w:r>
        <w:rPr>
          <w:rFonts w:ascii="Times New Roman" w:eastAsia="Times New Roman" w:hAnsi="Times New Roman" w:cs="Times New Roman"/>
          <w:noProof/>
          <w:sz w:val="24"/>
          <w:szCs w:val="24"/>
        </w:rPr>
        <w:drawing>
          <wp:inline distT="0" distB="0" distL="0" distR="0">
            <wp:extent cx="151130" cy="142875"/>
            <wp:effectExtent l="19050" t="0" r="1270" b="0"/>
            <wp:docPr id="1210" name="Imagen 12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Nicaragua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Nicaragua’s Military Manual (1996) provides that fundamental guarantees for the wounded and sick, prisoners of war and civilians include protection against “degrading treatments and indecent assaults”.</w:t>
      </w:r>
      <w:r>
        <w:rPr>
          <w:rFonts w:ascii="Times New Roman" w:eastAsia="Times New Roman" w:hAnsi="Times New Roman" w:cs="Times New Roman"/>
          <w:noProof/>
          <w:sz w:val="24"/>
          <w:szCs w:val="24"/>
        </w:rPr>
        <w:drawing>
          <wp:inline distT="0" distB="0" distL="0" distR="0">
            <wp:extent cx="151130" cy="142875"/>
            <wp:effectExtent l="19050" t="0" r="1270" b="0"/>
            <wp:docPr id="1211" name="Imagen 12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Nigeria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Nigeria’s Operational Code of Conduct (1967) provides: “Women will be protected against any attack on their person, honor and in particular against rape or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12" name="Imagen 12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Peru</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Peru’s Human Rights Charter of the Security Forces (1991) lists the prohibition of sexual violence against women and children as one of the ten basic rules.</w:t>
      </w:r>
      <w:r>
        <w:rPr>
          <w:rFonts w:ascii="Times New Roman" w:eastAsia="Times New Roman" w:hAnsi="Times New Roman" w:cs="Times New Roman"/>
          <w:noProof/>
          <w:sz w:val="24"/>
          <w:szCs w:val="24"/>
        </w:rPr>
        <w:drawing>
          <wp:inline distT="0" distB="0" distL="0" distR="0">
            <wp:extent cx="151130" cy="142875"/>
            <wp:effectExtent l="19050" t="0" r="1270" b="0"/>
            <wp:docPr id="1213" name="Imagen 12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Peru’s IHL Manual (2004) states: “Women must be especially protected against any attack on their honour, in particular against rape, enforced prostitution or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14" name="Imagen 12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Peru’s IHL and Human Rights Manual (2010) states: “Women must be especially protected against any attack on their honour, in particular against rape, enforced prostitution or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15" name="Imagen 12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There are … principles common to the [1949] Geneva Conventions and human rights law which represent a minimum level of protection to which every human person is entitled … [including] [r]espect for … physical and mental integrity …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Regarding these fundamental guarantees there is no exception whatsoever and they are binding both in times of peace and in times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216" name="Imagen 12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Sexual abuse is understood as abuse which violates the sexual liberty of another person by means of force, violence or serious threat, [and] which obliges the person to give carnal access to the vagina, anus or mouth or which carries out similar acts by introducing objects or body parts in the vagina or anus.</w:t>
      </w:r>
      <w:r>
        <w:rPr>
          <w:rFonts w:ascii="Times New Roman" w:eastAsia="Times New Roman" w:hAnsi="Times New Roman" w:cs="Times New Roman"/>
          <w:noProof/>
          <w:sz w:val="24"/>
          <w:szCs w:val="24"/>
        </w:rPr>
        <w:drawing>
          <wp:inline distT="0" distB="0" distL="0" distR="0">
            <wp:extent cx="151130" cy="142875"/>
            <wp:effectExtent l="19050" t="0" r="1270" b="0"/>
            <wp:docPr id="1217" name="Imagen 12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Russian Federation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The Russian Federation’s Regulations on the Application of IHL (2001) states: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Under any circumstances international humanitarian law ensures humane treatment during an armed conflict of persons not directly involved in combat operations … In particular, the following shall be prohibited with regard to such persons: … outrages upon personal dignity, in particular humiliating and degrading treatment … [and] threats to commit any of the above acts.</w:t>
      </w:r>
      <w:r>
        <w:rPr>
          <w:rFonts w:ascii="Times New Roman" w:eastAsia="Times New Roman" w:hAnsi="Times New Roman" w:cs="Times New Roman"/>
          <w:noProof/>
          <w:sz w:val="24"/>
          <w:szCs w:val="24"/>
        </w:rPr>
        <w:drawing>
          <wp:inline distT="0" distB="0" distL="0" distR="0">
            <wp:extent cx="151130" cy="142875"/>
            <wp:effectExtent l="19050" t="0" r="1270" b="0"/>
            <wp:docPr id="1218" name="Imagen 12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The following acts against [all persons who do not take a direct part or who have ceased to take part in hostilities] are and shall remain prohibited at any time and in any place whatsoever: … outrages upon personal dignity, in particular … rape, enforced </w:t>
      </w:r>
      <w:r w:rsidRPr="00E848A7">
        <w:rPr>
          <w:rFonts w:ascii="Times New Roman" w:eastAsia="Times New Roman" w:hAnsi="Times New Roman" w:cs="Times New Roman"/>
          <w:sz w:val="24"/>
          <w:szCs w:val="24"/>
          <w:lang w:val="en-US"/>
        </w:rPr>
        <w:lastRenderedPageBreak/>
        <w:t>prostitution and any form of indecent assault [and] threats to commit any of the foregoing acts.</w:t>
      </w:r>
      <w:r>
        <w:rPr>
          <w:rFonts w:ascii="Times New Roman" w:eastAsia="Times New Roman" w:hAnsi="Times New Roman" w:cs="Times New Roman"/>
          <w:noProof/>
          <w:sz w:val="24"/>
          <w:szCs w:val="24"/>
        </w:rPr>
        <w:drawing>
          <wp:inline distT="0" distB="0" distL="0" distR="0">
            <wp:extent cx="151130" cy="142875"/>
            <wp:effectExtent l="19050" t="0" r="1270" b="0"/>
            <wp:docPr id="1219" name="Imagen 12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Senegal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Senegal’s IHL Manual (1999) provides that one of the fundamental guarantees common to the IHL conventions and the 1948 Universal Declaration of Human Rights is the prohibition of rape, forced prostitution and any form of sexual assault.</w:t>
      </w:r>
      <w:r>
        <w:rPr>
          <w:rFonts w:ascii="Times New Roman" w:eastAsia="Times New Roman" w:hAnsi="Times New Roman" w:cs="Times New Roman"/>
          <w:noProof/>
          <w:sz w:val="24"/>
          <w:szCs w:val="24"/>
        </w:rPr>
        <w:drawing>
          <wp:inline distT="0" distB="0" distL="0" distR="0">
            <wp:extent cx="151130" cy="142875"/>
            <wp:effectExtent l="19050" t="0" r="1270" b="0"/>
            <wp:docPr id="1220" name="Imagen 12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South Africa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South Africa’s LOAC Manual (1996) provides that “rape… [is] forbidden”.</w:t>
      </w:r>
      <w:r>
        <w:rPr>
          <w:rFonts w:ascii="Times New Roman" w:eastAsia="Times New Roman" w:hAnsi="Times New Roman" w:cs="Times New Roman"/>
          <w:noProof/>
          <w:sz w:val="24"/>
          <w:szCs w:val="24"/>
        </w:rPr>
        <w:drawing>
          <wp:inline distT="0" distB="0" distL="0" distR="0">
            <wp:extent cx="151130" cy="142875"/>
            <wp:effectExtent l="19050" t="0" r="1270" b="0"/>
            <wp:docPr id="1221" name="Imagen 12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South Africa’s Revised Civic Education Manual (2004) provides that “rape… [is] forbidden”.</w:t>
      </w:r>
      <w:r>
        <w:rPr>
          <w:rFonts w:ascii="Times New Roman" w:eastAsia="Times New Roman" w:hAnsi="Times New Roman" w:cs="Times New Roman"/>
          <w:noProof/>
          <w:sz w:val="24"/>
          <w:szCs w:val="24"/>
        </w:rPr>
        <w:drawing>
          <wp:inline distT="0" distB="0" distL="0" distR="0">
            <wp:extent cx="151130" cy="142875"/>
            <wp:effectExtent l="19050" t="0" r="1270" b="0"/>
            <wp:docPr id="1222" name="Imagen 12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Spain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Spain’s LOAC Manual (1996) stipulates: “Women are subject to special respect and shall be protected in particular against all forms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23" name="Imagen 12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Spain’s LOAC Manual (2007) states: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[N]o person who is captured or detained in relation to an armed conflict remains unprotected under the law of armed conflict and is entitled, at all times, to minimum guarantees. [These include] … prohibition of the following acts at any time and in any place, whether committed by civilian or military agents: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outrages upon personal dignity, in particular … enforced prostitution and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24" name="Imagen 12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Sweden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Sweden’s IHL Manual (1991) considers that the fundamental guarantees for persons in the power of one party to the conflict as contained in Article 75 of the 1977 Additional Protocol I and the general protection of women contained in 76(1) of the 1977 Additional Protocol I are part of customary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225" name="Imagen 12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Switzerland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Switzerland’s military manuals provide that women must be particularly respected and protected against rape, enforced prostitution and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26" name="Imagen 12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Uganda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Uganda’s Operational Code of Conduct (1986) provides that rape is a crime that entails a specific punishment.</w:t>
      </w:r>
      <w:r>
        <w:rPr>
          <w:rFonts w:ascii="Times New Roman" w:eastAsia="Times New Roman" w:hAnsi="Times New Roman" w:cs="Times New Roman"/>
          <w:noProof/>
          <w:sz w:val="24"/>
          <w:szCs w:val="24"/>
        </w:rPr>
        <w:drawing>
          <wp:inline distT="0" distB="0" distL="0" distR="0">
            <wp:extent cx="151130" cy="142875"/>
            <wp:effectExtent l="19050" t="0" r="1270" b="0"/>
            <wp:docPr id="1227" name="Imagen 12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Ukraine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Ukraine’s IHL Manual (2004) states that “outrages upon personal dignity (humiliating and degrading treatment, rape, forced prostitution and so on)”, or threats of such actions, against the following persons are prohibited in non-international armed conflicts: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persons taking no active part in the hostilities;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members of armed forces who have laid down their arms;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 those placed </w:t>
      </w:r>
      <w:r w:rsidRPr="00E848A7">
        <w:rPr>
          <w:rFonts w:ascii="Times New Roman" w:eastAsia="Times New Roman" w:hAnsi="Times New Roman" w:cs="Times New Roman"/>
          <w:i/>
          <w:iCs/>
          <w:sz w:val="24"/>
          <w:szCs w:val="24"/>
          <w:lang w:val="en-US"/>
        </w:rPr>
        <w:t>hors de combat</w:t>
      </w:r>
      <w:r w:rsidRPr="00E848A7">
        <w:rPr>
          <w:rFonts w:ascii="Times New Roman" w:eastAsia="Times New Roman" w:hAnsi="Times New Roman" w:cs="Times New Roman"/>
          <w:sz w:val="24"/>
          <w:szCs w:val="24"/>
          <w:lang w:val="en-US"/>
        </w:rPr>
        <w:t xml:space="preserve"> by sickness, wounds, detention, or any other cause.</w:t>
      </w:r>
      <w:r>
        <w:rPr>
          <w:rFonts w:ascii="Times New Roman" w:eastAsia="Times New Roman" w:hAnsi="Times New Roman" w:cs="Times New Roman"/>
          <w:noProof/>
          <w:sz w:val="24"/>
          <w:szCs w:val="24"/>
        </w:rPr>
        <w:drawing>
          <wp:inline distT="0" distB="0" distL="0" distR="0">
            <wp:extent cx="151130" cy="142875"/>
            <wp:effectExtent l="19050" t="0" r="1270" b="0"/>
            <wp:docPr id="1228" name="Imagen 12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Kingdom of Great Britain and Northern Ireland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UK Military Manual (1958) states: “Women must be specially protected against any attack on their honour, in particular against rape, enforced prostitution or any form of indecent assault.” According to the manual, the rule also applies in occupied territories. The manual further specifies that forcing women into prostitution, even if it is not considered as a grave breach of the 1949 Geneva Conventions, qualifies as a war crime.</w:t>
      </w:r>
      <w:r>
        <w:rPr>
          <w:rFonts w:ascii="Times New Roman" w:eastAsia="Times New Roman" w:hAnsi="Times New Roman" w:cs="Times New Roman"/>
          <w:noProof/>
          <w:sz w:val="24"/>
          <w:szCs w:val="24"/>
        </w:rPr>
        <w:drawing>
          <wp:inline distT="0" distB="0" distL="0" distR="0">
            <wp:extent cx="151130" cy="142875"/>
            <wp:effectExtent l="19050" t="0" r="1270" b="0"/>
            <wp:docPr id="1229" name="Imagen 12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 UK LOAC Pamphlet (1981) provides: “The question of honour of women is specific; there must be no rape, no enforced prostitution and no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30" name="Imagen 12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The UK LOAC Manual (2004) states in its chapter on the protection of civilians in the hands of a party to the conflict: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The following acts are prohibited “at any time and in any place whatsoever”: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outrages upon personal dignity, in particular humiliating and degrading treatment, enforced prostitution and any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231" name="Imagen 12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Under the terms of Common Article 3, the parties to a non-international armed conflict occurring in the territory of a party to the Conventions are obliged to apply “as a minimum”, the following provisions: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Persons taking no active part in the hostilities, including members of armed forces who have laid down their arms and those placed hors de combat by sickness, wounds, detention, or any other cause, shall in all circumstances be treated humanely, without any adverse distinction founded on race, colour, religion or faith, sex, birth or wealth, or any other similar criteria.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To this end, the following acts are and shall remain prohibited at any time and in any place whatsoever with respect to the above-mentioned persons: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rape, sexual slavery, enforced prostitution, forced pregnancy, forced sterilization, and any other form of sexual violence also constituting a serious violation of” Common Article 3 [of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1232" name="Imagen 12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States of America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US Field Manual (1956) restates Article 27 of the 1949 Geneva Convention IV.</w:t>
      </w:r>
      <w:r>
        <w:rPr>
          <w:rFonts w:ascii="Times New Roman" w:eastAsia="Times New Roman" w:hAnsi="Times New Roman" w:cs="Times New Roman"/>
          <w:noProof/>
          <w:sz w:val="24"/>
          <w:szCs w:val="24"/>
        </w:rPr>
        <w:drawing>
          <wp:inline distT="0" distB="0" distL="0" distR="0">
            <wp:extent cx="151130" cy="142875"/>
            <wp:effectExtent l="19050" t="0" r="1270" b="0"/>
            <wp:docPr id="1233" name="Imagen 12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 US Air Force Pamphlet (1976) provides with regard to national or occupied territories: “Women are to be protected against sexual attack and enforced prostitution.”</w:t>
      </w:r>
      <w:r>
        <w:rPr>
          <w:rFonts w:ascii="Times New Roman" w:eastAsia="Times New Roman" w:hAnsi="Times New Roman" w:cs="Times New Roman"/>
          <w:noProof/>
          <w:sz w:val="24"/>
          <w:szCs w:val="24"/>
        </w:rPr>
        <w:drawing>
          <wp:inline distT="0" distB="0" distL="0" distR="0">
            <wp:extent cx="151130" cy="142875"/>
            <wp:effectExtent l="19050" t="0" r="1270" b="0"/>
            <wp:docPr id="1234" name="Imagen 12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 US Soldier’s Manual (1984) states: “Women in war zones must be protected against rape and forced prostitution.”</w:t>
      </w:r>
      <w:r>
        <w:rPr>
          <w:rFonts w:ascii="Times New Roman" w:eastAsia="Times New Roman" w:hAnsi="Times New Roman" w:cs="Times New Roman"/>
          <w:noProof/>
          <w:sz w:val="24"/>
          <w:szCs w:val="24"/>
        </w:rPr>
        <w:drawing>
          <wp:inline distT="0" distB="0" distL="0" distR="0">
            <wp:extent cx="151130" cy="142875"/>
            <wp:effectExtent l="19050" t="0" r="1270" b="0"/>
            <wp:docPr id="1235" name="Imagen 12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 US Instructor’s Guide (1985) provides with regard to the treatment of non-combatants: “Women must be protected from attacks on their honour, to include any form of sexual assault.”</w:t>
      </w:r>
      <w:r>
        <w:rPr>
          <w:rFonts w:ascii="Times New Roman" w:eastAsia="Times New Roman" w:hAnsi="Times New Roman" w:cs="Times New Roman"/>
          <w:noProof/>
          <w:sz w:val="24"/>
          <w:szCs w:val="24"/>
        </w:rPr>
        <w:drawing>
          <wp:inline distT="0" distB="0" distL="0" distR="0">
            <wp:extent cx="151130" cy="142875"/>
            <wp:effectExtent l="19050" t="0" r="1270" b="0"/>
            <wp:docPr id="1236" name="Imagen 12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The US Operational Law Handbook (1993) states that the “law of war specifically prohibits any attacks on [women’s] honour, including any form of sexual assault”.</w:t>
      </w:r>
      <w:r>
        <w:rPr>
          <w:rFonts w:ascii="Times New Roman" w:eastAsia="Times New Roman" w:hAnsi="Times New Roman" w:cs="Times New Roman"/>
          <w:noProof/>
          <w:sz w:val="24"/>
          <w:szCs w:val="24"/>
        </w:rPr>
        <w:drawing>
          <wp:inline distT="0" distB="0" distL="0" distR="0">
            <wp:extent cx="151130" cy="142875"/>
            <wp:effectExtent l="19050" t="0" r="1270" b="0"/>
            <wp:docPr id="1237" name="Imagen 12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US Manual for Military Commissions (2007), Part IV, Crimes and Elements, includes in the list of crimes triable by military commissions: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RAPE.</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a. </w:t>
      </w:r>
      <w:r w:rsidRPr="00E848A7">
        <w:rPr>
          <w:rFonts w:ascii="Times New Roman" w:eastAsia="Times New Roman" w:hAnsi="Times New Roman" w:cs="Times New Roman"/>
          <w:i/>
          <w:iCs/>
          <w:sz w:val="24"/>
          <w:szCs w:val="24"/>
          <w:lang w:val="en-US"/>
        </w:rPr>
        <w:t>Text</w:t>
      </w:r>
      <w:r w:rsidRPr="00E848A7">
        <w:rPr>
          <w:rFonts w:ascii="Times New Roman" w:eastAsia="Times New Roman" w:hAnsi="Times New Roman" w:cs="Times New Roman"/>
          <w:sz w:val="24"/>
          <w:szCs w:val="24"/>
          <w:lang w:val="en-US"/>
        </w:rPr>
        <w:t>. “Any person subject to this chapter who forcibly or with coercion or threat of force wrongfully invades the body of a person by penetrating, however slightly, the anal or genital opening of the victim with any part of the body of the accused, or with any foreign object, shall be punished as a military commission under this chapter may direct.”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b. </w:t>
      </w:r>
      <w:r w:rsidRPr="00E848A7">
        <w:rPr>
          <w:rFonts w:ascii="Times New Roman" w:eastAsia="Times New Roman" w:hAnsi="Times New Roman" w:cs="Times New Roman"/>
          <w:i/>
          <w:iCs/>
          <w:sz w:val="24"/>
          <w:szCs w:val="24"/>
          <w:lang w:val="en-US"/>
        </w:rPr>
        <w:t>Elements</w:t>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(1) The accused wrongfully invaded the body of a person by conduct resulting in penetration, however slight, of any part of the body of the victim or of the accused, with a sexual organ, or of the anal or genital opening of the victim with any object or any other part of the body;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The invasion was committed by force, threat of force or coercion or against a person incapable of giving consent; and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The conduct took place in the context of and was associated with armed conflict.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c. </w:t>
      </w:r>
      <w:r w:rsidRPr="00E848A7">
        <w:rPr>
          <w:rFonts w:ascii="Times New Roman" w:eastAsia="Times New Roman" w:hAnsi="Times New Roman" w:cs="Times New Roman"/>
          <w:i/>
          <w:iCs/>
          <w:sz w:val="24"/>
          <w:szCs w:val="24"/>
          <w:lang w:val="en-US"/>
        </w:rPr>
        <w:t>Comment</w:t>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(1) This offense recognizes that consensual conduct does not give rise to this offense.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It is understood that a person may be incapable of giving consent if affected by </w:t>
      </w:r>
      <w:r w:rsidRPr="00E848A7">
        <w:rPr>
          <w:rFonts w:ascii="Times New Roman" w:eastAsia="Times New Roman" w:hAnsi="Times New Roman" w:cs="Times New Roman"/>
          <w:sz w:val="24"/>
          <w:szCs w:val="24"/>
          <w:lang w:val="en-US"/>
        </w:rPr>
        <w:lastRenderedPageBreak/>
        <w:t xml:space="preserve">natural, induced, or age-related incapacity.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The concept of “invasion” is linked to the inherent wrongfulness requirement. In this case, for example, a legitimate body cavity search could not give rise to this offense.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(4) The concept of “invasion” is gender neutral.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d</w:t>
      </w:r>
      <w:r w:rsidRPr="00E848A7">
        <w:rPr>
          <w:rFonts w:ascii="Times New Roman" w:eastAsia="Times New Roman" w:hAnsi="Times New Roman" w:cs="Times New Roman"/>
          <w:i/>
          <w:iCs/>
          <w:sz w:val="24"/>
          <w:szCs w:val="24"/>
          <w:lang w:val="en-US"/>
        </w:rPr>
        <w:t>. Maximum punishment</w:t>
      </w:r>
      <w:r w:rsidRPr="00E848A7">
        <w:rPr>
          <w:rFonts w:ascii="Times New Roman" w:eastAsia="Times New Roman" w:hAnsi="Times New Roman" w:cs="Times New Roman"/>
          <w:sz w:val="24"/>
          <w:szCs w:val="24"/>
          <w:lang w:val="en-US"/>
        </w:rPr>
        <w:t xml:space="preserve">. Confinement for life.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SEXUAL ASSAULT OR ABUSE.</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a. </w:t>
      </w:r>
      <w:r w:rsidRPr="00E848A7">
        <w:rPr>
          <w:rFonts w:ascii="Times New Roman" w:eastAsia="Times New Roman" w:hAnsi="Times New Roman" w:cs="Times New Roman"/>
          <w:i/>
          <w:iCs/>
          <w:sz w:val="24"/>
          <w:szCs w:val="24"/>
          <w:lang w:val="en-US"/>
        </w:rPr>
        <w:t>Text</w:t>
      </w:r>
      <w:r w:rsidRPr="00E848A7">
        <w:rPr>
          <w:rFonts w:ascii="Times New Roman" w:eastAsia="Times New Roman" w:hAnsi="Times New Roman" w:cs="Times New Roman"/>
          <w:sz w:val="24"/>
          <w:szCs w:val="24"/>
          <w:lang w:val="en-US"/>
        </w:rPr>
        <w:t>. “Any person subject to this chapter who forcibly or with coercion or threat of force engages in sexual contact with one or more persons, or causes one or more persons to engage in sexual contact, shall be punished as a military commission under this chapter may direct.”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b. </w:t>
      </w:r>
      <w:r w:rsidRPr="00E848A7">
        <w:rPr>
          <w:rFonts w:ascii="Times New Roman" w:eastAsia="Times New Roman" w:hAnsi="Times New Roman" w:cs="Times New Roman"/>
          <w:i/>
          <w:iCs/>
          <w:sz w:val="24"/>
          <w:szCs w:val="24"/>
          <w:lang w:val="en-US"/>
        </w:rPr>
        <w:t>Elements</w:t>
      </w:r>
      <w:r w:rsidRPr="00E848A7">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(1) The accused wrongfully engaged in sexual contact with one or more persons or wrongfully caused one or more persons to engage in sexual contact;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The sexual contact was committed by force, threat of force or coercion or against a person incapable of giving consent; and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The conduct took place in the context of and was associated with armed conflict.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c. </w:t>
      </w:r>
      <w:r w:rsidRPr="00E848A7">
        <w:rPr>
          <w:rFonts w:ascii="Times New Roman" w:eastAsia="Times New Roman" w:hAnsi="Times New Roman" w:cs="Times New Roman"/>
          <w:i/>
          <w:iCs/>
          <w:sz w:val="24"/>
          <w:szCs w:val="24"/>
          <w:lang w:val="en-US"/>
        </w:rPr>
        <w:t>Comment</w:t>
      </w:r>
      <w:r w:rsidRPr="00E848A7">
        <w:rPr>
          <w:rFonts w:ascii="Times New Roman" w:eastAsia="Times New Roman" w:hAnsi="Times New Roman" w:cs="Times New Roman"/>
          <w:sz w:val="24"/>
          <w:szCs w:val="24"/>
          <w:lang w:val="en-US"/>
        </w:rPr>
        <w:t>. Sexual assault or abuse is defined as intentional sexual contact, characterized by use of force, physical threat of force or abuse of authority or when the victim does not or cannot consent. Sexual assault includes rape, nonconsensual sodomy (oral or anal sex), indecent assault (unwanted, inappropriate sexual contact or fondling), or attempts to commit these acts. Sexual assault can occur without regard to gender or spousal relationship or age of victim.</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d. </w:t>
      </w:r>
      <w:r w:rsidRPr="00E848A7">
        <w:rPr>
          <w:rFonts w:ascii="Times New Roman" w:eastAsia="Times New Roman" w:hAnsi="Times New Roman" w:cs="Times New Roman"/>
          <w:i/>
          <w:iCs/>
          <w:sz w:val="24"/>
          <w:szCs w:val="24"/>
          <w:lang w:val="en-US"/>
        </w:rPr>
        <w:t>Maximum punishment</w:t>
      </w:r>
      <w:r w:rsidRPr="00E848A7">
        <w:rPr>
          <w:rFonts w:ascii="Times New Roman" w:eastAsia="Times New Roman" w:hAnsi="Times New Roman" w:cs="Times New Roman"/>
          <w:sz w:val="24"/>
          <w:szCs w:val="24"/>
          <w:lang w:val="en-US"/>
        </w:rPr>
        <w:t>. Confinement for life.</w:t>
      </w:r>
      <w:r>
        <w:rPr>
          <w:rFonts w:ascii="Times New Roman" w:eastAsia="Times New Roman" w:hAnsi="Times New Roman" w:cs="Times New Roman"/>
          <w:noProof/>
          <w:sz w:val="24"/>
          <w:szCs w:val="24"/>
        </w:rPr>
        <w:drawing>
          <wp:inline distT="0" distB="0" distL="0" distR="0">
            <wp:extent cx="151130" cy="142875"/>
            <wp:effectExtent l="19050" t="0" r="1270" b="0"/>
            <wp:docPr id="1238" name="Imagen 12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The US Manual for Military Commissions (2010), Part IV, Crimes and Elements, includes in the list of crimes triable by military commissions: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(21) </w:t>
      </w:r>
      <w:r w:rsidRPr="00E848A7">
        <w:rPr>
          <w:rFonts w:ascii="Times New Roman" w:eastAsia="Times New Roman" w:hAnsi="Times New Roman" w:cs="Times New Roman"/>
          <w:i/>
          <w:iCs/>
          <w:sz w:val="24"/>
          <w:szCs w:val="24"/>
          <w:lang w:val="en-US"/>
        </w:rPr>
        <w:t>RAPE.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a. </w:t>
      </w:r>
      <w:r w:rsidRPr="00E848A7">
        <w:rPr>
          <w:rFonts w:ascii="Times New Roman" w:eastAsia="Times New Roman" w:hAnsi="Times New Roman" w:cs="Times New Roman"/>
          <w:i/>
          <w:iCs/>
          <w:sz w:val="24"/>
          <w:szCs w:val="24"/>
          <w:lang w:val="en-US"/>
        </w:rPr>
        <w:t>Text</w:t>
      </w:r>
      <w:r w:rsidRPr="00E848A7">
        <w:rPr>
          <w:rFonts w:ascii="Times New Roman" w:eastAsia="Times New Roman" w:hAnsi="Times New Roman" w:cs="Times New Roman"/>
          <w:sz w:val="24"/>
          <w:szCs w:val="24"/>
          <w:lang w:val="en-US"/>
        </w:rPr>
        <w:t>. “Any person subject to this chapter who forcibly or with coercion or threat of force wrongfully invades the body of a person by penetrating, however slightly, the anal or genital opening of the victim with any part of the body of the accused, or with any foreign object, shall be punished as a military commission under this chapter may direct.”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b. Elements.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accused wrongfully invaded the body of a person by conduct resulting in penetration, however slight, of any part of the body of the victim or of the accused, with a sexual organ, or of the anal or genital opening of the victim with any object or any other part of the body;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The invasion was committed by force, threat of force or coercion or against a person incapable of giving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The conduct took place in the context of and was associated with hostilities.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c. Comment.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This offense recognizes that consensual conduct does not give rise to this offense.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It is understood that a person may be incapable of giving consent if affected by natural, induced, or age-related incapacity.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The concept of “invasion” is linked to the inherent wrongfulness requirement. In this case, for example, a legitimate body cavity search could not give rise to this offense.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The concept of “invasion” is gender neutral.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d. </w:t>
      </w:r>
      <w:r w:rsidRPr="00E848A7">
        <w:rPr>
          <w:rFonts w:ascii="Times New Roman" w:eastAsia="Times New Roman" w:hAnsi="Times New Roman" w:cs="Times New Roman"/>
          <w:i/>
          <w:iCs/>
          <w:sz w:val="24"/>
          <w:szCs w:val="24"/>
          <w:lang w:val="en-US"/>
        </w:rPr>
        <w:t>Maximum punishment</w:t>
      </w:r>
      <w:r w:rsidRPr="00E848A7">
        <w:rPr>
          <w:rFonts w:ascii="Times New Roman" w:eastAsia="Times New Roman" w:hAnsi="Times New Roman" w:cs="Times New Roman"/>
          <w:sz w:val="24"/>
          <w:szCs w:val="24"/>
          <w:lang w:val="en-US"/>
        </w:rPr>
        <w:t>. Confinement for life.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(22) SEXUAL ASSAULT OR ABUSE.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a. </w:t>
      </w:r>
      <w:r w:rsidRPr="00E848A7">
        <w:rPr>
          <w:rFonts w:ascii="Times New Roman" w:eastAsia="Times New Roman" w:hAnsi="Times New Roman" w:cs="Times New Roman"/>
          <w:i/>
          <w:iCs/>
          <w:sz w:val="24"/>
          <w:szCs w:val="24"/>
          <w:lang w:val="en-US"/>
        </w:rPr>
        <w:t>Text</w:t>
      </w:r>
      <w:r w:rsidRPr="00E848A7">
        <w:rPr>
          <w:rFonts w:ascii="Times New Roman" w:eastAsia="Times New Roman" w:hAnsi="Times New Roman" w:cs="Times New Roman"/>
          <w:sz w:val="24"/>
          <w:szCs w:val="24"/>
          <w:lang w:val="en-US"/>
        </w:rPr>
        <w:t xml:space="preserve">. “Any person subject to this chapter who forcibly or with coercion or threat of force engages in sexual contact with one or more persons, or causes one or more </w:t>
      </w:r>
      <w:r w:rsidRPr="00E848A7">
        <w:rPr>
          <w:rFonts w:ascii="Times New Roman" w:eastAsia="Times New Roman" w:hAnsi="Times New Roman" w:cs="Times New Roman"/>
          <w:sz w:val="24"/>
          <w:szCs w:val="24"/>
          <w:lang w:val="en-US"/>
        </w:rPr>
        <w:lastRenderedPageBreak/>
        <w:t>persons to engage in sexual contact, shall be punished as a military commission under this chapter may direct.”</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b. Elements.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accused wrongfully engaged in sexual contact with one or more persons or wrongfully caused one or more persons to engage in sexual contact;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The sexual contact was committed by force, threat of force or coercion or against a person incapable of giving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The conduct took place in the context of and was associated with hostilities.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c. </w:t>
      </w:r>
      <w:r w:rsidRPr="00E848A7">
        <w:rPr>
          <w:rFonts w:ascii="Times New Roman" w:eastAsia="Times New Roman" w:hAnsi="Times New Roman" w:cs="Times New Roman"/>
          <w:i/>
          <w:iCs/>
          <w:sz w:val="24"/>
          <w:szCs w:val="24"/>
          <w:lang w:val="en-US"/>
        </w:rPr>
        <w:t>Comment</w:t>
      </w:r>
      <w:r w:rsidRPr="00E848A7">
        <w:rPr>
          <w:rFonts w:ascii="Times New Roman" w:eastAsia="Times New Roman" w:hAnsi="Times New Roman" w:cs="Times New Roman"/>
          <w:sz w:val="24"/>
          <w:szCs w:val="24"/>
          <w:lang w:val="en-US"/>
        </w:rPr>
        <w:t>. Sexual assault or abuse is defined as intentional sexual contact, characterized by use of force, physical threat of force or abuse of authority or when the victim does not or cannot consent. Sexual assault includes rape, nonconsensual sodomy (oral or anal sex), indecent assault (unwanted, inappropriate sexual contact or fondling), or attempts to commit these acts. Sexual assault can occur without regard to gender or spousal relationship or age of victim.</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d. </w:t>
      </w:r>
      <w:r w:rsidRPr="00E848A7">
        <w:rPr>
          <w:rFonts w:ascii="Times New Roman" w:eastAsia="Times New Roman" w:hAnsi="Times New Roman" w:cs="Times New Roman"/>
          <w:i/>
          <w:iCs/>
          <w:sz w:val="24"/>
          <w:szCs w:val="24"/>
          <w:lang w:val="en-US"/>
        </w:rPr>
        <w:t>Maximum punishment</w:t>
      </w:r>
      <w:r w:rsidRPr="00E848A7">
        <w:rPr>
          <w:rFonts w:ascii="Times New Roman" w:eastAsia="Times New Roman" w:hAnsi="Times New Roman" w:cs="Times New Roman"/>
          <w:sz w:val="24"/>
          <w:szCs w:val="24"/>
          <w:lang w:val="en-US"/>
        </w:rPr>
        <w:t>. Confinement for life.</w:t>
      </w:r>
      <w:r>
        <w:rPr>
          <w:rFonts w:ascii="Times New Roman" w:eastAsia="Times New Roman" w:hAnsi="Times New Roman" w:cs="Times New Roman"/>
          <w:noProof/>
          <w:sz w:val="24"/>
          <w:szCs w:val="24"/>
        </w:rPr>
        <w:drawing>
          <wp:inline distT="0" distB="0" distL="0" distR="0">
            <wp:extent cx="151130" cy="142875"/>
            <wp:effectExtent l="19050" t="0" r="1270" b="0"/>
            <wp:docPr id="1239" name="Imagen 12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Yugoslavia, Socialist Federal Republic of</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Socialist Federal Republic of Yugoslavia’s Military Manual (1988) provides for the protection of women against attacks on their honour, especially rape and forced prostitution.</w:t>
      </w:r>
      <w:r>
        <w:rPr>
          <w:rFonts w:ascii="Times New Roman" w:eastAsia="Times New Roman" w:hAnsi="Times New Roman" w:cs="Times New Roman"/>
          <w:noProof/>
          <w:sz w:val="24"/>
          <w:szCs w:val="24"/>
        </w:rPr>
        <w:drawing>
          <wp:inline distT="0" distB="0" distL="0" distR="0">
            <wp:extent cx="151130" cy="142875"/>
            <wp:effectExtent l="19050" t="0" r="1270" b="0"/>
            <wp:docPr id="1240" name="Imagen 12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0" w:history="1">
        <w:r w:rsidRPr="00E848A7">
          <w:rPr>
            <w:rFonts w:ascii="Times New Roman" w:eastAsia="Times New Roman" w:hAnsi="Times New Roman" w:cs="Times New Roman"/>
            <w:color w:val="0000FF"/>
            <w:sz w:val="24"/>
            <w:szCs w:val="24"/>
            <w:u w:val="single"/>
            <w:lang w:val="en-US"/>
          </w:rPr>
          <w:t>IV. National Legislation</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Argentina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Argentina’s Law on the Protection of Children’s and Adolescents’ Rights (2005) states: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Children and adolescents are entitled to dignity as subjects of international law and developing persons. [They are entitled] to not be subjected to … any form of … sexual exploitation, kidnapping or trafficking for any cruel or degrading purpose, or under any cruel or degrading form or condition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Children and adolescents are entitled to their physical, sexual, psychological and moral integrity.</w:t>
      </w:r>
      <w:r>
        <w:rPr>
          <w:rFonts w:ascii="Times New Roman" w:eastAsia="Times New Roman" w:hAnsi="Times New Roman" w:cs="Times New Roman"/>
          <w:noProof/>
          <w:sz w:val="24"/>
          <w:szCs w:val="24"/>
        </w:rPr>
        <w:drawing>
          <wp:inline distT="0" distB="0" distL="0" distR="0">
            <wp:extent cx="151130" cy="142875"/>
            <wp:effectExtent l="19050" t="0" r="1270" b="0"/>
            <wp:docPr id="1241" name="Imagen 12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Armenia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Under Armenia’s Penal Code (2003), the “application of … humiliating practices” during an armed conflict constitutes a crime against the peace and security of mankind. This is also the case for acts of genocide, including “violently preventing births” within a national, ethnic, racial or religious group.</w:t>
      </w:r>
      <w:r>
        <w:rPr>
          <w:rFonts w:ascii="Times New Roman" w:eastAsia="Times New Roman" w:hAnsi="Times New Roman" w:cs="Times New Roman"/>
          <w:noProof/>
          <w:sz w:val="24"/>
          <w:szCs w:val="24"/>
        </w:rPr>
        <w:drawing>
          <wp:inline distT="0" distB="0" distL="0" distR="0">
            <wp:extent cx="151130" cy="142875"/>
            <wp:effectExtent l="19050" t="0" r="1270" b="0"/>
            <wp:docPr id="1242" name="Imagen 12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Australia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Australia’s War Crimes Act (1945) provides that rape and “abduction of girls and women for the purpose of enforced prostitution”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243" name="Imagen 12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Under Australia’s War Crimes Act (1945), as amended in 2001, rape, indecent assault and “abduction, or procuring, for immoral purposes” are considered serious war crimes.</w:t>
      </w:r>
      <w:r>
        <w:rPr>
          <w:rFonts w:ascii="Times New Roman" w:eastAsia="Times New Roman" w:hAnsi="Times New Roman" w:cs="Times New Roman"/>
          <w:noProof/>
          <w:sz w:val="24"/>
          <w:szCs w:val="24"/>
        </w:rPr>
        <w:drawing>
          <wp:inline distT="0" distB="0" distL="0" distR="0">
            <wp:extent cx="151130" cy="142875"/>
            <wp:effectExtent l="19050" t="0" r="1270" b="0"/>
            <wp:docPr id="1244" name="Imagen 12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Australia’s Criminal Code Act (1995), as amended to 2007, states with respect to serious war crimes that are committed in the course of an international armed conflict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268.59 War crime – rape</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sexually penetrates another person without the consent of that person;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knows about, or is reckless as to, the lack of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causes another person to sexually penetrate the perpetrator without the consent of the other person;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knows about, or is reckless as to, the lack of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Penalty: Imprisonment for 25 years.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In this section: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means free and voluntary agreement. The following are examples of circumstances in which a person does not consent to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person submits to the act because of force or the fear of force to the person or to someone else;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person submits to the act because the person is unlawfully detained;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person is asleep or unconscious, or is so affected by alcohol or another drug as to be incapable of consenting;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person is incapable of understanding the essential nature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person is mistaken about the essential nature of the act (for example, the person mistakenly believes that the act is for medical or hygienic purposes);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the person submits to the act because of psychological oppression or abuse of power;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the person submits to the act because of the perpetrator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(4) In this section: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sexually penetrate</w:t>
      </w:r>
      <w:r w:rsidRPr="00E848A7">
        <w:rPr>
          <w:rFonts w:ascii="Times New Roman" w:eastAsia="Times New Roman" w:hAnsi="Times New Roman" w:cs="Times New Roman"/>
          <w:sz w:val="24"/>
          <w:szCs w:val="24"/>
          <w:lang w:val="en-US"/>
        </w:rPr>
        <w:t xml:space="preserve"> means: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penetrate (to any extent) the genitalia or anus of a person by any part of the body of another person or by any object manipulated by that other person;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penetrate (to any extent) the mouth of a person by the penis of another person;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continue to sexually penetrate as defined in paragraph (a) or (b).</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(5) In this section, being </w:t>
      </w:r>
      <w:r w:rsidRPr="00E848A7">
        <w:rPr>
          <w:rFonts w:ascii="Times New Roman" w:eastAsia="Times New Roman" w:hAnsi="Times New Roman" w:cs="Times New Roman"/>
          <w:i/>
          <w:iCs/>
          <w:sz w:val="24"/>
          <w:szCs w:val="24"/>
          <w:lang w:val="en-US"/>
        </w:rPr>
        <w:t>reckless</w:t>
      </w:r>
      <w:r w:rsidRPr="00E848A7">
        <w:rPr>
          <w:rFonts w:ascii="Times New Roman" w:eastAsia="Times New Roman" w:hAnsi="Times New Roman" w:cs="Times New Roman"/>
          <w:sz w:val="24"/>
          <w:szCs w:val="24"/>
          <w:lang w:val="en-US"/>
        </w:rPr>
        <w:t xml:space="preserve"> as to a lack of consent to sexual penetration includes not giving any thought to whether or not the person is consenting to sexual penetration.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(6) In this section, the genitalia or other parts of the body of a person include surgically constructed genitalia or other parts of the body of the person.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268.60 War crime – sexual slavery</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causes another person to enter into or remain in sexual slavery;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intends to cause, or is reckless as to causing, that sexual slavery;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For the purposes of this section, </w:t>
      </w:r>
      <w:r w:rsidRPr="00E848A7">
        <w:rPr>
          <w:rFonts w:ascii="Times New Roman" w:eastAsia="Times New Roman" w:hAnsi="Times New Roman" w:cs="Times New Roman"/>
          <w:i/>
          <w:iCs/>
          <w:sz w:val="24"/>
          <w:szCs w:val="24"/>
          <w:lang w:val="en-US"/>
        </w:rPr>
        <w:t xml:space="preserve">sexual slavery </w:t>
      </w:r>
      <w:r w:rsidRPr="00E848A7">
        <w:rPr>
          <w:rFonts w:ascii="Times New Roman" w:eastAsia="Times New Roman" w:hAnsi="Times New Roman" w:cs="Times New Roman"/>
          <w:sz w:val="24"/>
          <w:szCs w:val="24"/>
          <w:lang w:val="en-US"/>
        </w:rPr>
        <w:t>is the condition of a person who provides sexual services and who, because of the use of force or threats: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is not free to cease providing sexual services;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is not free to leave the place or area where the person provides sexual services.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(3) In this section: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sexual service</w:t>
      </w:r>
      <w:r w:rsidRPr="00E848A7">
        <w:rPr>
          <w:rFonts w:ascii="Times New Roman" w:eastAsia="Times New Roman" w:hAnsi="Times New Roman" w:cs="Times New Roman"/>
          <w:sz w:val="24"/>
          <w:szCs w:val="24"/>
          <w:lang w:val="en-US"/>
        </w:rPr>
        <w:t xml:space="preserve"> means the use or display of the body of the person providing the service for the sexual gratification of others.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threat</w:t>
      </w:r>
      <w:r w:rsidRPr="00E848A7">
        <w:rPr>
          <w:rFonts w:ascii="Times New Roman" w:eastAsia="Times New Roman" w:hAnsi="Times New Roman" w:cs="Times New Roman"/>
          <w:sz w:val="24"/>
          <w:szCs w:val="24"/>
          <w:lang w:val="en-US"/>
        </w:rPr>
        <w:t xml:space="preserve"> means: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 a threat of force; or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(b) a threat to cause a person’s deportation; or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(c) a threat of any other detrimental action unless there are reasonable grounds for the threat of that action in connection with the provision of sexual services by a person.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268.61 War crime – enforced prostitution</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commits an offence if:</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causes one or more persons to engage in one or more acts of a sexual nature without the consent of the person or persons, including by being reckless as to whether there is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intends that he or she, or another person, will obtain pecuniary or other advantage in exchange for, or in connection with, the acts of a sexual nature;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means free and voluntary agreement. The following are examples of circumstances in which a person does not consent to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person submits to the act because of force or the fear of force to the person or to someone else;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person submits to the act because the person is unlawfully detained;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person is asleep or unconscious, or is so affected by alcohol or another drug as to be incapable of consenting;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person is incapable of understanding the essential nature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person is mistaken about the essential nature of the act (for example, the person mistakenly believes that the act is for medical or hygienic purposes);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the person submits to the act because of psychological oppression or abuse of power;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the person submits to the act because of the perpetrator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threat of force or coercion</w:t>
      </w:r>
      <w:r w:rsidRPr="00E848A7">
        <w:rPr>
          <w:rFonts w:ascii="Times New Roman" w:eastAsia="Times New Roman" w:hAnsi="Times New Roman" w:cs="Times New Roman"/>
          <w:sz w:val="24"/>
          <w:szCs w:val="24"/>
          <w:lang w:val="en-US"/>
        </w:rPr>
        <w:t xml:space="preserve"> includes: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a threat of force or coercion such as that caused by fear of violence, duress, detention, psychological oppression or abuse of power;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(3) In subsection (1), being reckless as to whether there is consent to one or more acts of a sexual nature includes not giving any thought to whether or not the person is consenting to the act or acts of a sexual nature.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268.62 War crime – forced pregnancy</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unlawfully confines one or more women forcibly made pregnant;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intends to affect the ethnic composition of any population or to destroy, wholly or partly, a national, ethnical, racial or religious group, as such;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forcibly made pregnant</w:t>
      </w:r>
      <w:r w:rsidRPr="00E848A7">
        <w:rPr>
          <w:rFonts w:ascii="Times New Roman" w:eastAsia="Times New Roman" w:hAnsi="Times New Roman" w:cs="Times New Roman"/>
          <w:sz w:val="24"/>
          <w:szCs w:val="24"/>
          <w:lang w:val="en-US"/>
        </w:rPr>
        <w:t xml:space="preserve"> includes made pregnant by a consent that was effected by deception or by natural, induced or age-related incapacity.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To avoid doubt, this section does not affect any other law of the Commonwealth or any law of a State or Territory.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268.63 War crime – enforced sterilisation</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deprives one or more persons of biological reproductive capacity;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(b) the deprivation is not effected by a birth-control measure that has a non-permanent effect in practice;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is neither justified by the medical or hospital treatment of the person or persons nor carried out with the consent of the person or persons;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perpetrator’s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Penalty: Imprisonment for 25 years.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does not include consent effected by deception or by natural, induced or age-related incapacity.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268.64 War crime – sexual violence</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commits an offence if:</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does either of the following: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without the consent of the person or persons, including by being reckless as to whether there is consent; and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perpetrator’s conduct is of a gravity comparable to the offences referred to in sections 268.59 to 268.63;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conduct takes place in the context of, and is associated with,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Penalty: Imprisonment for 25 years.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Strict liability applies to paragraph (1)(b).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means free and voluntary agreement. The following are examples of circumstances in which a person does not consent to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person submits to the act because of force or the fear of force to the person or to someone else;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person submits to the act because the person is unlawfully detained;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person is asleep or unconscious, or is so affected by alcohol or another drug as to be incapable of consenting;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person is incapable of understanding the essential nature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person is mistaken about the essential nature of the act (for example, the person mistakenly believes that the act is for medical or hygienic purposes);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the person submits to the act because of psychological oppression or abuse of power;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the person submits to the act because of the perpetrator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threat of force or coercion</w:t>
      </w:r>
      <w:r w:rsidRPr="00E848A7">
        <w:rPr>
          <w:rFonts w:ascii="Times New Roman" w:eastAsia="Times New Roman" w:hAnsi="Times New Roman" w:cs="Times New Roman"/>
          <w:sz w:val="24"/>
          <w:szCs w:val="24"/>
          <w:lang w:val="en-US"/>
        </w:rPr>
        <w:t xml:space="preserve"> includes: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a threat of force or coercion such as that caused by fear of violence, duress, detention, psychological oppression or abuse of power;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(4) In subsection (1), being reckless as to whether there is consent to one or more acts of a sexual nature includes not giving any thought to whether or not the person is consenting to the act or acts of a sexual nature.</w:t>
      </w:r>
      <w:r>
        <w:rPr>
          <w:rFonts w:ascii="Times New Roman" w:eastAsia="Times New Roman" w:hAnsi="Times New Roman" w:cs="Times New Roman"/>
          <w:noProof/>
          <w:sz w:val="24"/>
          <w:szCs w:val="24"/>
        </w:rPr>
        <w:drawing>
          <wp:inline distT="0" distB="0" distL="0" distR="0">
            <wp:extent cx="151130" cy="142875"/>
            <wp:effectExtent l="19050" t="0" r="1270" b="0"/>
            <wp:docPr id="1245" name="Imagen 12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[emphasis in original]</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268.82 War crime – rape</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sexually penetrates another person without the consent of that person;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knows of, or is reckless as to, the lack of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causes another person to sexually penetrate the perpetrator without the consent of the other person;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knows of, or is reckless as to, the lack of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In this section: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means free and voluntary agreement. The following are examples of circumstances in which a person does not consent to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person submits to the act because of force or the fear of force to the person or to someone else;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person submits to the act because the person is unlawfully detained;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person is asleep or unconscious, or is so affected by alcohol or another drug as to be incapable of consenting;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person is incapable of understanding the essential nature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person is mistaken about the essential nature of the act (for example, the person mistakenly believes that the act is for medical or hygienic purposes);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the person submits to the act because of psychological oppression or abuse of power;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the person submits to the act because of the perpetrator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(4) In this section: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sexually penetrate</w:t>
      </w:r>
      <w:r w:rsidRPr="00E848A7">
        <w:rPr>
          <w:rFonts w:ascii="Times New Roman" w:eastAsia="Times New Roman" w:hAnsi="Times New Roman" w:cs="Times New Roman"/>
          <w:sz w:val="24"/>
          <w:szCs w:val="24"/>
          <w:lang w:val="en-US"/>
        </w:rPr>
        <w:t xml:space="preserve"> means: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penetrate (to any extent) the genitalia or anus of a person by any part of the body of another person or by any object manipulated by that other person;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penetrate (to any extent) the mouth of a person by the penis of another person;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continue to sexually penetrate as defined in paragraph (a) or (b).</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(5) In this section, being </w:t>
      </w:r>
      <w:r w:rsidRPr="00E848A7">
        <w:rPr>
          <w:rFonts w:ascii="Times New Roman" w:eastAsia="Times New Roman" w:hAnsi="Times New Roman" w:cs="Times New Roman"/>
          <w:i/>
          <w:iCs/>
          <w:sz w:val="24"/>
          <w:szCs w:val="24"/>
          <w:lang w:val="en-US"/>
        </w:rPr>
        <w:t>reckless</w:t>
      </w:r>
      <w:r w:rsidRPr="00E848A7">
        <w:rPr>
          <w:rFonts w:ascii="Times New Roman" w:eastAsia="Times New Roman" w:hAnsi="Times New Roman" w:cs="Times New Roman"/>
          <w:sz w:val="24"/>
          <w:szCs w:val="24"/>
          <w:lang w:val="en-US"/>
        </w:rPr>
        <w:t xml:space="preserve"> as to a lack of consent to sexual penetration includes not giving any thought to whether or not the person is consenting to sexual penetration.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(6) In this section, the genitalia or other parts of the body of a person include surgically constructed genitalia or other parts of the body of the person.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268.83 War crime – sexual slavery</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causes another person to enter into or remain in sexual slavery;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intends to cause, or is reckless as to causing, that sexual slavery;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(2) For the purposes of this section, </w:t>
      </w:r>
      <w:r w:rsidRPr="00E848A7">
        <w:rPr>
          <w:rFonts w:ascii="Times New Roman" w:eastAsia="Times New Roman" w:hAnsi="Times New Roman" w:cs="Times New Roman"/>
          <w:i/>
          <w:iCs/>
          <w:sz w:val="24"/>
          <w:szCs w:val="24"/>
          <w:lang w:val="en-US"/>
        </w:rPr>
        <w:t>sexual slavery</w:t>
      </w:r>
      <w:r w:rsidRPr="00E848A7">
        <w:rPr>
          <w:rFonts w:ascii="Times New Roman" w:eastAsia="Times New Roman" w:hAnsi="Times New Roman" w:cs="Times New Roman"/>
          <w:sz w:val="24"/>
          <w:szCs w:val="24"/>
          <w:lang w:val="en-US"/>
        </w:rPr>
        <w:t xml:space="preserve"> is the condition of a person who provides sexual services and who, because of the use of force or threats: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is not free to cease providing sexual services;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is not free to leave the place or area where the person provides sexual services.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(3) In this section: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 xml:space="preserve">sexual service </w:t>
      </w:r>
      <w:r w:rsidRPr="00E848A7">
        <w:rPr>
          <w:rFonts w:ascii="Times New Roman" w:eastAsia="Times New Roman" w:hAnsi="Times New Roman" w:cs="Times New Roman"/>
          <w:sz w:val="24"/>
          <w:szCs w:val="24"/>
          <w:lang w:val="en-US"/>
        </w:rPr>
        <w:t>means the use or display of the body of the person providing the service for the sexual gratification of others.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threat</w:t>
      </w:r>
      <w:r w:rsidRPr="00E848A7">
        <w:rPr>
          <w:rFonts w:ascii="Times New Roman" w:eastAsia="Times New Roman" w:hAnsi="Times New Roman" w:cs="Times New Roman"/>
          <w:sz w:val="24"/>
          <w:szCs w:val="24"/>
          <w:lang w:val="en-US"/>
        </w:rPr>
        <w:t xml:space="preserve"> means: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 a threat of force; or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(b) a threat to cause a person’s deportation; or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(c) a threat of any other detrimental action unless there are reasonable grounds for the threat of that action in connection with the provision of sexual services by a person.</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268.84 War crime – enforced prostitution</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commits an offence if:</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causes one or more persons to engage in one or more acts of a sexual nature without the consent of the person or persons, including by being reckless as to whether there is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intends that he or she, or another person, will obtain pecuniary or other advantage in exchange for, or in connection with, the acts of a sexual nature;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Penalty: Imprisonment for 25 years.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means free and voluntary agreement. The following are examples of circumstances in which a person does not consent to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person submits to the act because of force or the fear of force to the person or to someone else;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person submits to the act because the person is unlawfully detained;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person is asleep or unconscious, or is so affected by alcohol or another drug as to be incapable of consenting;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person is incapable of understanding the essential nature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person is mistaken about the essential nature of the act (for example, the person mistakenly believes that the act is for medical or hygienic purposes);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the person submits to the act because of psychological oppression or abuse of power;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the person submits to the act because of the perpetrator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threat of force or coercion</w:t>
      </w:r>
      <w:r w:rsidRPr="00E848A7">
        <w:rPr>
          <w:rFonts w:ascii="Times New Roman" w:eastAsia="Times New Roman" w:hAnsi="Times New Roman" w:cs="Times New Roman"/>
          <w:sz w:val="24"/>
          <w:szCs w:val="24"/>
          <w:lang w:val="en-US"/>
        </w:rPr>
        <w:t xml:space="preserve"> includes: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a threat of force or coercion such as that caused by fear of violence, duress, detention, psychological oppression or abuse of power;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(3) In subsection (1), being reckless as to whether there is consent to one or more acts of a sexual nature includes not giving any thought to whether or not the person is consenting to the act or acts of a sexual nature.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268.85 War crime – forced pregnancy</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unlawfully confines one or more women forcibly made pregnant;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 intends to affect the ethnic composition of any population or to destroy, wholly or partly, a national, ethnical, racial or religious group as such;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Penalty: Imprisonment for 25 years.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forcibly made pregnant</w:t>
      </w:r>
      <w:r w:rsidRPr="00E848A7">
        <w:rPr>
          <w:rFonts w:ascii="Times New Roman" w:eastAsia="Times New Roman" w:hAnsi="Times New Roman" w:cs="Times New Roman"/>
          <w:sz w:val="24"/>
          <w:szCs w:val="24"/>
          <w:lang w:val="en-US"/>
        </w:rPr>
        <w:t xml:space="preserve"> includes made pregnant by a consent that was affected by deception or by natural, induced or age-related incapacity.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(3) To avoid doubt, this section does not affect any other law of the Commonwealth or any law of a State or Territory.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268.86 War crime – enforced sterilisation</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 the perpetrator deprives one or more persons of biological reproductive capacity; and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 xml:space="preserve">(b) the deprivation is not effected by a birth-control measure that has a non-permanent effect in practice; and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perpetrator’s conduct is neither justified by the medical or hospital treatment of the person or persons nor carried out with the consent of the person or persons;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perpetrator’s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Penalty: Imprisonment for 25 years.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does not include consent effected by deception or by natural, induced or age-related incapacity.</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268.87 War crime – sexual violence</w:t>
      </w:r>
      <w:r w:rsidRPr="00C74F6F">
        <w:rPr>
          <w:rFonts w:ascii="Times New Roman" w:eastAsia="Times New Roman" w:hAnsi="Times New Roman" w:cs="Times New Roman"/>
          <w:i/>
          <w:iCs/>
          <w:sz w:val="24"/>
          <w:szCs w:val="24"/>
          <w:lang w:val="en-US"/>
        </w:rPr>
        <w:br/>
      </w:r>
      <w:r w:rsidRPr="00E848A7">
        <w:rPr>
          <w:rFonts w:ascii="Times New Roman" w:eastAsia="Times New Roman" w:hAnsi="Times New Roman" w:cs="Times New Roman"/>
          <w:sz w:val="24"/>
          <w:szCs w:val="24"/>
          <w:lang w:val="en-US"/>
        </w:rPr>
        <w:t xml:space="preserve">(1) A person (the </w:t>
      </w:r>
      <w:r w:rsidRPr="00E848A7">
        <w:rPr>
          <w:rFonts w:ascii="Times New Roman" w:eastAsia="Times New Roman" w:hAnsi="Times New Roman" w:cs="Times New Roman"/>
          <w:i/>
          <w:iCs/>
          <w:sz w:val="24"/>
          <w:szCs w:val="24"/>
          <w:lang w:val="en-US"/>
        </w:rPr>
        <w:t>perpetrator</w:t>
      </w:r>
      <w:r w:rsidRPr="00E848A7">
        <w:rPr>
          <w:rFonts w:ascii="Times New Roman" w:eastAsia="Times New Roman" w:hAnsi="Times New Roman" w:cs="Times New Roman"/>
          <w:sz w:val="24"/>
          <w:szCs w:val="24"/>
          <w:lang w:val="en-US"/>
        </w:rPr>
        <w:t xml:space="preserve">) commits an offence if: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perpetrator does either of the following: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without the consent of the person or persons, including by being reckless as to whether there is consent;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perpetrator’s conduct is of a gravity comparable to the offences referred to in sections 268.82 to 268.87;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conduct takes place in the context of, and is associated with, an armed conflict that is not an 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Penalty: Imprisonment for 25 years.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(2) Strict liability applies to paragraph (1)(b)(3). In subsection (1):</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i/>
          <w:iCs/>
          <w:sz w:val="24"/>
          <w:szCs w:val="24"/>
          <w:lang w:val="en-US"/>
        </w:rPr>
        <w:t>consent</w:t>
      </w:r>
      <w:r w:rsidRPr="00E848A7">
        <w:rPr>
          <w:rFonts w:ascii="Times New Roman" w:eastAsia="Times New Roman" w:hAnsi="Times New Roman" w:cs="Times New Roman"/>
          <w:sz w:val="24"/>
          <w:szCs w:val="24"/>
          <w:lang w:val="en-US"/>
        </w:rPr>
        <w:t xml:space="preserve"> means free and voluntary agreement. The following are examples of circumstances in which a person does not consent to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person submits to the act because of force or the fear of force to the person or to someone else;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the person submits to the act because the person is unlawfully detained;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person is asleep or unconscious, or is so affected by alcohol or another drug as to be incapable of consenting;</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person is incapable of understanding the essential nature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person is mistaken about the essential nature of the act (for example, the person mistakenly believes that the act is for medical or hygienic purposes);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the person submits to the act because of psychological oppression or abuse of power;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the person submits to the act because of the perpetrator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i/>
          <w:iCs/>
          <w:sz w:val="24"/>
          <w:szCs w:val="24"/>
          <w:lang w:val="en-US"/>
        </w:rPr>
        <w:t>threat of force or coercion</w:t>
      </w:r>
      <w:r w:rsidRPr="00E848A7">
        <w:rPr>
          <w:rFonts w:ascii="Times New Roman" w:eastAsia="Times New Roman" w:hAnsi="Times New Roman" w:cs="Times New Roman"/>
          <w:sz w:val="24"/>
          <w:szCs w:val="24"/>
          <w:lang w:val="en-US"/>
        </w:rPr>
        <w:t xml:space="preserve"> includes: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a threat of force or coercion such as that caused by fear of violence, duress, detention, psychological oppression or abuse of power, against the person or another person;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taking advantage of a coercive environment.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(4) In subsection (1), being reckless as to whether there is consent to one or more acts of a sexual nature includes not giving any thought to whether or not the person is consenting to the act or acts of a sexual nature.</w:t>
      </w:r>
      <w:r>
        <w:rPr>
          <w:rFonts w:ascii="Times New Roman" w:eastAsia="Times New Roman" w:hAnsi="Times New Roman" w:cs="Times New Roman"/>
          <w:noProof/>
          <w:sz w:val="24"/>
          <w:szCs w:val="24"/>
        </w:rPr>
        <w:drawing>
          <wp:inline distT="0" distB="0" distL="0" distR="0">
            <wp:extent cx="151130" cy="142875"/>
            <wp:effectExtent l="19050" t="0" r="1270" b="0"/>
            <wp:docPr id="1246" name="Imagen 12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[emphasis in original]</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Australia’s ICC (Consequential Amendments) Act (2002) incorporates in the Criminal Code the crimes defined in the 1998 ICC Statute, including: “genocide by imposing measures intended to prevent births”; crimes against humanity, including “rape”, “sexual slavery”, “enforced prostitution”, “forced pregnancy”, “enforced sterilisation” and “sexual violence”; and war crimes, including “rape”, “sexual slavery”, “enforced prostitution”, “forced pregnancy”, “enforced sterilisation” and “sexual violence”, in both international and non-international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1247" name="Imagen 12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Azerbaijan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Azerbaijan’s Law concerning the Protection of Civilian Persons and the Rights of Prisoners of War (1995) provides that in international and non-international armed conflicts, rape of civilian persons, degrading and humiliating treatment of women, forced prostitution and attacks on their dignity are prohibited. It further prohibits the rape of prisoners of war and adds: “Women and young girls are especially protected against attacks on their honour.”</w:t>
      </w:r>
      <w:r>
        <w:rPr>
          <w:rFonts w:ascii="Times New Roman" w:eastAsia="Times New Roman" w:hAnsi="Times New Roman" w:cs="Times New Roman"/>
          <w:noProof/>
          <w:sz w:val="24"/>
          <w:szCs w:val="24"/>
        </w:rPr>
        <w:drawing>
          <wp:inline distT="0" distB="0" distL="0" distR="0">
            <wp:extent cx="151130" cy="142875"/>
            <wp:effectExtent l="19050" t="0" r="1270" b="0"/>
            <wp:docPr id="1248" name="Imagen 12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Azerbaijan’s Criminal Code (1999) provides that “committing rape, sexual slavery, enforced prostitution, enforced sterilization and other acts related to sexual violence”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249" name="Imagen 12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Azerbaijan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Azerbaijan’s Criminal Code (1999), as amended to 2007, provides that “committing rape, sexual slavery, enforced prostitution, enforced sterilization, forced pregnancy and other acts related to sexual violence”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250" name="Imagen 12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Bangladesh</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Bangladesh’s International Crimes (Tribunal) Act (1973) states that the “violation of any humanitarian rules applicable in armed conflicts laid down in the Geneva Conventions of 1949” is a crime.</w:t>
      </w:r>
      <w:r>
        <w:rPr>
          <w:rFonts w:ascii="Times New Roman" w:eastAsia="Times New Roman" w:hAnsi="Times New Roman" w:cs="Times New Roman"/>
          <w:noProof/>
          <w:sz w:val="24"/>
          <w:szCs w:val="24"/>
        </w:rPr>
        <w:drawing>
          <wp:inline distT="0" distB="0" distL="0" distR="0">
            <wp:extent cx="151130" cy="142875"/>
            <wp:effectExtent l="19050" t="0" r="1270" b="0"/>
            <wp:docPr id="1251" name="Imagen 12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Belgium</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Belgium’s Penal Code (1867), as amended in 2003,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The crime of genocide, as defined below, whether committed in time of peace or in time of war, constitutes a crime under international law and shall be punished in accordance with the provisions of the present title. In accordance with the Convention for the Prevention and Punishment of the Crime of Genocide of 9 December 1948, and without prejudice to criminal provisions applicable to breaches committed out of negligence, the crime of genocide means any of the following acts committed with intent to destroy, in whole or in part, a national, ethnical, racial or religious group as such: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imposing measures intended to prevent births within the group.</w:t>
      </w:r>
      <w:r>
        <w:rPr>
          <w:rFonts w:ascii="Times New Roman" w:eastAsia="Times New Roman" w:hAnsi="Times New Roman" w:cs="Times New Roman"/>
          <w:noProof/>
          <w:sz w:val="24"/>
          <w:szCs w:val="24"/>
        </w:rPr>
        <w:drawing>
          <wp:inline distT="0" distB="0" distL="0" distR="0">
            <wp:extent cx="151130" cy="142875"/>
            <wp:effectExtent l="19050" t="0" r="1270" b="0"/>
            <wp:docPr id="1252" name="Imagen 12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A crime against humanity, as defined below, whether committed in time of peace or in time of war, constitutes a crime under international law and shall be punished in accordance with the provisions of the present title. In accordance with the Statute of the International Criminal Court, crime against humanity means any of the following acts when committed as part of a widespread or systematic attack directed against any civilian population, with knowledge of the attack: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7. rape, sexual slavery, enforced prostitution, forced pregnancy, enforced sterilization, or any other form of sexual violence of comparable gravity.</w:t>
      </w:r>
      <w:r>
        <w:rPr>
          <w:rFonts w:ascii="Times New Roman" w:eastAsia="Times New Roman" w:hAnsi="Times New Roman" w:cs="Times New Roman"/>
          <w:noProof/>
          <w:sz w:val="24"/>
          <w:szCs w:val="24"/>
        </w:rPr>
        <w:drawing>
          <wp:inline distT="0" distB="0" distL="0" distR="0">
            <wp:extent cx="151130" cy="142875"/>
            <wp:effectExtent l="19050" t="0" r="1270" b="0"/>
            <wp:docPr id="1253" name="Imagen 12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War crimes envisaged in the 1949 [Geneva] Conventions … and in the [1977 Additional Protocols I and II] … , as well as in Article 8(2)(f) of the [1998 ICC Statute], and listed below, … constitute crimes under international law and shall be punished in accordance with the provisions of the present title … :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rape, sexual slavery, enforced prostitution, enforced pregnancy, enforced sterilization, or any other form of sexual violence constituting a grave breach of the [1949] Geneva Conventions or a serious violation of Article 3 common to the said Conventions.</w:t>
      </w:r>
      <w:r>
        <w:rPr>
          <w:rFonts w:ascii="Times New Roman" w:eastAsia="Times New Roman" w:hAnsi="Times New Roman" w:cs="Times New Roman"/>
          <w:noProof/>
          <w:sz w:val="24"/>
          <w:szCs w:val="24"/>
        </w:rPr>
        <w:drawing>
          <wp:inline distT="0" distB="0" distL="0" distR="0">
            <wp:extent cx="151130" cy="142875"/>
            <wp:effectExtent l="19050" t="0" r="1270" b="0"/>
            <wp:docPr id="1254" name="Imagen 12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Belgium’s Law concerning the Repression of Grave Breaches of the Geneva Conventions and their Additional Protocols (1993), as amended in 1999, provides that “rape, sexual slavery, enforced prostitution, forced pregnancy, enforced sterilization, or any other form of sexual violence of comparable gravity” constitutes a crime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255" name="Imagen 12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lastRenderedPageBreak/>
        <w:t>Belgium’s Law relating to the Repression of Grave Breaches of International Humanitarian Law (1993), as amended in 2003, provides:</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The crime of genocide, as defined below, whether committed in time of peace or in time of war, constitutes a crime under international law and shall be punished in accordance with the provisions of the present title. In accordance with the Convention for the Prevention and Punishment of the Crime of Genocide of 9 December 1948, and without prejudice to criminal provisions applicable to breaches committed out of negligence, the crime of genocide means any of the following acts committed with intent to destroy, in whole or in part, a national, ethnical, racial or religious group as such: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imposing measures intended to prevent births within the group.</w:t>
      </w:r>
      <w:r>
        <w:rPr>
          <w:rFonts w:ascii="Times New Roman" w:eastAsia="Times New Roman" w:hAnsi="Times New Roman" w:cs="Times New Roman"/>
          <w:noProof/>
          <w:sz w:val="24"/>
          <w:szCs w:val="24"/>
        </w:rPr>
        <w:drawing>
          <wp:inline distT="0" distB="0" distL="0" distR="0">
            <wp:extent cx="151130" cy="142875"/>
            <wp:effectExtent l="19050" t="0" r="1270" b="0"/>
            <wp:docPr id="1256" name="Imagen 12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A crime against humanity, as defined below, whether committed in time of peace or in time of war, constitutes a crime under international law and shall be punished in accordance with the provisions of the present title. In accordance with the Statute of the International Criminal Court, crime against humanity means any of the following acts when committed as part of a widespread or systematic attack directed against any civilian population, with knowledge of the attack: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7. rape, sexual slavery, enforced prostitution, forced pregnancy, enforced sterilization, or any other form of sexual violence of comparable gravity.</w:t>
      </w:r>
      <w:r>
        <w:rPr>
          <w:rFonts w:ascii="Times New Roman" w:eastAsia="Times New Roman" w:hAnsi="Times New Roman" w:cs="Times New Roman"/>
          <w:noProof/>
          <w:sz w:val="24"/>
          <w:szCs w:val="24"/>
        </w:rPr>
        <w:drawing>
          <wp:inline distT="0" distB="0" distL="0" distR="0">
            <wp:extent cx="151130" cy="142875"/>
            <wp:effectExtent l="19050" t="0" r="1270" b="0"/>
            <wp:docPr id="1257" name="Imagen 12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War crimes envisaged in the 1949 [Geneva] Conventions … and in the [1977 Additional Protocols I and II] … , as well as in Article 8(2)(f) of the [1998 ICC Statute], and listed below, … constitute crimes under international law and shall be punished in accordance with the provisions of the present title … :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3 </w:t>
      </w:r>
      <w:r w:rsidRPr="00C74F6F">
        <w:rPr>
          <w:rFonts w:ascii="Times New Roman" w:eastAsia="Times New Roman" w:hAnsi="Times New Roman" w:cs="Times New Roman"/>
          <w:i/>
          <w:iCs/>
          <w:sz w:val="24"/>
          <w:szCs w:val="24"/>
          <w:lang w:val="en-US"/>
        </w:rPr>
        <w:t xml:space="preserve">bis </w:t>
      </w:r>
      <w:r w:rsidRPr="00C74F6F">
        <w:rPr>
          <w:rFonts w:ascii="Times New Roman" w:eastAsia="Times New Roman" w:hAnsi="Times New Roman" w:cs="Times New Roman"/>
          <w:sz w:val="24"/>
          <w:szCs w:val="24"/>
          <w:lang w:val="en-US"/>
        </w:rPr>
        <w:t>rape, sexual slavery, enforced prostitution, enforced pregnancy, enforced sterilization, or any other form of sexual violence constituting a grave breach of the [1949] Geneva Conventions or a serious violation of Article 3 common to the said Conventions.</w:t>
      </w:r>
      <w:r>
        <w:rPr>
          <w:rFonts w:ascii="Times New Roman" w:eastAsia="Times New Roman" w:hAnsi="Times New Roman" w:cs="Times New Roman"/>
          <w:noProof/>
          <w:sz w:val="24"/>
          <w:szCs w:val="24"/>
        </w:rPr>
        <w:drawing>
          <wp:inline distT="0" distB="0" distL="0" distR="0">
            <wp:extent cx="151130" cy="142875"/>
            <wp:effectExtent l="19050" t="0" r="1270" b="0"/>
            <wp:docPr id="1258" name="Imagen 12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Bosnia and Herzegovina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The Criminal Code (1998) of the Federation of Bosnia and Herzegovina provides that forced prostitution and rape of civilians is a war crime.</w:t>
      </w:r>
      <w:r>
        <w:rPr>
          <w:rFonts w:ascii="Times New Roman" w:eastAsia="Times New Roman" w:hAnsi="Times New Roman" w:cs="Times New Roman"/>
          <w:noProof/>
          <w:sz w:val="24"/>
          <w:szCs w:val="24"/>
        </w:rPr>
        <w:drawing>
          <wp:inline distT="0" distB="0" distL="0" distR="0">
            <wp:extent cx="151130" cy="142875"/>
            <wp:effectExtent l="19050" t="0" r="1270" b="0"/>
            <wp:docPr id="1259" name="Imagen 12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Bosnia and Herzegovina’s Criminal Code (2003) criminalizes the following as an act of genocide:</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 xml:space="preserve">Whoever, with an aim to destroy, in whole or in part, a national, ethnical, racial or religious group, orders perpetration or perpetrates any of the following acts: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Imposing measures intended to prevent births within the group.</w:t>
      </w:r>
      <w:r>
        <w:rPr>
          <w:rFonts w:ascii="Times New Roman" w:eastAsia="Times New Roman" w:hAnsi="Times New Roman" w:cs="Times New Roman"/>
          <w:noProof/>
          <w:sz w:val="24"/>
          <w:szCs w:val="24"/>
        </w:rPr>
        <w:drawing>
          <wp:inline distT="0" distB="0" distL="0" distR="0">
            <wp:extent cx="151130" cy="142875"/>
            <wp:effectExtent l="19050" t="0" r="1270" b="0"/>
            <wp:docPr id="1260" name="Imagen 12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(1) Whoever, as part of a widespread or systematic attack directed against any civilian population, with knowledge of such an attack, perpetrates any of the following acts: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Coercing another by force or by threat of immediate attack upon his life or limb, or the life or limb of a person close to him, to sexual intercourse or an equivalent sexual act (rape), sexual slavery, enforced prostitution, forced pregnancy, enforced sterilization or any other form of sexual violence of comparable gravity.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(2) For the purpose of paragraph 1 of this Article the following terms shall have the following meanings: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 xml:space="preserve">f) </w:t>
      </w:r>
      <w:r w:rsidRPr="00C74F6F">
        <w:rPr>
          <w:rFonts w:ascii="Times New Roman" w:eastAsia="Times New Roman" w:hAnsi="Times New Roman" w:cs="Times New Roman"/>
          <w:i/>
          <w:iCs/>
          <w:sz w:val="24"/>
          <w:szCs w:val="24"/>
          <w:lang w:val="en-US"/>
        </w:rPr>
        <w:t>Forced pregnancy</w:t>
      </w:r>
      <w:r w:rsidRPr="00C74F6F">
        <w:rPr>
          <w:rFonts w:ascii="Times New Roman" w:eastAsia="Times New Roman" w:hAnsi="Times New Roman" w:cs="Times New Roman"/>
          <w:sz w:val="24"/>
          <w:szCs w:val="24"/>
          <w:lang w:val="en-US"/>
        </w:rPr>
        <w:t xml:space="preserve"> means the unlawful confinement of a woman forcibly made pregnant, with the intent of affecting the ethnic composition of any population or carrying out other grave violations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261" name="Imagen 12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E848A7">
        <w:rPr>
          <w:rFonts w:ascii="Times New Roman" w:eastAsia="Times New Roman" w:hAnsi="Times New Roman" w:cs="Times New Roman"/>
          <w:sz w:val="24"/>
          <w:szCs w:val="24"/>
          <w:lang w:val="en-US"/>
        </w:rPr>
        <w:t xml:space="preserve">Whoever, by means of use of force or threat of use of force or other forms of coercion, of abduction, of fraud or deception, of the abuse of power or of a position of vulnerability, or of the giving or receiving of payments or benefits to achieve the consent of a person having control over another person, recruits, transports, transfers, harbours or receipts a person, for the purpose of the prostitution of others or other forms of sexual exploitation, … </w:t>
      </w:r>
      <w:r w:rsidRPr="00C74F6F">
        <w:rPr>
          <w:rFonts w:ascii="Times New Roman" w:eastAsia="Times New Roman" w:hAnsi="Times New Roman" w:cs="Times New Roman"/>
          <w:sz w:val="24"/>
          <w:szCs w:val="24"/>
          <w:lang w:val="en-US"/>
        </w:rPr>
        <w:br/>
      </w:r>
      <w:r w:rsidRPr="00E848A7">
        <w:rPr>
          <w:rFonts w:ascii="Times New Roman" w:eastAsia="Times New Roman" w:hAnsi="Times New Roman" w:cs="Times New Roman"/>
          <w:sz w:val="24"/>
          <w:szCs w:val="24"/>
          <w:lang w:val="en-US"/>
        </w:rPr>
        <w:t>shall be punished by imprisonment for a term of between one and ten years.</w:t>
      </w:r>
      <w:r>
        <w:rPr>
          <w:rFonts w:ascii="Times New Roman" w:eastAsia="Times New Roman" w:hAnsi="Times New Roman" w:cs="Times New Roman"/>
          <w:noProof/>
          <w:sz w:val="24"/>
          <w:szCs w:val="24"/>
        </w:rPr>
        <w:drawing>
          <wp:inline distT="0" distB="0" distL="0" distR="0">
            <wp:extent cx="151130" cy="142875"/>
            <wp:effectExtent l="19050" t="0" r="1270" b="0"/>
            <wp:docPr id="1262" name="Imagen 12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E848A7">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Burundi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Burundi’s Law on Genocide, Crimes against Humanity and War Crimes (2003)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following are] considered as war crimes: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B. Other serious violations of the laws and customs applicable in international armed conflicts, within the established framework of international law, namely, any of the following acts: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 committing rape, sexual slavery, enforced prostitution, forced pregnancy, enforced sterilization, or any other form of sexual violence also constituting a grave breach of the Geneva Conventions;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D. Other serious violations of the laws and customs applicable in armed conflicts not of an international character, within the established framework of international law, namely, any of the following acts: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committing rape, sexual slavery, enforced prostitution, forced pregnancy, enforced sterilization, and any other form of sexual violence also constituting a serious violation of Article 3 common to the four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1263" name="Imagen 12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Burundi’s Penal Code (2009)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“War crimes” means crimes which are committed as part of a plan or policy or as part of a large-scale commission of such crimes, in particular: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 [S]erious violations of the laws and customs applicable in international armed conflict, within the established framework of international law, namely, any of the following acts: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5. … [S]erious violations of the laws and customs applicable in armed conflicts not of an international character, within the established framework of international law, namely, any of the following acts: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Cambodia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Cambodia’s Law on the Establishment of the ECCC (2001), as amended in 2004, provides in its Article 5:</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Extraordinary Chambers shall have the power to bring to trial all suspects who committed crimes against humanity during the period 17 April 1975 to 6 January 1979.</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Crimes against humanity … are any acts committed as part of a widespread or systematic attack directed against any civilian population, on national, political, ethnical, racial or religious grounds, such as: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rape.</w:t>
      </w:r>
      <w:r>
        <w:rPr>
          <w:rFonts w:ascii="Times New Roman" w:eastAsia="Times New Roman" w:hAnsi="Times New Roman" w:cs="Times New Roman"/>
          <w:noProof/>
          <w:sz w:val="24"/>
          <w:szCs w:val="24"/>
        </w:rPr>
        <w:drawing>
          <wp:inline distT="0" distB="0" distL="0" distR="0">
            <wp:extent cx="151130" cy="142875"/>
            <wp:effectExtent l="19050" t="0" r="1270" b="0"/>
            <wp:docPr id="1264" name="Imagen 12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The Extraordinary Chambers shall have the power to bring to trial all Suspects who committed the crimes of genocide as defined in the Convention on the Prevention and Punishment of the Crime of Genocide of 1948, and which were committed during the period from 17 April 1975 to 6 January 1979.</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acts of genocide … mean any acts committed with the intent to destroy, in whole or in part, a national, ethnical, racial or religious group, such as: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imposing measures intended to prevent births within the group.</w:t>
      </w:r>
      <w:r>
        <w:rPr>
          <w:rFonts w:ascii="Times New Roman" w:eastAsia="Times New Roman" w:hAnsi="Times New Roman" w:cs="Times New Roman"/>
          <w:noProof/>
          <w:sz w:val="24"/>
          <w:szCs w:val="24"/>
        </w:rPr>
        <w:drawing>
          <wp:inline distT="0" distB="0" distL="0" distR="0">
            <wp:extent cx="151130" cy="142875"/>
            <wp:effectExtent l="19050" t="0" r="1270" b="0"/>
            <wp:docPr id="1265" name="Imagen 12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Canada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Canada’s Crimes against Humanity and War Crimes Act (2000) provides that genocide, crimes against humanity and war crimes defined in Articles 6, 7 and 8(2) of the 1998 ICC Statute are “crimes according to customary international law” and, as such, indictable offences under the Act.</w:t>
      </w:r>
      <w:r>
        <w:rPr>
          <w:rFonts w:ascii="Times New Roman" w:eastAsia="Times New Roman" w:hAnsi="Times New Roman" w:cs="Times New Roman"/>
          <w:noProof/>
          <w:sz w:val="24"/>
          <w:szCs w:val="24"/>
        </w:rPr>
        <w:drawing>
          <wp:inline distT="0" distB="0" distL="0" distR="0">
            <wp:extent cx="151130" cy="142875"/>
            <wp:effectExtent l="19050" t="0" r="1270" b="0"/>
            <wp:docPr id="1266" name="Imagen 12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China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China’s Law Governing the Trial of War Criminals (1946) provides that rape and “kidnapping females and forcing them to become prostitutes” is a war crime.</w:t>
      </w:r>
      <w:r>
        <w:rPr>
          <w:rFonts w:ascii="Times New Roman" w:eastAsia="Times New Roman" w:hAnsi="Times New Roman" w:cs="Times New Roman"/>
          <w:noProof/>
          <w:sz w:val="24"/>
          <w:szCs w:val="24"/>
        </w:rPr>
        <w:drawing>
          <wp:inline distT="0" distB="0" distL="0" distR="0">
            <wp:extent cx="151130" cy="142875"/>
            <wp:effectExtent l="19050" t="0" r="1270" b="0"/>
            <wp:docPr id="1267" name="Imagen 12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Colombia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Colombia’s Penal Code (2000) imposes a criminal sanction on anyone who, during an armed conflict, carries out or orders the “carrying out of forced sexual acts on protected persons” and “forced prostitution or sexual slavery”.</w:t>
      </w:r>
      <w:r>
        <w:rPr>
          <w:rFonts w:ascii="Times New Roman" w:eastAsia="Times New Roman" w:hAnsi="Times New Roman" w:cs="Times New Roman"/>
          <w:noProof/>
          <w:sz w:val="24"/>
          <w:szCs w:val="24"/>
        </w:rPr>
        <w:drawing>
          <wp:inline distT="0" distB="0" distL="0" distR="0">
            <wp:extent cx="151130" cy="142875"/>
            <wp:effectExtent l="19050" t="0" r="1270" b="0"/>
            <wp:docPr id="1268" name="Imagen 12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Congo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the Congo’s Genocide, War Crimes and Crimes against Humanity Act (1998), “imposing measures intended to prevent births” within an ethnical, racial or religious group, as such, with intent to destroy the group, in whole or in part, constitutes a crime of genocide. Moreover, “rape, sexual slavery, enforced prostitution, forced pregnancy, enforced sterilization and any other form of sexual violence of comparable gravity” when committed as part of a widespread or systematic attack directed against any civilian population, with knowledge of the attack,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269" name="Imagen 12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Croatia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Croatia’s Criminal Code (1997) provides that forced prostitution and rape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270" name="Imagen 12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Croatia’s Criminal Code (1997), as amended to 2006, states that a war crime is committed by whoever “orders rape, sexual oppression, forced prostitution, pregnancy or sterilization or other sexual abuse”.</w:t>
      </w:r>
      <w:r>
        <w:rPr>
          <w:rFonts w:ascii="Times New Roman" w:eastAsia="Times New Roman" w:hAnsi="Times New Roman" w:cs="Times New Roman"/>
          <w:noProof/>
          <w:sz w:val="24"/>
          <w:szCs w:val="24"/>
        </w:rPr>
        <w:drawing>
          <wp:inline distT="0" distB="0" distL="0" distR="0">
            <wp:extent cx="151130" cy="142875"/>
            <wp:effectExtent l="19050" t="0" r="1270" b="0"/>
            <wp:docPr id="1271" name="Imagen 12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Democratic Republic of the Congo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Democratic Republic of the Congo’s Military Penal Code (2002) provides: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Article 169</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Any of the following acts, perpetrated as part of a widespread or systematic attack knowingly directed against the Republic or the civilian population, equally constitutes a crime against humanity and is punished by death, whether committed in time of peace or in time of war: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7. Rape, sexual slavery, enforced prostitution, forced pregnancy, enforced sterilization, and other forms of sexual violence of comparable gravity.</w:t>
      </w:r>
      <w:r>
        <w:rPr>
          <w:rFonts w:ascii="Times New Roman" w:eastAsia="Times New Roman" w:hAnsi="Times New Roman" w:cs="Times New Roman"/>
          <w:noProof/>
          <w:sz w:val="24"/>
          <w:szCs w:val="24"/>
        </w:rPr>
        <w:drawing>
          <wp:inline distT="0" distB="0" distL="0" distR="0">
            <wp:extent cx="151130" cy="142875"/>
            <wp:effectExtent l="19050" t="0" r="1270" b="0"/>
            <wp:docPr id="1272" name="Imagen 12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Democratic Republic of the Congo’s Law Relative to Sexual Violence (2006), modifying and completing the Congolese Penal Code, provides: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Legislative background</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Until now, Congolese penal law did not contain all the incriminations that international law, since 1946, has established as offences, as a dissuasive bulwark against those who, </w:t>
      </w:r>
      <w:r w:rsidRPr="004406D2">
        <w:rPr>
          <w:rFonts w:ascii="Times New Roman" w:eastAsia="Times New Roman" w:hAnsi="Times New Roman" w:cs="Times New Roman"/>
          <w:sz w:val="24"/>
          <w:szCs w:val="24"/>
          <w:lang w:val="en-US"/>
        </w:rPr>
        <w:lastRenderedPageBreak/>
        <w:t>big or small, violate international law, in particular humanitarian law, thereby denying the civilian population the quality and the values of humanity.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Thus, the present law modifies and completes the Congolese Penal Code by integrating rules of international humanitarian law relative to offences of sexual violence. Thereby, it largely takes into account the protection of the most vulnerable persons, notably women, children and men victims of offences of sexual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Law</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Article 2</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Section II of Title VI of the Penal Code, Book II is modified and completed as follows.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Section II: Sexual violence offences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First paragraph: Indecent assault</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167</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Any act contrary to morals intentionally and directly exercised against a person without their valid consent constitutes an indecent assault.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 indecent assault committed without violence, trickery or threats against the person or through the person of a child aged less than 18 years shall be punished with penal servitude between six months and five years. The age of the child can be determined by medical examination, official information on personal data lacking.</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Article</w:t>
      </w:r>
      <w:r w:rsidRPr="004406D2">
        <w:rPr>
          <w:rFonts w:ascii="Times New Roman" w:eastAsia="Times New Roman" w:hAnsi="Times New Roman" w:cs="Times New Roman"/>
          <w:sz w:val="24"/>
          <w:szCs w:val="24"/>
          <w:lang w:val="en-US"/>
        </w:rPr>
        <w:t xml:space="preserve"> 168</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Indecent assault committed with violence, trickery or threats against persons of either sex shall be punished with penal servitude between six months and five years.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Indecent assault committed with violence, trickery or threats against the person or through the person of a child aged less than 18 years shall be punished with penal servitude between five and fifteen years. If the assault was committed against persons or through persons aged less than ten years, the penalty shall be between five and twenty years.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2: Rape</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170</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Shall have committed rape, either by aid of violence or grave threats or by coercion against a person, directly or through a third person, or by surprise, psychological pressure, or at the occasion of a coercive environment, or by abusing a person who due to illness, alteration of faculties or any other accidental reason has lost the use of his/her senses, or who has been deprived of them by artifice: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any man, whatever his age, who has inserted his sexual organ, however slight, into that of a woman, or any woman, whatever her age, who has forced a man to insert, if only superficially, his sexual organ into hers;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any man who has penetrated, however slight, the anus, mouth or any other orifice of the body of a woman or a man with a sexual organ, with any other part of the body, or with any object whatsoever;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c) any person who has inserted, however slight, any other part of the body or any object whatsoever into the vagina;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any person who has forced a man or a woman to penetrate, however slight, his anus, mouth or any orifice of the body with a sexual organ, with any other part of the body, or with any object whatsoever;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Whoever is found guilty of rape shall be punished with a penalty of penal servitude between five and twenty years and a fine of not less than 100,000 Congolese francs.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Article 171</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lastRenderedPageBreak/>
        <w:t>If the rape or the indecent assault has caused the death of the person against whom it was committed, the perpetrator shall be punished with penal servitude for life.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Article 171bis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The minimum of the penalties provided in articles 167, paragraph 2, l68 and 170, paragraph 2, of the present Code shall be doubled: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if [the perpetrators] belong to the category of those who have authority over [the person against whom or through whom the assault was committed].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if the assault has been committed either by public agents … who have abused their position to commit it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5. if the perpetrator has been aided in the execution of the offence by one or several persons;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6. if it is committed against captive persons by their guards;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10. if the rape was committed by use of a weapon or threat therewith.</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Article 3</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Section III of Title VI of the Penal Code, Book II is modified as follows: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Section III: Other sexual violence offences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3: Enforced prostitution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174 c</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Whoever caused one or more persons to engage in one or more acts of a sexual nature, by force, by threat of force, or by coercion, or by taking advantage of such persons’ incapacity to give genuine consent, with a view to obtain pecuniary or other advantage, shall be punished with three months to five years of penal servitude.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5: Sexual slavery</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174 e</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Punished with a penalty of five to twenty years of penal servitude and a fine of 200,000 Congolese francs shall be whoever has exercised one or all of the powers attached to the right of ownership over a person, notably by detaining or imposing a similar deprivation of liberty or by purchasing, selling, lending or bartering such a person for sexual purposes, and has caused that person to engage in one or more acts of a sexual nature.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10: Trafficking and exploitation of children for sexual purposes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174 j</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Any act or transaction related to the trafficking or exploitation of children or any other person for sexual purposes in return for remuneration or any advantage whatsoever is punished with ten to twenty years of penal servitude.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11: Forced pregnancy</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174 k</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Punished with a penalty of penal servitude between ten and twenty years shall be whoever has confined one or more women made pregnant by force or trickery.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12: Enforced sterilization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174 l</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 xml:space="preserve">Punished with five to fifteen years of penal servitude shall be whoever has committed against a person an act depriving that person of the biological and organic reproductive capacity, without such an act having been previously been made the object of a justified </w:t>
      </w:r>
      <w:r w:rsidRPr="004406D2">
        <w:rPr>
          <w:rFonts w:ascii="Times New Roman" w:eastAsia="Times New Roman" w:hAnsi="Times New Roman" w:cs="Times New Roman"/>
          <w:sz w:val="24"/>
          <w:szCs w:val="24"/>
          <w:lang w:val="en-US"/>
        </w:rPr>
        <w:lastRenderedPageBreak/>
        <w:t>medical decision and the genuine consent of the victim.</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Paragraph 14: Child prostitution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i/>
          <w:iCs/>
          <w:sz w:val="24"/>
          <w:szCs w:val="24"/>
          <w:lang w:val="en-US"/>
        </w:rPr>
        <w:t>Article 174 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Punished by penal servitude between five and twenty years and a fine of 200,000 Congolese francs shall be whoever has used a child of less than 18 years for purposes of sexual activities against remuneration or any other form of advantage.</w:t>
      </w:r>
      <w:r>
        <w:rPr>
          <w:rFonts w:ascii="Times New Roman" w:eastAsia="Times New Roman" w:hAnsi="Times New Roman" w:cs="Times New Roman"/>
          <w:noProof/>
          <w:sz w:val="24"/>
          <w:szCs w:val="24"/>
        </w:rPr>
        <w:drawing>
          <wp:inline distT="0" distB="0" distL="0" distR="0">
            <wp:extent cx="151130" cy="142875"/>
            <wp:effectExtent l="19050" t="0" r="1270" b="0"/>
            <wp:docPr id="1273" name="Imagen 12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Denmark</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Denmark’s Military Criminal Code (1973), as amended in 1978, provides: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 person who uses war instruments or procedures the application of which violates an international agreement entered into by Denmark or the general rules of international law, shall be liable to the same penalty [i.e. a fine, lenient imprisonment or up to 12 years’ imprisonment].</w:t>
      </w:r>
      <w:r>
        <w:rPr>
          <w:rFonts w:ascii="Times New Roman" w:eastAsia="Times New Roman" w:hAnsi="Times New Roman" w:cs="Times New Roman"/>
          <w:noProof/>
          <w:sz w:val="24"/>
          <w:szCs w:val="24"/>
        </w:rPr>
        <w:drawing>
          <wp:inline distT="0" distB="0" distL="0" distR="0">
            <wp:extent cx="151130" cy="142875"/>
            <wp:effectExtent l="19050" t="0" r="1270" b="0"/>
            <wp:docPr id="1274" name="Imagen 12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Any person who deliberately uses war means [“krigsmiddel”] or procedures the application of which violates an international agreement entered into by Denmark or international customary law, shall be liable to the same penalty [i.e. imprisonment up to life imprisonment].</w:t>
      </w:r>
      <w:r>
        <w:rPr>
          <w:rFonts w:ascii="Times New Roman" w:eastAsia="Times New Roman" w:hAnsi="Times New Roman" w:cs="Times New Roman"/>
          <w:noProof/>
          <w:sz w:val="24"/>
          <w:szCs w:val="24"/>
        </w:rPr>
        <w:drawing>
          <wp:inline distT="0" distB="0" distL="0" distR="0">
            <wp:extent cx="151130" cy="142875"/>
            <wp:effectExtent l="19050" t="0" r="1270" b="0"/>
            <wp:docPr id="1275" name="Imagen 12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El Salvador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El Salvador’s Penal Code (1997), “adopting measures aimed at preventing reproduction” of a national, racial or religious group, with the intent to destroy partially or totally such group, is a crime of genocide.</w:t>
      </w:r>
      <w:r>
        <w:rPr>
          <w:rFonts w:ascii="Times New Roman" w:eastAsia="Times New Roman" w:hAnsi="Times New Roman" w:cs="Times New Roman"/>
          <w:noProof/>
          <w:sz w:val="24"/>
          <w:szCs w:val="24"/>
        </w:rPr>
        <w:drawing>
          <wp:inline distT="0" distB="0" distL="0" distR="0">
            <wp:extent cx="151130" cy="142875"/>
            <wp:effectExtent l="19050" t="0" r="1270" b="0"/>
            <wp:docPr id="1276" name="Imagen 12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Estonia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Estonia’s Penal Code (2001) provides that rape of a civilian person is a war crime.</w:t>
      </w:r>
      <w:r>
        <w:rPr>
          <w:rFonts w:ascii="Times New Roman" w:eastAsia="Times New Roman" w:hAnsi="Times New Roman" w:cs="Times New Roman"/>
          <w:noProof/>
          <w:sz w:val="24"/>
          <w:szCs w:val="24"/>
        </w:rPr>
        <w:drawing>
          <wp:inline distT="0" distB="0" distL="0" distR="0">
            <wp:extent cx="151130" cy="142875"/>
            <wp:effectExtent l="19050" t="0" r="1270" b="0"/>
            <wp:docPr id="1277" name="Imagen 12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Ethiopia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Ethiopia’s Penal Code (1957) “compulsion to acts of prostitution, debauchery and rape” are war crimes against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1278" name="Imagen 12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Ethiopia’s Criminal Code (2004)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Article 270.- War Crimes against the Civilian Population.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Whoever, in time of war, armed conflict or occupation organizes, orders or engages in, against the civilian population and in violation of the rules of public international law and of international humanitarian conventions: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compulsion to acts of prostitution, debauchery or rape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is punishable with rigorous imprisonment from five years to twenty-five years, or, in more serious cases, with life imprisonment or death.</w:t>
      </w:r>
      <w:r>
        <w:rPr>
          <w:rFonts w:ascii="Times New Roman" w:eastAsia="Times New Roman" w:hAnsi="Times New Roman" w:cs="Times New Roman"/>
          <w:noProof/>
          <w:sz w:val="24"/>
          <w:szCs w:val="24"/>
        </w:rPr>
        <w:drawing>
          <wp:inline distT="0" distB="0" distL="0" distR="0">
            <wp:extent cx="151130" cy="142875"/>
            <wp:effectExtent l="19050" t="0" r="1270" b="0"/>
            <wp:docPr id="1279" name="Imagen 12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Finland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Finland’s Criminal Code (1889), as amended in 2008, provides that any person who “rapes another, subjects him or her to sexual slavery, forces him or her into prostitution, pregnancy or sterilization or commits other corresponding aggravated sexual violence against him or her” shall be “sentenced for a </w:t>
      </w:r>
      <w:r w:rsidRPr="004406D2">
        <w:rPr>
          <w:rFonts w:ascii="Times New Roman" w:eastAsia="Times New Roman" w:hAnsi="Times New Roman" w:cs="Times New Roman"/>
          <w:i/>
          <w:iCs/>
          <w:sz w:val="24"/>
          <w:szCs w:val="24"/>
          <w:lang w:val="en-US"/>
        </w:rPr>
        <w:t>war crime</w:t>
      </w:r>
      <w:r w:rsidRPr="004406D2">
        <w:rPr>
          <w:rFonts w:ascii="Times New Roman" w:eastAsia="Times New Roman" w:hAnsi="Times New Roman" w:cs="Times New Roman"/>
          <w:sz w:val="24"/>
          <w:szCs w:val="24"/>
          <w:lang w:val="en-US"/>
        </w:rPr>
        <w:t xml:space="preserve"> to imprisonment for at least one year or for life”.</w:t>
      </w:r>
      <w:r>
        <w:rPr>
          <w:rFonts w:ascii="Times New Roman" w:eastAsia="Times New Roman" w:hAnsi="Times New Roman" w:cs="Times New Roman"/>
          <w:noProof/>
          <w:sz w:val="24"/>
          <w:szCs w:val="24"/>
        </w:rPr>
        <w:drawing>
          <wp:inline distT="0" distB="0" distL="0" distR="0">
            <wp:extent cx="151130" cy="142875"/>
            <wp:effectExtent l="19050" t="0" r="1270" b="0"/>
            <wp:docPr id="1280" name="Imagen 12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France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France’s Penal Code (1994), as amended in 2010, states in its section on war crimes common to both international and non-international armed conflicts: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Forcing a person protected by the international law of armed conflict into prostitution, unwanted pregnancy and sterilization against that person’s will, or inflicting any other form of sexual violence of comparable gravity against such person, is punishable by life imprisonment.</w:t>
      </w:r>
      <w:r>
        <w:rPr>
          <w:rFonts w:ascii="Times New Roman" w:eastAsia="Times New Roman" w:hAnsi="Times New Roman" w:cs="Times New Roman"/>
          <w:noProof/>
          <w:sz w:val="24"/>
          <w:szCs w:val="24"/>
        </w:rPr>
        <w:drawing>
          <wp:inline distT="0" distB="0" distL="0" distR="0">
            <wp:extent cx="151130" cy="142875"/>
            <wp:effectExtent l="19050" t="0" r="1270" b="0"/>
            <wp:docPr id="1281" name="Imagen 12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Georgia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Under Georgia’s Criminal Code (1999), any war crime provided for by the 1998 ICC Statute, which is not explicitly mentioned in the Code, such as “rape, sexual slavery, enforced prostitution, forced pregnancy, … enforced sterilization, or any other form of sexual violence also constituting a grave breach of the Geneva Conventions” in international and non-international armed conflicts, is a war crime.</w:t>
      </w:r>
      <w:r>
        <w:rPr>
          <w:rFonts w:ascii="Times New Roman" w:eastAsia="Times New Roman" w:hAnsi="Times New Roman" w:cs="Times New Roman"/>
          <w:noProof/>
          <w:sz w:val="24"/>
          <w:szCs w:val="24"/>
        </w:rPr>
        <w:drawing>
          <wp:inline distT="0" distB="0" distL="0" distR="0">
            <wp:extent cx="151130" cy="142875"/>
            <wp:effectExtent l="19050" t="0" r="1270" b="0"/>
            <wp:docPr id="1282" name="Imagen 12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Germany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Germany’s Law Introducing the International Crimes Code (2002) provides for the punishment of anyone who, in connection with an international or non-international armed conflict,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sexually coerces, rapes, forces into prostitution or deprives a person who is to be protected under international humanitarian law of his or her reproductive capacity, or confines a woman forcibly made pregnant with the intent of affecting the ethnic composition of any population.</w:t>
      </w:r>
      <w:r>
        <w:rPr>
          <w:rFonts w:ascii="Times New Roman" w:eastAsia="Times New Roman" w:hAnsi="Times New Roman" w:cs="Times New Roman"/>
          <w:noProof/>
          <w:sz w:val="24"/>
          <w:szCs w:val="24"/>
        </w:rPr>
        <w:drawing>
          <wp:inline distT="0" distB="0" distL="0" distR="0">
            <wp:extent cx="151130" cy="142875"/>
            <wp:effectExtent l="19050" t="0" r="1270" b="0"/>
            <wp:docPr id="1283" name="Imagen 12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Guinea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Guinea’s Children’s Code (2008)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Article 347: Any completed or attempted indecent act carried out directly, immediately and intentionally against a person, with or without violence, constitutes indecent assault.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Article 348: Any indecent assault committed or attempted without the use of violence, coercion or surprise against a Child of either sex [under] the age of 13 will be punished with 3 to 10 years’ imprisonment and by a fine of 100,000 to 500,000 Guinean francs or with one of these 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Any indecent assault on a Child above the age of 13 and not emancipated by marriage will be punished with one or both of these penalties when completed or attempted without violence, coercion or surprise by a natural or adoptive ancestor of the victim, by a person having authority over the victim, or by a person who abused the authority conferred on him or her through his or her position.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During an armed conflict, any assault committed in the same circumstances as those described above will be punished with 5 to 15 years’ imprisonment and with a fine of 500,000 to 1,000,000 Guinean francs, or with one of these 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Article 349: Any indecent assault completed or attempted with violence, threat or surprise against the person of a Child of either sex under the age of 15 will be punished with 3 to 10 years’ imprisonment and a fine of 200,000 to 800,000 Guinean francs or with one of these 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During an armed conflict, the penalty will be 5 to 20 years’ imprisonment and a fine of 500,000 to 2,000,000 Guinean francs or one of these 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Article 353: During an armed conflict, rape, sexual slavery, forced prostitution, forced pregnancy, forced sterilization or any other form of sexual violence, if committed against a person under the age of 18, will be punished with 15 to 20 years’ imprisonment and a fine of 1,000,000 to 2,500,000 Guinean francs or with one of these 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 attempt to commit any of these violations will be punished with the same 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Article 430: During an armed conflict, any assault against the physical and moral integrity of a Child will be punished with 2 to 5 years’ imprisonment and a fine of 50,000 to 500,000 Guinean francs or with one of these penalties.</w:t>
      </w:r>
      <w:r>
        <w:rPr>
          <w:rFonts w:ascii="Times New Roman" w:eastAsia="Times New Roman" w:hAnsi="Times New Roman" w:cs="Times New Roman"/>
          <w:noProof/>
          <w:sz w:val="24"/>
          <w:szCs w:val="24"/>
        </w:rPr>
        <w:drawing>
          <wp:inline distT="0" distB="0" distL="0" distR="0">
            <wp:extent cx="151130" cy="142875"/>
            <wp:effectExtent l="19050" t="0" r="1270" b="0"/>
            <wp:docPr id="1284" name="Imagen 12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Hungary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Under Hungary’s Criminal Code (1978), as amended in 1998, taking measures aiming at the prevention of births within a national, ethnic, racial or religious group, as a part of a genocide campaign, constitutes a “crime against the freedom of peoples”.</w:t>
      </w:r>
      <w:r>
        <w:rPr>
          <w:rFonts w:ascii="Times New Roman" w:eastAsia="Times New Roman" w:hAnsi="Times New Roman" w:cs="Times New Roman"/>
          <w:noProof/>
          <w:sz w:val="24"/>
          <w:szCs w:val="24"/>
        </w:rPr>
        <w:drawing>
          <wp:inline distT="0" distB="0" distL="0" distR="0">
            <wp:extent cx="151130" cy="142875"/>
            <wp:effectExtent l="19050" t="0" r="1270" b="0"/>
            <wp:docPr id="1285" name="Imagen 12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Iraq</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Iraq’s Law of the Supreme Iraqi Criminal Tribunal (2005) identifies the following as a serious violation of the laws and customs of war applicable in both international and non-international armed conflicts: “Committing rape, sexual slavery, enforced prostitution, forced pregnancy, or any other form of sexual violence of comparable gravity”.</w:t>
      </w:r>
      <w:r>
        <w:rPr>
          <w:rFonts w:ascii="Times New Roman" w:eastAsia="Times New Roman" w:hAnsi="Times New Roman" w:cs="Times New Roman"/>
          <w:noProof/>
          <w:sz w:val="24"/>
          <w:szCs w:val="24"/>
        </w:rPr>
        <w:drawing>
          <wp:inline distT="0" distB="0" distL="0" distR="0">
            <wp:extent cx="151130" cy="142875"/>
            <wp:effectExtent l="19050" t="0" r="1270" b="0"/>
            <wp:docPr id="1286" name="Imagen 12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Ireland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Ireland’s Geneva Conventions Act (1962), as amended in 1998, provides that any “minor breach” of the 1949 Geneva Conventions, including violations of common Articles 3 and 27 of the Geneva Convention IV, and of the 1977 Additional Protocol I, including violations of Articles 75(2), 76(1) and 77(1), as well as any “contravention” of the 1977 Additional Protocol II, including violations of Article 4(2)(e), are punishable offences.</w:t>
      </w:r>
      <w:r>
        <w:rPr>
          <w:rFonts w:ascii="Times New Roman" w:eastAsia="Times New Roman" w:hAnsi="Times New Roman" w:cs="Times New Roman"/>
          <w:noProof/>
          <w:sz w:val="24"/>
          <w:szCs w:val="24"/>
        </w:rPr>
        <w:drawing>
          <wp:inline distT="0" distB="0" distL="0" distR="0">
            <wp:extent cx="151130" cy="142875"/>
            <wp:effectExtent l="19050" t="0" r="1270" b="0"/>
            <wp:docPr id="1287" name="Imagen 12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Israel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Israel’s Nazis and Nazi Collaborators (Punishment) Law (1950) includes “imposing measures intended to prevent births among Jews” in its definition of genocide.</w:t>
      </w:r>
      <w:r>
        <w:rPr>
          <w:rFonts w:ascii="Times New Roman" w:eastAsia="Times New Roman" w:hAnsi="Times New Roman" w:cs="Times New Roman"/>
          <w:noProof/>
          <w:sz w:val="24"/>
          <w:szCs w:val="24"/>
        </w:rPr>
        <w:drawing>
          <wp:inline distT="0" distB="0" distL="0" distR="0">
            <wp:extent cx="151130" cy="142875"/>
            <wp:effectExtent l="19050" t="0" r="1270" b="0"/>
            <wp:docPr id="1288" name="Imagen 12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Lithuania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Lithuania’s Criminal Code (1961), as amended in 1998, “rape of women or forcing them to engage in prostitution”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1289" name="Imagen 12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Mali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Mali’s Penal Code (2001) provides that “rape, sexual slavery, forced prostitution, forced pregnancies, forced sterilization or any other form of sexual violence which is a grave breach of the 1949 Geneva Conventions” constitutes a war crime in 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1290" name="Imagen 12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Mozambique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Mozambique’s Military Criminal Law (1987) criminalizes sexual intercourse with a woman against her will, as well as the rape of minors under 12 years old.</w:t>
      </w:r>
      <w:r>
        <w:rPr>
          <w:rFonts w:ascii="Times New Roman" w:eastAsia="Times New Roman" w:hAnsi="Times New Roman" w:cs="Times New Roman"/>
          <w:noProof/>
          <w:sz w:val="24"/>
          <w:szCs w:val="24"/>
        </w:rPr>
        <w:drawing>
          <wp:inline distT="0" distB="0" distL="0" distR="0">
            <wp:extent cx="151130" cy="142875"/>
            <wp:effectExtent l="19050" t="0" r="1270" b="0"/>
            <wp:docPr id="1291" name="Imagen 12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Myanmar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Myanmar’s Defence Service Act (1959) provides: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 person subject to this law who commits an offence … of rape in relation to [any person not subject to military law] shall not be deemed to be guilty of an offence against this act and shall not be tried by a court-martial unless he commits any of the said offences … while in active service.</w:t>
      </w:r>
      <w:r>
        <w:rPr>
          <w:rFonts w:ascii="Times New Roman" w:eastAsia="Times New Roman" w:hAnsi="Times New Roman" w:cs="Times New Roman"/>
          <w:noProof/>
          <w:sz w:val="24"/>
          <w:szCs w:val="24"/>
        </w:rPr>
        <w:drawing>
          <wp:inline distT="0" distB="0" distL="0" distR="0">
            <wp:extent cx="151130" cy="142875"/>
            <wp:effectExtent l="19050" t="0" r="1270" b="0"/>
            <wp:docPr id="1292" name="Imagen 12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Netherlands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Definition of War Crimes Decree (1946) of the Netherlands includes “rape” and “abduction of girls and women for the purpose of enforced prostitution” in its list of war crimes.</w:t>
      </w:r>
      <w:r>
        <w:rPr>
          <w:rFonts w:ascii="Times New Roman" w:eastAsia="Times New Roman" w:hAnsi="Times New Roman" w:cs="Times New Roman"/>
          <w:noProof/>
          <w:sz w:val="24"/>
          <w:szCs w:val="24"/>
        </w:rPr>
        <w:drawing>
          <wp:inline distT="0" distB="0" distL="0" distR="0">
            <wp:extent cx="151130" cy="142875"/>
            <wp:effectExtent l="19050" t="0" r="1270" b="0"/>
            <wp:docPr id="1293" name="Imagen 12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Under the International Crimes Act (2003) of the Netherlands, “rape, sexual slavery, enforced prostitution, enforced sterilization, or any other form of sexual violence which can be deemed to be of a gravity comparable to a grave breach of the Geneva Conventions”, “forced pregnancy”, as well as “outrages upon personal dignity, in particular humiliating and degrading treatment” of persons taking no active part in the hostilities, constitute crimes, whether committed in time of international or non-international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294" name="Imagen 12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New Zealand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Under New Zealand’s International Crimes and ICC Act (2000), genocide includes the crimes defined in Article 6(d) of the 1998 ICC Statute, crimes against humanity include </w:t>
      </w:r>
      <w:r w:rsidRPr="004406D2">
        <w:rPr>
          <w:rFonts w:ascii="Times New Roman" w:eastAsia="Times New Roman" w:hAnsi="Times New Roman" w:cs="Times New Roman"/>
          <w:sz w:val="24"/>
          <w:szCs w:val="24"/>
          <w:lang w:val="en-US"/>
        </w:rPr>
        <w:lastRenderedPageBreak/>
        <w:t>the crimes defined in Article 7(1)(g) of the Statute, and war crimes include the crimes defined in Article 8(2)(b)(xxii) and (e)(vi)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1295" name="Imagen 12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Niger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According to Niger’s Penal Code (1961), as amended in 2003, it is a crime of genocide to adopt “measures aimed at preventing birth” within a group, with the intent to destroy partially or totally a national, ethnic, racial or religious group or a group defined on the basis of any other arbitrary criterion.</w:t>
      </w:r>
      <w:r>
        <w:rPr>
          <w:rFonts w:ascii="Times New Roman" w:eastAsia="Times New Roman" w:hAnsi="Times New Roman" w:cs="Times New Roman"/>
          <w:noProof/>
          <w:sz w:val="24"/>
          <w:szCs w:val="24"/>
        </w:rPr>
        <w:drawing>
          <wp:inline distT="0" distB="0" distL="0" distR="0">
            <wp:extent cx="151130" cy="142875"/>
            <wp:effectExtent l="19050" t="0" r="1270" b="0"/>
            <wp:docPr id="1296" name="Imagen 12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Norway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Norway’s Military Penal Code (1902), as amended in 1981, provides: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Anyone who contravenes or is accessory to the contravention of provisions relating to the protection of persons or property laid down in … the Geneva Conventions of 12 August 1949 … [and in] the two additional protocols to these Conventions … is liable to imprisonment.</w:t>
      </w:r>
      <w:r>
        <w:rPr>
          <w:rFonts w:ascii="Times New Roman" w:eastAsia="Times New Roman" w:hAnsi="Times New Roman" w:cs="Times New Roman"/>
          <w:noProof/>
          <w:sz w:val="24"/>
          <w:szCs w:val="24"/>
        </w:rPr>
        <w:drawing>
          <wp:inline distT="0" distB="0" distL="0" distR="0">
            <wp:extent cx="151130" cy="142875"/>
            <wp:effectExtent l="19050" t="0" r="1270" b="0"/>
            <wp:docPr id="1297" name="Imagen 12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Norway’s Penal Code (1902), as amended in 2008,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 person is liable to punishment for a war crime who in connection with an armed conflict … subjects a protected person to rape, sexual slavery, enforced prostitution, forced pregnancy, enforced sterilisation or any other form of sexual violence of comparable gravity.</w:t>
      </w:r>
      <w:r>
        <w:rPr>
          <w:rFonts w:ascii="Times New Roman" w:eastAsia="Times New Roman" w:hAnsi="Times New Roman" w:cs="Times New Roman"/>
          <w:noProof/>
          <w:sz w:val="24"/>
          <w:szCs w:val="24"/>
        </w:rPr>
        <w:drawing>
          <wp:inline distT="0" distB="0" distL="0" distR="0">
            <wp:extent cx="151130" cy="142875"/>
            <wp:effectExtent l="19050" t="0" r="1270" b="0"/>
            <wp:docPr id="1298" name="Imagen 12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Paraguay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Paraguay’s Military Penal Code (1980), rape is a crime.</w:t>
      </w:r>
      <w:r>
        <w:rPr>
          <w:rFonts w:ascii="Times New Roman" w:eastAsia="Times New Roman" w:hAnsi="Times New Roman" w:cs="Times New Roman"/>
          <w:noProof/>
          <w:sz w:val="24"/>
          <w:szCs w:val="24"/>
        </w:rPr>
        <w:drawing>
          <wp:inline distT="0" distB="0" distL="0" distR="0">
            <wp:extent cx="151130" cy="142875"/>
            <wp:effectExtent l="19050" t="0" r="1270" b="0"/>
            <wp:docPr id="1299" name="Imagen 12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Peru</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Peru’s Regulations to the Law on Internal Displacement (2005)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Internally displaced persons who return to their places of habitual residence or who have resettled in another part of the country have a right to: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k) Be protected against … gender-based violence and sexual exploitation.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l) Be protected against crimes of sexual violence and abuse against women and their families.</w:t>
      </w:r>
      <w:r>
        <w:rPr>
          <w:rFonts w:ascii="Times New Roman" w:eastAsia="Times New Roman" w:hAnsi="Times New Roman" w:cs="Times New Roman"/>
          <w:noProof/>
          <w:sz w:val="24"/>
          <w:szCs w:val="24"/>
        </w:rPr>
        <w:drawing>
          <wp:inline distT="0" distB="0" distL="0" distR="0">
            <wp:extent cx="151130" cy="142875"/>
            <wp:effectExtent l="19050" t="0" r="1270" b="0"/>
            <wp:docPr id="1300" name="Imagen 13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Peru’s Code of Military and Police Justice (2006)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 member of the military or police who in the context of an international or non-international armed conflict: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4. Subjects [one or more persons] to rape or sexual slavery, enforced prostitution, enforced sterilization, forced marriage or cohabitation as a partner, shall be imprisoned for a period of no less than six and no more than 15 years.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The same penalty shall be imposed for the unlawful confinement of a woman protected by international humanitarian law who has been forcibly impregnated with the intent of affecting the ethnic composition of a population, or who has been forced by means of violence or serious threat to have an abortion.</w:t>
      </w:r>
      <w:r>
        <w:rPr>
          <w:rFonts w:ascii="Times New Roman" w:eastAsia="Times New Roman" w:hAnsi="Times New Roman" w:cs="Times New Roman"/>
          <w:noProof/>
          <w:sz w:val="24"/>
          <w:szCs w:val="24"/>
        </w:rPr>
        <w:drawing>
          <wp:inline distT="0" distB="0" distL="0" distR="0">
            <wp:extent cx="151130" cy="142875"/>
            <wp:effectExtent l="19050" t="0" r="1270" b="0"/>
            <wp:docPr id="1301" name="Imagen 13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Peru’s Decree on the Use of Force by the Armed Forces (2010) states: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With respect to the persons mentioned above [i.e. persons not directly participating in hostilities or who have laid down their arms as well as persons placed </w:t>
      </w:r>
      <w:r w:rsidRPr="004406D2">
        <w:rPr>
          <w:rFonts w:ascii="Times New Roman" w:eastAsia="Times New Roman" w:hAnsi="Times New Roman" w:cs="Times New Roman"/>
          <w:i/>
          <w:iCs/>
          <w:sz w:val="24"/>
          <w:szCs w:val="24"/>
          <w:lang w:val="en-US"/>
        </w:rPr>
        <w:t>hors de combat</w:t>
      </w:r>
      <w:r w:rsidRPr="004406D2">
        <w:rPr>
          <w:rFonts w:ascii="Times New Roman" w:eastAsia="Times New Roman" w:hAnsi="Times New Roman" w:cs="Times New Roman"/>
          <w:sz w:val="24"/>
          <w:szCs w:val="24"/>
          <w:lang w:val="en-US"/>
        </w:rPr>
        <w:t xml:space="preserve"> by illness, wounds, detention or any other reason], the following actions are prohibited anytime and anywhere: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 sexual violence.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 Threats to carry out any of the aforementioned acts.</w:t>
      </w:r>
      <w:r>
        <w:rPr>
          <w:rFonts w:ascii="Times New Roman" w:eastAsia="Times New Roman" w:hAnsi="Times New Roman" w:cs="Times New Roman"/>
          <w:noProof/>
          <w:sz w:val="24"/>
          <w:szCs w:val="24"/>
        </w:rPr>
        <w:drawing>
          <wp:inline distT="0" distB="0" distL="0" distR="0">
            <wp:extent cx="151130" cy="142875"/>
            <wp:effectExtent l="19050" t="0" r="1270" b="0"/>
            <wp:docPr id="1302" name="Imagen 13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Philippines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The Philippines’ Republic Act No. 8353 (1997), the “Anti-Rape Law of 1997”, provides: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Article 266-B. </w:t>
      </w:r>
      <w:r w:rsidRPr="004406D2">
        <w:rPr>
          <w:rFonts w:ascii="Times New Roman" w:eastAsia="Times New Roman" w:hAnsi="Times New Roman" w:cs="Times New Roman"/>
          <w:i/>
          <w:iCs/>
          <w:sz w:val="24"/>
          <w:szCs w:val="24"/>
          <w:lang w:val="en-US"/>
        </w:rPr>
        <w:t>Penalties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death penalty shall also be imposed if the crime of rape is committed with any of the following aggravating/qualifying circumstances: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When the victim is under the custody of the police or military authorities or any law enforcement or penal institution;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7) When committed by any member of the Armed Forces of the Philippines or para-military units thereof or the Philippine National Police or any law enforcement agency or penal institution, when the offender took advantage of his position to facilitate the commission of the crime.</w:t>
      </w:r>
      <w:r>
        <w:rPr>
          <w:rFonts w:ascii="Times New Roman" w:eastAsia="Times New Roman" w:hAnsi="Times New Roman" w:cs="Times New Roman"/>
          <w:noProof/>
          <w:sz w:val="24"/>
          <w:szCs w:val="24"/>
        </w:rPr>
        <w:drawing>
          <wp:inline distT="0" distB="0" distL="0" distR="0">
            <wp:extent cx="151130" cy="142875"/>
            <wp:effectExtent l="19050" t="0" r="1270" b="0"/>
            <wp:docPr id="1303" name="Imagen 13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Republic of Korea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Republic of Korea’s Military Criminal Code (1962) provides that the rape of women in combat or in an occupied zone is punishable by the death penalty.</w:t>
      </w:r>
      <w:r>
        <w:rPr>
          <w:rFonts w:ascii="Times New Roman" w:eastAsia="Times New Roman" w:hAnsi="Times New Roman" w:cs="Times New Roman"/>
          <w:noProof/>
          <w:sz w:val="24"/>
          <w:szCs w:val="24"/>
        </w:rPr>
        <w:drawing>
          <wp:inline distT="0" distB="0" distL="0" distR="0">
            <wp:extent cx="151130" cy="142875"/>
            <wp:effectExtent l="19050" t="0" r="1270" b="0"/>
            <wp:docPr id="1304" name="Imagen 13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Republic of Korea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Republic of Korea’s ICC Act (2007) provides for the punishment of crimes listed in the 1998 ICC Statute, including in both international and non-international armed conflicts: genocide by “[i]mposing measures intended to prevent births within the group”; “[r]ape, sexual slavery, enforced prostitution, forced pregnancy, enforced sterilization, or any other form of sexual violation of comparable gravity” as crimes against humanity; as well as the war crimes of “[r]ape, sexual slavery, enforced prostitution, forced pregnancy, enforced sterilization against a person who is to be protected under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305" name="Imagen 13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Rwanda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Rwanda’s Law Repressing the Crime of Genocide, Crimes against Humanity and War Crimes (2003) provides: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Article: 10</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“War crime” shall also mean any of the following acts committed in armed conflicts: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outrages upon human dignity, in particular rape, sexual abuse, enforced prostitution, and any form of indecent assault;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i/>
          <w:iCs/>
          <w:sz w:val="24"/>
          <w:szCs w:val="24"/>
          <w:lang w:val="en-US"/>
        </w:rPr>
        <w:t>Article: 11</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Anyone who commits one of the war crimes provided for in Article 10 of this law shall be punished by the following penalties: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death penalty or life imprisonment where he has committed a crime provided for in point 1°, 4°, 5°, 6°, 9° or 10° of Article 10 of this law.</w:t>
      </w:r>
      <w:r>
        <w:rPr>
          <w:rFonts w:ascii="Times New Roman" w:eastAsia="Times New Roman" w:hAnsi="Times New Roman" w:cs="Times New Roman"/>
          <w:noProof/>
          <w:sz w:val="24"/>
          <w:szCs w:val="24"/>
        </w:rPr>
        <w:drawing>
          <wp:inline distT="0" distB="0" distL="0" distR="0">
            <wp:extent cx="151130" cy="142875"/>
            <wp:effectExtent l="19050" t="0" r="1270" b="0"/>
            <wp:docPr id="1306" name="Imagen 13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Senegal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Senegal’s Penal Code (1965), as amended in 2007, states that the following constitute war crimes: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b) [O]ther serious violations of the laws and customs applicable in international armed conflict, within the established framework of international law, namely, any of the following acts: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19. committing rape, sexual slavery, enforced prostitution, enforced sterilization, or any other form of sexual violence also constituting a grave breach of the Geneva Conventions;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d)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Other serious violations of the laws and customs applicable in armed conflicts not of an international character, within the established framework of international law, namely, any of the following acts: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6. subjecting to rape, sexual slavery, enforced prostitution, forced pregnancy, enforced sterilization, and any other form of sexual violence also constituting a serious violation of Article 3 common to the four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1307" name="Imagen 13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Serbia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Serbia’s Criminal Code (2005) states that ordering or imposing measures intended to prevent births within a group, “with intent to destroy, in whole or in part, a national, ethnical, racial or religious group”, constitutes an act of genocide.</w:t>
      </w:r>
      <w:r>
        <w:rPr>
          <w:rFonts w:ascii="Times New Roman" w:eastAsia="Times New Roman" w:hAnsi="Times New Roman" w:cs="Times New Roman"/>
          <w:noProof/>
          <w:sz w:val="24"/>
          <w:szCs w:val="24"/>
        </w:rPr>
        <w:drawing>
          <wp:inline distT="0" distB="0" distL="0" distR="0">
            <wp:extent cx="151130" cy="142875"/>
            <wp:effectExtent l="19050" t="0" r="1270" b="0"/>
            <wp:docPr id="1308" name="Imagen 13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Slovenia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Slovenia’s Penal Code (1994), forced prostitution and rape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309" name="Imagen 13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Somalia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Somalia’s Military Criminal Code (1963)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 commander who causes serious harm to lawful enemy belligerents who have fallen into his power, or to the sick, wounded or shipwrecked, by not according them the treatment prescribed by law or by international agreements … shall be punished, unless the act constitutes a more serious offence, by military confinement for not less than three years.</w:t>
      </w:r>
      <w:r>
        <w:rPr>
          <w:rFonts w:ascii="Times New Roman" w:eastAsia="Times New Roman" w:hAnsi="Times New Roman" w:cs="Times New Roman"/>
          <w:noProof/>
          <w:sz w:val="24"/>
          <w:szCs w:val="24"/>
        </w:rPr>
        <w:drawing>
          <wp:inline distT="0" distB="0" distL="0" distR="0">
            <wp:extent cx="151130" cy="142875"/>
            <wp:effectExtent l="19050" t="0" r="1270" b="0"/>
            <wp:docPr id="1310" name="Imagen 13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South Africa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South Africa’s ICC Act (2002) reproduces the crimes listed in the 1998 ICC Statute, including genocide by “imposing measures intended to prevent births within the group”, and “rape, sexual slavery, enforced prostitution, forced pregnancy, enforced sterilization, or any other form of sexual violence of comparable gravity” as crimes against humanity, as well as the war crimes of “committing rape, sexual slavery, enforced prostitution, forced pregnancy …, enforced sterilization, or any other form of sexual violence also constituting a grave breach of [the 1949 Geneva Conventions or, in non-international armed conflicts, Common Article 3]” in both international and non-international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1311" name="Imagen 13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Spain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Spain’s Military Criminal Code (1985) provides for the punishment of military personnel who commit rape of the wounded, sick and shipwrecked, prisoners of war or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1312" name="Imagen 13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Spain’s Penal Code (1995), in time of armed conflict, acts of induced or forced prostitution or any type of attempt against the honour of protected persons are criminal offences.</w:t>
      </w:r>
      <w:r>
        <w:rPr>
          <w:rFonts w:ascii="Times New Roman" w:eastAsia="Times New Roman" w:hAnsi="Times New Roman" w:cs="Times New Roman"/>
          <w:noProof/>
          <w:sz w:val="24"/>
          <w:szCs w:val="24"/>
        </w:rPr>
        <w:drawing>
          <wp:inline distT="0" distB="0" distL="0" distR="0">
            <wp:extent cx="151130" cy="142875"/>
            <wp:effectExtent l="19050" t="0" r="1270" b="0"/>
            <wp:docPr id="1313" name="Imagen 13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Spain’s Penal Code (1995), as amended in 2010,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Any person who [commits any of the following acts] during armed conflict is punished with 10 to 15 years’ imprisonment, without prejudice to a penalty for the results of such acts: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9. Outrage against the sexual freedom of a protected person through acts of rape, sexual slavery, enforced or induced prostitution, forced pregnancy, enforced sterilization or any other form of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314" name="Imagen 13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Spain’s Royal Ordinances for the Armed Forces (2009) states that members of the armed forces “[m]ust protect defenceless or disadvantaged persons, in particular women </w:t>
      </w:r>
      <w:r w:rsidRPr="004406D2">
        <w:rPr>
          <w:rFonts w:ascii="Times New Roman" w:eastAsia="Times New Roman" w:hAnsi="Times New Roman" w:cs="Times New Roman"/>
          <w:sz w:val="24"/>
          <w:szCs w:val="24"/>
          <w:lang w:val="en-US"/>
        </w:rPr>
        <w:lastRenderedPageBreak/>
        <w:t>and children, against rape, forced prostitution … or any other form of sexual exploitation or violence.”</w:t>
      </w:r>
      <w:r>
        <w:rPr>
          <w:rFonts w:ascii="Times New Roman" w:eastAsia="Times New Roman" w:hAnsi="Times New Roman" w:cs="Times New Roman"/>
          <w:noProof/>
          <w:sz w:val="24"/>
          <w:szCs w:val="24"/>
        </w:rPr>
        <w:drawing>
          <wp:inline distT="0" distB="0" distL="0" distR="0">
            <wp:extent cx="151130" cy="142875"/>
            <wp:effectExtent l="19050" t="0" r="1270" b="0"/>
            <wp:docPr id="1315" name="Imagen 13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Switzerland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Switzerland’s Penal Code (1937), as amended in 2009, states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Any person who, with the intent to destroy, in whole or in part, a national, racial, religious or ethnic group, [commits any of the following acts,] is to be punished with life imprisonment, 10 years’ imprisonment or less: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imposing measures to prevent births within the group.</w:t>
      </w:r>
      <w:r>
        <w:rPr>
          <w:rFonts w:ascii="Times New Roman" w:eastAsia="Times New Roman" w:hAnsi="Times New Roman" w:cs="Times New Roman"/>
          <w:noProof/>
          <w:sz w:val="24"/>
          <w:szCs w:val="24"/>
        </w:rPr>
        <w:drawing>
          <wp:inline distT="0" distB="0" distL="0" distR="0">
            <wp:extent cx="151130" cy="142875"/>
            <wp:effectExtent l="19050" t="0" r="1270" b="0"/>
            <wp:docPr id="1316" name="Imagen 13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Turkey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Turkey’s Criminal Code (2004), the imposition of measures that are intended to prevent births in the group constitutes genocide when committed “under a plan against members of national, racial or religious groups with the intention of destroying the complete or part of the group”. Furthermore, sexual assault and sexual abuse of children, forced pregnancy and forced prostitution constitute crimes against humanity when committed “systematically under a plan against a sector of a community for political, philosophical, racial or religious reasons”.</w:t>
      </w:r>
      <w:r>
        <w:rPr>
          <w:rFonts w:ascii="Times New Roman" w:eastAsia="Times New Roman" w:hAnsi="Times New Roman" w:cs="Times New Roman"/>
          <w:noProof/>
          <w:sz w:val="24"/>
          <w:szCs w:val="24"/>
        </w:rPr>
        <w:drawing>
          <wp:inline distT="0" distB="0" distL="0" distR="0">
            <wp:extent cx="151130" cy="142875"/>
            <wp:effectExtent l="19050" t="0" r="1270" b="0"/>
            <wp:docPr id="1317" name="Imagen 13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Kingdom of Great Britain and Northern Ireland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Under the UK ICC Act (2001), it is a punishable offence to commit genocide as defined in Article 6(d) of the 1998 ICC Statute, a crime against humanity as defined in Article 7(1)(g) of the Statute, and a war crime as defined in Article 8(2)(b)(xxii) and (e)(vi)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1318" name="Imagen 13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United States of America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The US War Crimes Act (1996), as amended by the Military Commissions Act (2006), which was passed by Congress following the Supreme Court’s decision in </w:t>
      </w:r>
      <w:r w:rsidRPr="004406D2">
        <w:rPr>
          <w:rFonts w:ascii="Times New Roman" w:eastAsia="Times New Roman" w:hAnsi="Times New Roman" w:cs="Times New Roman"/>
          <w:i/>
          <w:iCs/>
          <w:sz w:val="24"/>
          <w:szCs w:val="24"/>
          <w:lang w:val="en-US"/>
        </w:rPr>
        <w:t xml:space="preserve">Hamden v. Rumsfeld </w:t>
      </w:r>
      <w:r w:rsidRPr="004406D2">
        <w:rPr>
          <w:rFonts w:ascii="Times New Roman" w:eastAsia="Times New Roman" w:hAnsi="Times New Roman" w:cs="Times New Roman"/>
          <w:sz w:val="24"/>
          <w:szCs w:val="24"/>
          <w:lang w:val="en-US"/>
        </w:rPr>
        <w:t>in 2006, includes in its definition of war crimes any conduct constituting a grave breach of common Article 3 of the 1949 Geneva Conventions: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2441. War crimes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(c) Definition.—As used in this section the term “war crime” means any conduct—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which constitutes a grave breach of common Article 3 (as defined in subsection (d)) when committed in the context of and in association with an armed conflict not of an international character;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(d) Common Article 3 Violations.—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(1) Prohibited conduct.—In subsection (c)(3), the term “grave breach of common Article 3” means any conduct (such conduct constituting a grave breach of common Article 3 of the international conventions done at Geneva August 12, 1949), as follows: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 Rape.—The act of a person who forcibly or with coercion or threat of force wrongfully invades, or conspires or attempts to invade, the body of a person by penetrating, however slightly, the anal or genital opening of the victim with any part of the body of the accused, or with any foreign object.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(H) Sexual assault or abuse.—The act of a person who forcibly or with coercion or threat of force engages, or conspires or attempts to engage, in sexual contact with one or more persons, or causes, or conspires or attempts to cause, one or more persons to engage in sexual contact.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(2) Definitions.—In the case of an offense under subsection (a) by reason of subsection (c)(3)—</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term “sexual contact” shall be applied for purposes of paragraph (1)(G) in accordance with the meaning given that term in section 2246 (3) of this title;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(5) Definition of grave breaches.—The definitions in this subsection are intended only to define the grave breaches of common Article 3 and not the full scope of United States obligations under that Article.</w:t>
      </w:r>
      <w:r>
        <w:rPr>
          <w:rFonts w:ascii="Times New Roman" w:eastAsia="Times New Roman" w:hAnsi="Times New Roman" w:cs="Times New Roman"/>
          <w:noProof/>
          <w:sz w:val="24"/>
          <w:szCs w:val="24"/>
        </w:rPr>
        <w:drawing>
          <wp:inline distT="0" distB="0" distL="0" distR="0">
            <wp:extent cx="151130" cy="142875"/>
            <wp:effectExtent l="19050" t="0" r="1270" b="0"/>
            <wp:docPr id="1319" name="Imagen 13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States of America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The US Military Commissions Act (2006), passed by Congress following the Supreme Court’s decision in </w:t>
      </w:r>
      <w:r w:rsidRPr="004406D2">
        <w:rPr>
          <w:rFonts w:ascii="Times New Roman" w:eastAsia="Times New Roman" w:hAnsi="Times New Roman" w:cs="Times New Roman"/>
          <w:i/>
          <w:iCs/>
          <w:sz w:val="24"/>
          <w:szCs w:val="24"/>
          <w:lang w:val="en-US"/>
        </w:rPr>
        <w:t xml:space="preserve">Hamdan v. Rumsfeld </w:t>
      </w:r>
      <w:r w:rsidRPr="004406D2">
        <w:rPr>
          <w:rFonts w:ascii="Times New Roman" w:eastAsia="Times New Roman" w:hAnsi="Times New Roman" w:cs="Times New Roman"/>
          <w:sz w:val="24"/>
          <w:szCs w:val="24"/>
          <w:lang w:val="en-US"/>
        </w:rPr>
        <w:t xml:space="preserve">in 2006, amends Title 10 of the United States Code as follows: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 950v. Crimes triable by military commissions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“(b) OFFENSES.—The following offenses shall be triable by military commission under this chapter at any time without limitation: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“(21) RAPE.—Any person subject to this chapter who forcibly or with coercion or threat of force wrongfully invades the body of a person by penetrating, however slightly, the anal or genital opening of the victim with any part of the body of the accused, or with any foreign object, shall be punished as a military commission under this chapter may direct.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“(22) SEXUAL ASSAULT OR ABUSE.—Any person subject to this chapter who forcibly or with coercion or threat of force engages in sexual contact with one or more persons, or causes one or more persons to engage in sexual contact, shall be punished as a military commission under this chapter may direct.</w:t>
      </w:r>
      <w:r>
        <w:rPr>
          <w:rFonts w:ascii="Times New Roman" w:eastAsia="Times New Roman" w:hAnsi="Times New Roman" w:cs="Times New Roman"/>
          <w:noProof/>
          <w:sz w:val="24"/>
          <w:szCs w:val="24"/>
        </w:rPr>
        <w:drawing>
          <wp:inline distT="0" distB="0" distL="0" distR="0">
            <wp:extent cx="151130" cy="142875"/>
            <wp:effectExtent l="19050" t="0" r="1270" b="0"/>
            <wp:docPr id="1320" name="Imagen 13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Sec. 6. Implementation of Treaty Obligations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“(b) REVISION TO WAR CRIMES OFFENSE UNDER FEDERAL CRIMINAL CODE.—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IN GENERAL.—Section 2441 of title 18, United States Code, is amended—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by adding at the end the following new subsection: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July 2007, and in accordance with section 6(a)(3) of the Military Commissions Act (2006), the US President issued an Executive Order which stated that a “Program of Detention and Interrogation Operated by the Central Intelligence Agency” complied with US obligations under common Article 3 of the 1949 Geneva Conventions. The Executive Order stated in part: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Sec. 2. Definitions. As used in this order: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“Cruel, inhuman, or degrading treatment or punishment” means the cruel, unusual, and inhumane treatment or punishment prohibited by the Fifth, Eighth, and Fourteenth Amendments to the Constitution of the United States.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Sec. 3. Compliance of a Central Intelligence Agency Detention and Interrogation Program with Common Article 3.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(a) Pursuant to the authority of the President under the Constitution and the laws of the United States, including the Military Commissions Act of 2006, this order interprets the meaning and application of the text of Common Article 3 with respect to certain detentions and interrogations, and shall be treated as authoritative for all purposes as a </w:t>
      </w:r>
      <w:r w:rsidRPr="004406D2">
        <w:rPr>
          <w:rFonts w:ascii="Times New Roman" w:eastAsia="Times New Roman" w:hAnsi="Times New Roman" w:cs="Times New Roman"/>
          <w:sz w:val="24"/>
          <w:szCs w:val="24"/>
          <w:lang w:val="en-US"/>
        </w:rPr>
        <w:lastRenderedPageBreak/>
        <w:t>matter of United States law, including satisfaction of the international obligations of the United States. I hereby determine that Common Article 3 shall apply to a program of detention and interrogation operated by the Central Intelligence Agency as set forth in this section. The requirements set forth in this section shall be applied with respect to detainees in such program without adverse distinction as to their race, color, religion or faith, sex, birth, or wealth.</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(b) I hereby determine that a program of detention and interrogation approved by the Director of the Central Intelligence Agency fully complies with the obligations of the United States under Common Article 3, provided that: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 the conditions of confinement and interrogation practices of the program do not include: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US Military Commissions Act (2009) amends Chapter 47A of Title 10 of the United States Code as follows: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 950t. Crimes triable by military commission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“The following offenses shall be triable by military commission under this chapter at any time without limitation: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“(21) RAPE.—Any person subject to this chapter who forcibly or with coercion or threat of force wrongfully invades the body of a person by penetrating, however slightly, the anal or genital opening of the victim with any part of the body of the accused, or with any foreign object, shall be punished as a military commission under this chapter may direct.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“(22) SEXUAL ASSAULT OR ABUSE.—Any person subject to this chapter who forcibly or with coercion or threat of force engages in sexual contact with one or more persons, or causes one or more persons to engage in sexual contact, shall be punished as a military commission under this chapter may direct.</w:t>
      </w:r>
      <w:r>
        <w:rPr>
          <w:rFonts w:ascii="Times New Roman" w:eastAsia="Times New Roman" w:hAnsi="Times New Roman" w:cs="Times New Roman"/>
          <w:noProof/>
          <w:sz w:val="24"/>
          <w:szCs w:val="24"/>
        </w:rPr>
        <w:drawing>
          <wp:inline distT="0" distB="0" distL="0" distR="0">
            <wp:extent cx="151130" cy="142875"/>
            <wp:effectExtent l="19050" t="0" r="1270" b="0"/>
            <wp:docPr id="1321" name="Imagen 13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Uruguay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Uruguay’s Law on Cooperation with the ICC (2006)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 person who commits any of the following acts with the intention to destroy in whole or in part a national, ethnic, religious, political, or trade union group or a group with their own identity based on gender, sexual orientation, cultural or social reasons, age, disability or health, is punished with fifteen to thirty years’ imprisonment: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 sexual aggression [or] enforced pregnancy … of one or more members of the group.</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measures intended to prevent births within the group.</w:t>
      </w:r>
      <w:r>
        <w:rPr>
          <w:rFonts w:ascii="Times New Roman" w:eastAsia="Times New Roman" w:hAnsi="Times New Roman" w:cs="Times New Roman"/>
          <w:noProof/>
          <w:sz w:val="24"/>
          <w:szCs w:val="24"/>
        </w:rPr>
        <w:drawing>
          <wp:inline distT="0" distB="0" distL="0" distR="0">
            <wp:extent cx="151130" cy="142875"/>
            <wp:effectExtent l="19050" t="0" r="1270" b="0"/>
            <wp:docPr id="1322" name="Imagen 13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Any person who is a State agent or who is not a State agent but acts under the authority, support or acquiescence of one or more State agents and who commits an act of sexual aggression against a person deprived of their liberty or under their custody or control or against a person in their custody or under their control or who appears before authorities as expert witness or other kind of witness must be punished with two to fifteen years’ imprisonment.</w:t>
      </w:r>
      <w:r>
        <w:rPr>
          <w:rFonts w:ascii="Times New Roman" w:eastAsia="Times New Roman" w:hAnsi="Times New Roman" w:cs="Times New Roman"/>
          <w:noProof/>
          <w:sz w:val="24"/>
          <w:szCs w:val="24"/>
        </w:rPr>
        <w:drawing>
          <wp:inline distT="0" distB="0" distL="0" distR="0">
            <wp:extent cx="151130" cy="142875"/>
            <wp:effectExtent l="19050" t="0" r="1270" b="0"/>
            <wp:docPr id="1323" name="Imagen 13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26.2. Persons and objects affected by the war crimes set out in the present provision are persons and objects which international law protects in international or internal armed conflict.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26.3. The following are war crimes: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30. Committing rape, sexual slavery, enforced prostitution, forced pregnancy, enforced sterilization as comprised in Article 24 and as referred to in Article 7, paragraph (g) of </w:t>
      </w:r>
      <w:r w:rsidRPr="00C74F6F">
        <w:rPr>
          <w:rFonts w:ascii="Times New Roman" w:eastAsia="Times New Roman" w:hAnsi="Times New Roman" w:cs="Times New Roman"/>
          <w:sz w:val="24"/>
          <w:szCs w:val="24"/>
          <w:lang w:val="en-US"/>
        </w:rPr>
        <w:lastRenderedPageBreak/>
        <w:t>the Rome Statute, or any other form of sexual violence also constituting a grave breach of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1324" name="Imagen 13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Yugoslavia, Socialist Federal Republic of</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Socialist Federal Republic of Yugoslavia’s Criminal Offences against the Nation and State Act (1945) considers that, during war or enemy occupation, “any person who ordered, assisted or otherwise was the direct executor of … abduction for prostitution, or raping” committed war crimes.</w:t>
      </w:r>
      <w:r>
        <w:rPr>
          <w:rFonts w:ascii="Times New Roman" w:eastAsia="Times New Roman" w:hAnsi="Times New Roman" w:cs="Times New Roman"/>
          <w:noProof/>
          <w:sz w:val="24"/>
          <w:szCs w:val="24"/>
        </w:rPr>
        <w:drawing>
          <wp:inline distT="0" distB="0" distL="0" distR="0">
            <wp:extent cx="151130" cy="142875"/>
            <wp:effectExtent l="19050" t="0" r="1270" b="0"/>
            <wp:docPr id="1325" name="Imagen 13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Socialist Federal Republic of Yugoslavia Penal Code (1976), as amended in 2001, provides that forced prostitution and rape are war crimes.</w:t>
      </w:r>
      <w:r>
        <w:rPr>
          <w:rFonts w:ascii="Times New Roman" w:eastAsia="Times New Roman" w:hAnsi="Times New Roman" w:cs="Times New Roman"/>
          <w:noProof/>
          <w:sz w:val="24"/>
          <w:szCs w:val="24"/>
        </w:rPr>
        <w:drawing>
          <wp:inline distT="0" distB="0" distL="0" distR="0">
            <wp:extent cx="151130" cy="142875"/>
            <wp:effectExtent l="19050" t="0" r="1270" b="0"/>
            <wp:docPr id="1326" name="Imagen 13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1" w:history="1">
        <w:r w:rsidRPr="004406D2">
          <w:rPr>
            <w:rFonts w:ascii="Times New Roman" w:eastAsia="Times New Roman" w:hAnsi="Times New Roman" w:cs="Times New Roman"/>
            <w:color w:val="0000FF"/>
            <w:sz w:val="24"/>
            <w:szCs w:val="24"/>
            <w:u w:val="single"/>
            <w:lang w:val="en-US"/>
          </w:rPr>
          <w:t>V. National Case-law</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During the period of [the] War of Liberation … the accused … being accompanied by some biharis [members of a pro-Pakistan ethnic group] and [members of the] Pakistani army went to the house of [a civilian] at … Mirpur Section-12 … [H]is accomplices … on his order killed [five civilians]. During the same … attack 12 accomplices of the accused committed [a] gang rape upon a minor … By such acts and conduct the accused … committed the offence of … “rape” as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327" name="Imagen 13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All these crimes were perpetrated against [the] civilian population during the war of liberation … There is no doubt that the … rape w[as] perpetrated in a planned and concerted manner … Three minor girls were raped … … Therefore, there is no gainsaying the fact that all the ingredients of offences of [the] crimes against [h]umanity are present in this case.</w:t>
      </w:r>
      <w:r>
        <w:rPr>
          <w:rFonts w:ascii="Times New Roman" w:eastAsia="Times New Roman" w:hAnsi="Times New Roman" w:cs="Times New Roman"/>
          <w:noProof/>
          <w:sz w:val="24"/>
          <w:szCs w:val="24"/>
        </w:rPr>
        <w:drawing>
          <wp:inline distT="0" distB="0" distL="0" distR="0">
            <wp:extent cx="151130" cy="142875"/>
            <wp:effectExtent l="19050" t="0" r="1270" b="0"/>
            <wp:docPr id="1328" name="Imagen 13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191.</w:t>
      </w:r>
      <w:r w:rsidRPr="004406D2">
        <w:rPr>
          <w:rFonts w:ascii="Times New Roman" w:eastAsia="Times New Roman" w:hAnsi="Times New Roman" w:cs="Times New Roman"/>
          <w:sz w:val="24"/>
          <w:szCs w:val="24"/>
          <w:lang w:val="en-US"/>
        </w:rPr>
        <w:t xml:space="preserve"> [The] Rwanda ICT Chamber … identified the specific elements of the crime of rape for the first time in international law, and distinguished [it from] sexual violence … Although the Rwandan Tribunal had previously included rape among the enumerated acts that could constitute crimes against [h]umanity, it was in [the] Akayesu [decision] that a Trial Chamber first defined rape as “a physical invasion of a sexual nature committed on a person under circumstances which are coercive.” Sexual violence was broadly defined as “any act of sexual nature which is committed on a person under circumstances which are coercive.” Such an act, the Trial Chamber declared, could [encompass] … harms that d[o] not involve penetration or even physical contact. For example, the instance of a student being forced to publicly undress and do gymnastics … [naked] was found to constitute sexual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199.</w:t>
      </w:r>
      <w:r w:rsidRPr="004406D2">
        <w:rPr>
          <w:rFonts w:ascii="Times New Roman" w:eastAsia="Times New Roman" w:hAnsi="Times New Roman" w:cs="Times New Roman"/>
          <w:sz w:val="24"/>
          <w:szCs w:val="24"/>
          <w:lang w:val="en-US"/>
        </w:rPr>
        <w:t xml:space="preserve"> … [D]uring the time of [the] Liberation War in 1971, [the] accused … led a group of 10/12 armed Razakars and Peace Committee members and surrounded the houses of [a civilian in] Parerhat Bandor … [S]ubsequently the accused and others abducted [three women] and handed [them] over … to [the] Pakistani Army … at Pirojpur[,] where they were … raped for three days before [being] release[d]. The accused was … involved in … the offence … of … rape as crime …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329" name="Imagen 13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Bosnia and Herzegovina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2006, in the </w:t>
      </w:r>
      <w:r w:rsidRPr="004406D2">
        <w:rPr>
          <w:rFonts w:ascii="Times New Roman" w:eastAsia="Times New Roman" w:hAnsi="Times New Roman" w:cs="Times New Roman"/>
          <w:i/>
          <w:iCs/>
          <w:sz w:val="24"/>
          <w:szCs w:val="24"/>
          <w:lang w:val="en-US"/>
        </w:rPr>
        <w:t>Samardžić case</w:t>
      </w:r>
      <w:r w:rsidRPr="004406D2">
        <w:rPr>
          <w:rFonts w:ascii="Times New Roman" w:eastAsia="Times New Roman" w:hAnsi="Times New Roman" w:cs="Times New Roman"/>
          <w:sz w:val="24"/>
          <w:szCs w:val="24"/>
          <w:lang w:val="en-US"/>
        </w:rPr>
        <w:t>, the Appellate Panel of the Court of Bosnia and Herzegovina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[L]ack of resistance or obvious and constant disagreement throughout the sexual slavery cannot be interpreted as a sign of consent. Neither resistance nor the permanent application of force in itself are required elements of the subject matter of rape.</w:t>
      </w:r>
      <w:r>
        <w:rPr>
          <w:rFonts w:ascii="Times New Roman" w:eastAsia="Times New Roman" w:hAnsi="Times New Roman" w:cs="Times New Roman"/>
          <w:noProof/>
          <w:sz w:val="24"/>
          <w:szCs w:val="24"/>
        </w:rPr>
        <w:drawing>
          <wp:inline distT="0" distB="0" distL="0" distR="0">
            <wp:extent cx="151130" cy="142875"/>
            <wp:effectExtent l="19050" t="0" r="1270" b="0"/>
            <wp:docPr id="1330" name="Imagen 13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[I]t is necessary to particularly stress that the criminal offence of rape, within the context of Crimes against Humanity, differs considerably in its nature from the general criminal offence of rape … [that requires] corroborating evidence or direct examination of the victim. … [I]n cases of rape in war … the examination of the victims themselves </w:t>
      </w:r>
      <w:r w:rsidRPr="004406D2">
        <w:rPr>
          <w:rFonts w:ascii="Times New Roman" w:eastAsia="Times New Roman" w:hAnsi="Times New Roman" w:cs="Times New Roman"/>
          <w:sz w:val="24"/>
          <w:szCs w:val="24"/>
          <w:lang w:val="en-US"/>
        </w:rPr>
        <w:lastRenderedPageBreak/>
        <w:t>is very often impossible due to objective reasons, as many were killed, were unaccounted for or, quite understandably, were of unknown address.</w:t>
      </w:r>
      <w:r>
        <w:rPr>
          <w:rFonts w:ascii="Times New Roman" w:eastAsia="Times New Roman" w:hAnsi="Times New Roman" w:cs="Times New Roman"/>
          <w:noProof/>
          <w:sz w:val="24"/>
          <w:szCs w:val="24"/>
        </w:rPr>
        <w:drawing>
          <wp:inline distT="0" distB="0" distL="0" distR="0">
            <wp:extent cx="151130" cy="142875"/>
            <wp:effectExtent l="19050" t="0" r="1270" b="0"/>
            <wp:docPr id="1331" name="Imagen 13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2007, in the </w:t>
      </w:r>
      <w:r w:rsidRPr="004406D2">
        <w:rPr>
          <w:rFonts w:ascii="Times New Roman" w:eastAsia="Times New Roman" w:hAnsi="Times New Roman" w:cs="Times New Roman"/>
          <w:i/>
          <w:iCs/>
          <w:sz w:val="24"/>
          <w:szCs w:val="24"/>
          <w:lang w:val="en-US"/>
        </w:rPr>
        <w:t>Šimšić case</w:t>
      </w:r>
      <w:r w:rsidRPr="004406D2">
        <w:rPr>
          <w:rFonts w:ascii="Times New Roman" w:eastAsia="Times New Roman" w:hAnsi="Times New Roman" w:cs="Times New Roman"/>
          <w:sz w:val="24"/>
          <w:szCs w:val="24"/>
          <w:lang w:val="en-US"/>
        </w:rPr>
        <w:t>, the Appellate Panel of the Court of Bosnia and Herzegovina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Court found no grounds for the Defence assertion that … rapes were not accepted as crimes against humanity pursuant to customary international law. To wit, the Court notes that the stated actions are indisputably criminal offences which at the time of war acquire the characteristics and the meaning of war crimes …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Furthermore, the prohibition of rape and [serious sexual assault] during armed conflicts has become a part of customary international law. It gradually emerged from the explicit prohibition of rape referred to in Article 44 of the Lieber Code and the general provisions referred to in Article 4[6] of the [1907 Hague Regulations], which should be interpreted together with the “Martens clause” which is stated in the Preamble of the [referred regulations]. Although the Nuremberg [Tribunal] did not conduct separate criminal prosecutions for rape and sexual assault, rape has been qualified as crime against humanity pursuant to Article II (1) (c) of [Control Council Law No. 10].</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[International Military Tribunal at Tokyo] convicted [Japanese] generals … based on their command responsibility for violations of the laws and customs of war which had been committed by their soldiers in Nanking, which included mass scale rape and sexual assault. The former Japanese Minister of Foreign Affairs … was also convicted of such crimes.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This decision, as well as the decision of the [US Military Commission] in the Yamashita case, in addition to …the fundamental prohibition of “[outrages upon] personal dignity” in common Article [3] [which] has become part of customary international law, have contributed to the development of universally accepted norms of international law which prohibit rape and [serious] sexual assault. These norms are applicable to any armed conflict.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addition, no international human rights instrument explicitly prohibits rape and other [serious] sexual [assaults] and yet these criminal offences are implicitly prohibited by the provisions protecting the [physical] integrity which [are contained in] all relevant international treaties. The right to physical integrity is a fundamental right which is reflected in national [legislation] and therefore it undoubtedly constitutes part of customary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332" name="Imagen 13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2007, in the </w:t>
      </w:r>
      <w:r w:rsidRPr="004406D2">
        <w:rPr>
          <w:rFonts w:ascii="Times New Roman" w:eastAsia="Times New Roman" w:hAnsi="Times New Roman" w:cs="Times New Roman"/>
          <w:i/>
          <w:iCs/>
          <w:sz w:val="24"/>
          <w:szCs w:val="24"/>
          <w:lang w:val="en-US"/>
        </w:rPr>
        <w:t>Janković case</w:t>
      </w:r>
      <w:r w:rsidRPr="004406D2">
        <w:rPr>
          <w:rFonts w:ascii="Times New Roman" w:eastAsia="Times New Roman" w:hAnsi="Times New Roman" w:cs="Times New Roman"/>
          <w:sz w:val="24"/>
          <w:szCs w:val="24"/>
          <w:lang w:val="en-US"/>
        </w:rPr>
        <w:t>, the Appellate Panel of the Court of Bosnia and Herzegovina stated with regard to the crime against humanity of rape: “The criminal offence of rape requires the element of sexual penetration to be proven”.</w:t>
      </w:r>
      <w:r>
        <w:rPr>
          <w:rFonts w:ascii="Times New Roman" w:eastAsia="Times New Roman" w:hAnsi="Times New Roman" w:cs="Times New Roman"/>
          <w:noProof/>
          <w:sz w:val="24"/>
          <w:szCs w:val="24"/>
        </w:rPr>
        <w:drawing>
          <wp:inline distT="0" distB="0" distL="0" distR="0">
            <wp:extent cx="151130" cy="142875"/>
            <wp:effectExtent l="19050" t="0" r="1270" b="0"/>
            <wp:docPr id="1333" name="Imagen 13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China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its judgment in the </w:t>
      </w:r>
      <w:r w:rsidRPr="004406D2">
        <w:rPr>
          <w:rFonts w:ascii="Times New Roman" w:eastAsia="Times New Roman" w:hAnsi="Times New Roman" w:cs="Times New Roman"/>
          <w:i/>
          <w:iCs/>
          <w:sz w:val="24"/>
          <w:szCs w:val="24"/>
          <w:lang w:val="en-US"/>
        </w:rPr>
        <w:t>Takashi Sakai case</w:t>
      </w:r>
      <w:r w:rsidRPr="004406D2">
        <w:rPr>
          <w:rFonts w:ascii="Times New Roman" w:eastAsia="Times New Roman" w:hAnsi="Times New Roman" w:cs="Times New Roman"/>
          <w:sz w:val="24"/>
          <w:szCs w:val="24"/>
          <w:lang w:val="en-US"/>
        </w:rPr>
        <w:t xml:space="preserve"> in 1946, the War Crimes Military Tribunal of the Chinese Ministry of National Defence found the accused guilty of war crimes and crimes against humanity inasmuch as he had incited or permitted his subordinates to commit, </w:t>
      </w:r>
      <w:r w:rsidRPr="004406D2">
        <w:rPr>
          <w:rFonts w:ascii="Times New Roman" w:eastAsia="Times New Roman" w:hAnsi="Times New Roman" w:cs="Times New Roman"/>
          <w:i/>
          <w:iCs/>
          <w:sz w:val="24"/>
          <w:szCs w:val="24"/>
          <w:lang w:val="en-US"/>
        </w:rPr>
        <w:t>inter alia</w:t>
      </w:r>
      <w:r w:rsidRPr="004406D2">
        <w:rPr>
          <w:rFonts w:ascii="Times New Roman" w:eastAsia="Times New Roman" w:hAnsi="Times New Roman" w:cs="Times New Roman"/>
          <w:sz w:val="24"/>
          <w:szCs w:val="24"/>
          <w:lang w:val="en-US"/>
        </w:rPr>
        <w:t>, acts of rape.</w:t>
      </w:r>
      <w:r>
        <w:rPr>
          <w:rFonts w:ascii="Times New Roman" w:eastAsia="Times New Roman" w:hAnsi="Times New Roman" w:cs="Times New Roman"/>
          <w:noProof/>
          <w:sz w:val="24"/>
          <w:szCs w:val="24"/>
        </w:rPr>
        <w:drawing>
          <wp:inline distT="0" distB="0" distL="0" distR="0">
            <wp:extent cx="151130" cy="142875"/>
            <wp:effectExtent l="19050" t="0" r="1270" b="0"/>
            <wp:docPr id="1334" name="Imagen 13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Colombia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1995, Colombia’s Constitutional Court held that the prohibitions contained in Article 4(2) of the 1977 Additional Protocol II practically reproduced specific constitutional provisions.</w:t>
      </w:r>
      <w:r>
        <w:rPr>
          <w:rFonts w:ascii="Times New Roman" w:eastAsia="Times New Roman" w:hAnsi="Times New Roman" w:cs="Times New Roman"/>
          <w:noProof/>
          <w:sz w:val="24"/>
          <w:szCs w:val="24"/>
        </w:rPr>
        <w:drawing>
          <wp:inline distT="0" distB="0" distL="0" distR="0">
            <wp:extent cx="151130" cy="142875"/>
            <wp:effectExtent l="19050" t="0" r="1270" b="0"/>
            <wp:docPr id="1335" name="Imagen 13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2007, in the </w:t>
      </w:r>
      <w:r w:rsidRPr="004406D2">
        <w:rPr>
          <w:rFonts w:ascii="Times New Roman" w:eastAsia="Times New Roman" w:hAnsi="Times New Roman" w:cs="Times New Roman"/>
          <w:i/>
          <w:iCs/>
          <w:sz w:val="24"/>
          <w:szCs w:val="24"/>
          <w:lang w:val="en-US"/>
        </w:rPr>
        <w:t>Constitutional Case No. C-291/07</w:t>
      </w:r>
      <w:r w:rsidRPr="004406D2">
        <w:rPr>
          <w:rFonts w:ascii="Times New Roman" w:eastAsia="Times New Roman" w:hAnsi="Times New Roman" w:cs="Times New Roman"/>
          <w:sz w:val="24"/>
          <w:szCs w:val="24"/>
          <w:lang w:val="en-US"/>
        </w:rPr>
        <w:t xml:space="preserve">, the Plenary Chamber of Colombia’s Constitutional Court stated: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Taking into account … the development of customary international humanitarian law applicable in internal armed conflicts, the Constitutional Court notes that the fundamental guarantees stemming from the principle of humanity, some of which have </w:t>
      </w:r>
      <w:r w:rsidRPr="004406D2">
        <w:rPr>
          <w:rFonts w:ascii="Times New Roman" w:eastAsia="Times New Roman" w:hAnsi="Times New Roman" w:cs="Times New Roman"/>
          <w:sz w:val="24"/>
          <w:szCs w:val="24"/>
          <w:lang w:val="en-US"/>
        </w:rPr>
        <w:lastRenderedPageBreak/>
        <w:t xml:space="preserve">attained </w:t>
      </w:r>
      <w:r w:rsidRPr="004406D2">
        <w:rPr>
          <w:rFonts w:ascii="Times New Roman" w:eastAsia="Times New Roman" w:hAnsi="Times New Roman" w:cs="Times New Roman"/>
          <w:i/>
          <w:iCs/>
          <w:sz w:val="24"/>
          <w:szCs w:val="24"/>
          <w:lang w:val="en-US"/>
        </w:rPr>
        <w:t>ius cogens</w:t>
      </w:r>
      <w:r w:rsidRPr="004406D2">
        <w:rPr>
          <w:rFonts w:ascii="Times New Roman" w:eastAsia="Times New Roman" w:hAnsi="Times New Roman" w:cs="Times New Roman"/>
          <w:sz w:val="24"/>
          <w:szCs w:val="24"/>
          <w:lang w:val="en-US"/>
        </w:rPr>
        <w:t xml:space="preserve"> status, … [include] the prohibition of gender violence, sexual violence, enforced prostitution and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336" name="Imagen 13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[footnote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Germany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2010, in the </w:t>
      </w:r>
      <w:r w:rsidRPr="004406D2">
        <w:rPr>
          <w:rFonts w:ascii="Times New Roman" w:eastAsia="Times New Roman" w:hAnsi="Times New Roman" w:cs="Times New Roman"/>
          <w:i/>
          <w:iCs/>
          <w:sz w:val="24"/>
          <w:szCs w:val="24"/>
          <w:lang w:val="en-US"/>
        </w:rPr>
        <w:t xml:space="preserve">Democratic Forces for the Liberation of Rwanda case, </w:t>
      </w:r>
      <w:r w:rsidRPr="004406D2">
        <w:rPr>
          <w:rFonts w:ascii="Times New Roman" w:eastAsia="Times New Roman" w:hAnsi="Times New Roman" w:cs="Times New Roman"/>
          <w:sz w:val="24"/>
          <w:szCs w:val="24"/>
          <w:lang w:val="en-US"/>
        </w:rPr>
        <w:t>the Federal Prosecutor General at Germany’s Federal Court of Justice issued a press release, which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On 8 December 2010, the Federal Prosecutor General brought charges before the Senate on State Protection of the Higher Regional Court Stuttgart against: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the 47-year-old Rwandese national Dr. Ignace M.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the 49-year-old Rwandese national Straton M.</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for crimes against humanity and war crimes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the charges, which have now been delivered and which are the first ones brought under the International Crimes Code, essentially the following facts are set out: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 [Democratic Forces for the Liberation of Rwanda (FDLR)] … is a rebel group mainly comprised of members of the ethnic Hutu group and was originally founded by individuals responsible for the genocide of the Tutsi who had fled from Rwanda in 1994. Its operational base is in the Eastern Democratic Republic of Congo [DRC].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accused Dr. Ignace M. has been president of the FDLR since December 2001. The accused Straton M. has been its first vice president since June 2004. Until their arrest in Germany on 17 November 2009, both accused steered the FDLR’s conduct, strategies and tactics from Germany together with Calixte M., who is residing in France and who has since been detained by the International Criminal Court in The Hague. Thus, they could have prevented the systematic commission of violent acts against the civilian population by the FDLR’s militiamen, which were part of the organisation’s strategy. Specifically, the accused are responsible for 26 crimes against humanity and 39 war crimes, which the militiamen under their control committed in the Democratic Republic of Congo between January 2009 and 17 November 2009. These crimes </w:t>
      </w:r>
      <w:r w:rsidRPr="004406D2">
        <w:rPr>
          <w:rFonts w:ascii="Times New Roman" w:eastAsia="Times New Roman" w:hAnsi="Times New Roman" w:cs="Times New Roman"/>
          <w:i/>
          <w:iCs/>
          <w:sz w:val="24"/>
          <w:szCs w:val="24"/>
          <w:lang w:val="en-US"/>
        </w:rPr>
        <w:t xml:space="preserve">inter alia </w:t>
      </w:r>
      <w:r w:rsidRPr="004406D2">
        <w:rPr>
          <w:rFonts w:ascii="Times New Roman" w:eastAsia="Times New Roman" w:hAnsi="Times New Roman" w:cs="Times New Roman"/>
          <w:sz w:val="24"/>
          <w:szCs w:val="24"/>
          <w:lang w:val="en-US"/>
        </w:rPr>
        <w:t>include … the rape of numerous women.</w:t>
      </w:r>
      <w:r>
        <w:rPr>
          <w:rFonts w:ascii="Times New Roman" w:eastAsia="Times New Roman" w:hAnsi="Times New Roman" w:cs="Times New Roman"/>
          <w:noProof/>
          <w:sz w:val="24"/>
          <w:szCs w:val="24"/>
        </w:rPr>
        <w:drawing>
          <wp:inline distT="0" distB="0" distL="0" distR="0">
            <wp:extent cx="151130" cy="142875"/>
            <wp:effectExtent l="19050" t="0" r="1270" b="0"/>
            <wp:docPr id="1337" name="Imagen 13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States of America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its judgment in the </w:t>
      </w:r>
      <w:r w:rsidRPr="004406D2">
        <w:rPr>
          <w:rFonts w:ascii="Times New Roman" w:eastAsia="Times New Roman" w:hAnsi="Times New Roman" w:cs="Times New Roman"/>
          <w:i/>
          <w:iCs/>
          <w:sz w:val="24"/>
          <w:szCs w:val="24"/>
          <w:lang w:val="en-US"/>
        </w:rPr>
        <w:t>John Schultz case</w:t>
      </w:r>
      <w:r w:rsidRPr="004406D2">
        <w:rPr>
          <w:rFonts w:ascii="Times New Roman" w:eastAsia="Times New Roman" w:hAnsi="Times New Roman" w:cs="Times New Roman"/>
          <w:sz w:val="24"/>
          <w:szCs w:val="24"/>
          <w:lang w:val="en-US"/>
        </w:rPr>
        <w:t xml:space="preserve"> in 1952, the US Court of Military Appeals listed rape as a “crime universally recognized as properly punishable under the law of war”.</w:t>
      </w:r>
      <w:r>
        <w:rPr>
          <w:rFonts w:ascii="Times New Roman" w:eastAsia="Times New Roman" w:hAnsi="Times New Roman" w:cs="Times New Roman"/>
          <w:noProof/>
          <w:sz w:val="24"/>
          <w:szCs w:val="24"/>
        </w:rPr>
        <w:drawing>
          <wp:inline distT="0" distB="0" distL="0" distR="0">
            <wp:extent cx="151130" cy="142875"/>
            <wp:effectExtent l="19050" t="0" r="1270" b="0"/>
            <wp:docPr id="1338" name="Imagen 13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the civil action brought against Radovan Karadžić in the United States in 1995, a US Court of Appeals held that rape committed in the course of hostilities violated the laws of war and was a war crime.</w:t>
      </w:r>
      <w:r>
        <w:rPr>
          <w:rFonts w:ascii="Times New Roman" w:eastAsia="Times New Roman" w:hAnsi="Times New Roman" w:cs="Times New Roman"/>
          <w:noProof/>
          <w:sz w:val="24"/>
          <w:szCs w:val="24"/>
        </w:rPr>
        <w:drawing>
          <wp:inline distT="0" distB="0" distL="0" distR="0">
            <wp:extent cx="151130" cy="142875"/>
            <wp:effectExtent l="19050" t="0" r="1270" b="0"/>
            <wp:docPr id="1339" name="Imagen 13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In its memorandum opinion concerning the admissibility of the claim in the </w:t>
      </w:r>
      <w:r w:rsidRPr="004406D2">
        <w:rPr>
          <w:rFonts w:ascii="Times New Roman" w:eastAsia="Times New Roman" w:hAnsi="Times New Roman" w:cs="Times New Roman"/>
          <w:i/>
          <w:iCs/>
          <w:sz w:val="24"/>
          <w:szCs w:val="24"/>
          <w:lang w:val="en-US"/>
        </w:rPr>
        <w:t>Comfort Women case</w:t>
      </w:r>
      <w:r w:rsidRPr="004406D2">
        <w:rPr>
          <w:rFonts w:ascii="Times New Roman" w:eastAsia="Times New Roman" w:hAnsi="Times New Roman" w:cs="Times New Roman"/>
          <w:sz w:val="24"/>
          <w:szCs w:val="24"/>
          <w:lang w:val="en-US"/>
        </w:rPr>
        <w:t xml:space="preserve"> in 2001, the US District Court of Columbia stated: “Japan’s use of its war-time military to impose ‘a premeditated master plan’ of sexual slavery upon the women of occupied Asian countries might be characterized properly as a war crime or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340" name="Imagen 13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2" w:history="1">
        <w:r w:rsidRPr="004406D2">
          <w:rPr>
            <w:rFonts w:ascii="Times New Roman" w:eastAsia="Times New Roman" w:hAnsi="Times New Roman" w:cs="Times New Roman"/>
            <w:color w:val="0000FF"/>
            <w:sz w:val="24"/>
            <w:szCs w:val="24"/>
            <w:u w:val="single"/>
            <w:lang w:val="en-US"/>
          </w:rPr>
          <w:t>VI. Other National Practice</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Australia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response to a report by the Australian Joint Standing Committee on Foreign Affairs, Defence and Trade, which recommended that the Australian government establish a mechanism for investigating and identifying those responsible for serious crimes, including rape, committed in the former Yugoslavia, the Australian government replied that this mechanism was already in place subsequent to the enactment of the International War Crimes Tribunal Act of 1995.</w:t>
      </w:r>
      <w:r>
        <w:rPr>
          <w:rFonts w:ascii="Times New Roman" w:eastAsia="Times New Roman" w:hAnsi="Times New Roman" w:cs="Times New Roman"/>
          <w:noProof/>
          <w:sz w:val="24"/>
          <w:szCs w:val="24"/>
        </w:rPr>
        <w:drawing>
          <wp:inline distT="0" distB="0" distL="0" distR="0">
            <wp:extent cx="151130" cy="142875"/>
            <wp:effectExtent l="19050" t="0" r="1270" b="0"/>
            <wp:docPr id="1341" name="Imagen 13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 xml:space="preserve">In 2009, in a statement before the UN Human Rights Council, the permanent representative of Australia stated: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recent mass rape of around 500 women, children and men in eastern DRC [Democratic Republic of the Congo] is of deep concern to Australia. Sexual violence is being used as a weapon of war. All parties to the conflict have a responsibility to prevent such attacks.</w:t>
      </w:r>
      <w:r>
        <w:rPr>
          <w:rFonts w:ascii="Times New Roman" w:eastAsia="Times New Roman" w:hAnsi="Times New Roman" w:cs="Times New Roman"/>
          <w:noProof/>
          <w:sz w:val="24"/>
          <w:szCs w:val="24"/>
        </w:rPr>
        <w:drawing>
          <wp:inline distT="0" distB="0" distL="0" distR="0">
            <wp:extent cx="151130" cy="142875"/>
            <wp:effectExtent l="19050" t="0" r="1270" b="0"/>
            <wp:docPr id="1342" name="Imagen 13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a statement before the UN Human Rights Council on the Democratic Republic of the Congo (DRC), the representative of Australia stated: “Australia shares the Experts’ alarm over levels of violence perpetrated against women in the DRC, in particular rape, gang rape and sexual slavery”.</w:t>
      </w:r>
      <w:r>
        <w:rPr>
          <w:rFonts w:ascii="Times New Roman" w:eastAsia="Times New Roman" w:hAnsi="Times New Roman" w:cs="Times New Roman"/>
          <w:noProof/>
          <w:sz w:val="24"/>
          <w:szCs w:val="24"/>
        </w:rPr>
        <w:drawing>
          <wp:inline distT="0" distB="0" distL="0" distR="0">
            <wp:extent cx="151130" cy="142875"/>
            <wp:effectExtent l="19050" t="0" r="1270" b="0"/>
            <wp:docPr id="1343" name="Imagen 13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a statement before the UN Human Rights Council Periodic Review on Kenya, the representative of Australia stated: “We are concerned that children continue to be subject to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344" name="Imagen 13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Belgium</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2007, during a debate in the UN Security Council on the protection of civilians in armed conflict, the representative of Belgium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Belgium attaches particular importance to the fight against violence, especially sexual violence against women and minor children. We have noted how such acts of violence become true instruments of war in a number of conflict situations. It is imperative not only to eradicate such practices but also to prevent them.</w:t>
      </w:r>
      <w:r>
        <w:rPr>
          <w:rFonts w:ascii="Times New Roman" w:eastAsia="Times New Roman" w:hAnsi="Times New Roman" w:cs="Times New Roman"/>
          <w:noProof/>
          <w:sz w:val="24"/>
          <w:szCs w:val="24"/>
        </w:rPr>
        <w:drawing>
          <wp:inline distT="0" distB="0" distL="0" distR="0">
            <wp:extent cx="151130" cy="142875"/>
            <wp:effectExtent l="19050" t="0" r="1270" b="0"/>
            <wp:docPr id="1345" name="Imagen 13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2007, during a debate in the UN Security Council on the protection of civilians in armed conflict, the representative of Belgium stated: “The growing scourge of sexual violence, in particular in situations of armed conflict … is particularly repugnant when used as a weapon of war.”</w:t>
      </w:r>
      <w:r>
        <w:rPr>
          <w:rFonts w:ascii="Times New Roman" w:eastAsia="Times New Roman" w:hAnsi="Times New Roman" w:cs="Times New Roman"/>
          <w:noProof/>
          <w:sz w:val="24"/>
          <w:szCs w:val="24"/>
        </w:rPr>
        <w:drawing>
          <wp:inline distT="0" distB="0" distL="0" distR="0">
            <wp:extent cx="151130" cy="142875"/>
            <wp:effectExtent l="19050" t="0" r="1270" b="0"/>
            <wp:docPr id="1346" name="Imagen 13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conflict in Syria continues to take a terrible toll on the civilian population … [T]here are disturbing reports of cases of rape and other forms of sexual violence … The appalling effect of violence and conflict on women and children, including the prevalence of rape as a weapon of war … requires our urgent attention.</w:t>
      </w:r>
      <w:r>
        <w:rPr>
          <w:rFonts w:ascii="Times New Roman" w:eastAsia="Times New Roman" w:hAnsi="Times New Roman" w:cs="Times New Roman"/>
          <w:noProof/>
          <w:sz w:val="24"/>
          <w:szCs w:val="24"/>
        </w:rPr>
        <w:drawing>
          <wp:inline distT="0" distB="0" distL="0" distR="0">
            <wp:extent cx="151130" cy="142875"/>
            <wp:effectExtent l="19050" t="0" r="1270" b="0"/>
            <wp:docPr id="1347" name="Imagen 13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Particularly egregious is the practice of child, early and forced marriage, which puts the very lives of young girls at risk … Conflict situations exacerbate this practice among displaced and refugee populations … Canada and others are working … in the field to … prevent and respond to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348" name="Imagen 13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Chad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2007, in its initial report to the Committee against Torture, Chad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Harmful traditional practices and the lessons drawn from the torture practised by President Habré’s political police, which spared no organ of the human body, were the inspiration for the promulgation of Act No. 6/PR/2002 of 15 April 2002 on the promotion of reproductive health, article 9 of which states that: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All persons have the right not to be subjected to torture and to cruel, inhuman and degrading treatment of their body in general and of their reproductive organs in particular. All forms of violence such as female genital mutilation (FGM), early marriage, domestic violence and sexual abuse of a human being are prohibited.</w:t>
      </w:r>
      <w:r>
        <w:rPr>
          <w:rFonts w:ascii="Times New Roman" w:eastAsia="Times New Roman" w:hAnsi="Times New Roman" w:cs="Times New Roman"/>
          <w:noProof/>
          <w:sz w:val="24"/>
          <w:szCs w:val="24"/>
        </w:rPr>
        <w:drawing>
          <wp:inline distT="0" distB="0" distL="0" distR="0">
            <wp:extent cx="151130" cy="142875"/>
            <wp:effectExtent l="19050" t="0" r="1270" b="0"/>
            <wp:docPr id="1349" name="Imagen 13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China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At the 2006 Session of the UN Special Committee on Peacekeeping Operations, China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scandals in peacekeeping procurement and cases of sexual exploitation and sexual abuse involving peacekeepers that have come to light in recent years not only greatly damaged the overall image of UN peacekeeping operation, but also revealed gross deficiencies in the internal management of the UN. The Secretariat, senior management in particular, should draw lessons therefrom. It is necessary not only to strictly </w:t>
      </w:r>
      <w:r w:rsidRPr="004406D2">
        <w:rPr>
          <w:rFonts w:ascii="Times New Roman" w:eastAsia="Times New Roman" w:hAnsi="Times New Roman" w:cs="Times New Roman"/>
          <w:sz w:val="24"/>
          <w:szCs w:val="24"/>
          <w:lang w:val="en-US"/>
        </w:rPr>
        <w:lastRenderedPageBreak/>
        <w:t>discipline persons responsible, but also to carry out reform at the system level with a view to improving management so as to ensure the proper ethics and behavior of peacekeepers, address such incidents appropriately and prevent them from recurrence.</w:t>
      </w:r>
      <w:r>
        <w:rPr>
          <w:rFonts w:ascii="Times New Roman" w:eastAsia="Times New Roman" w:hAnsi="Times New Roman" w:cs="Times New Roman"/>
          <w:noProof/>
          <w:sz w:val="24"/>
          <w:szCs w:val="24"/>
        </w:rPr>
        <w:drawing>
          <wp:inline distT="0" distB="0" distL="0" distR="0">
            <wp:extent cx="151130" cy="142875"/>
            <wp:effectExtent l="19050" t="0" r="1270" b="0"/>
            <wp:docPr id="1350" name="Imagen 13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Côte d’Ivoire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its combined initial to third periodic reports to the Committee on the Elimination of Discrimination against Women, Côte d’Ivoire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Acts of discrimination occurring as a result of social and political crises</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72. Social and political crises, in particular the one in 2002, have exacerbated violence against women, in particular sexual violence. This violence is perpetrated by armed groups, who use it as [a] weapon of war.</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Situation of displaced, migrant or refugee women</w:t>
      </w:r>
      <w:r w:rsidRPr="00C74F6F">
        <w:rPr>
          <w:rFonts w:ascii="Times New Roman" w:eastAsia="Times New Roman" w:hAnsi="Times New Roman" w:cs="Times New Roman"/>
          <w:i/>
          <w:iCs/>
          <w:sz w:val="24"/>
          <w:szCs w:val="24"/>
          <w:lang w:val="en-US"/>
        </w:rPr>
        <w:br/>
      </w:r>
      <w:r w:rsidRPr="004406D2">
        <w:rPr>
          <w:rFonts w:ascii="Times New Roman" w:eastAsia="Times New Roman" w:hAnsi="Times New Roman" w:cs="Times New Roman"/>
          <w:sz w:val="24"/>
          <w:szCs w:val="24"/>
          <w:lang w:val="en-US"/>
        </w:rPr>
        <w:t>548. The war has led to numerous acts of sexual violence, psychological trauma and lasting physical injuries.</w:t>
      </w:r>
      <w:r>
        <w:rPr>
          <w:rFonts w:ascii="Times New Roman" w:eastAsia="Times New Roman" w:hAnsi="Times New Roman" w:cs="Times New Roman"/>
          <w:noProof/>
          <w:sz w:val="24"/>
          <w:szCs w:val="24"/>
        </w:rPr>
        <w:drawing>
          <wp:inline distT="0" distB="0" distL="0" distR="0">
            <wp:extent cx="151130" cy="142875"/>
            <wp:effectExtent l="19050" t="0" r="1270" b="0"/>
            <wp:docPr id="1351" name="Imagen 13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Democratic Republic of the Congo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2005, in its third periodic report to the Human Rights Committee, the Democratic Republic of the Congo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88. Mass rape in the east of the Democratic Republic of the Congo during the war has led to increased awareness in the country.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89. In the context of prevention of and efforts to combat violence against women, information and awareness campaigns are conducted by public institutions and non-governmental organizations for the public and officials in judicial institutions. Thus, the Government, through the Ministries of Human Rights and Social Affairs, Status of Women and the Family, organized a national human rights conference in 2001 and a women’s forum in 2003. In coordination with civil society organizations it launched a national campaign against sexual violence against women and is involved in efforts to combat such violence (Ministry of Social Affairs, Status of Women and the Family, national report of the Democratic Republic of the Congo on review and implementation of the Beijing Platform for Action +10, Kinshasa, February 2004, pp. 5 and 11).</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90. Since 2003 the Ministries of Social Affairs, Status of Women and the Family, and of Justice and Human Rights, have taken part in the initiative on efforts to combat rape and violence against women. In this connection the Ministry of Justice organizes retraining throughout the country for judges, supplemented by seminars by non-governmental organizations in the justice sector, with specific pedagogical suppo rt.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91. After a lengthy period of inactivity, owing to the protracted war, which lasted from 1998 to 2003, legal proceedings are being undertaken in various parts of the country (e.g. at Kalemie, March 2004, against police officers).</w:t>
      </w:r>
      <w:r>
        <w:rPr>
          <w:rFonts w:ascii="Times New Roman" w:eastAsia="Times New Roman" w:hAnsi="Times New Roman" w:cs="Times New Roman"/>
          <w:noProof/>
          <w:sz w:val="24"/>
          <w:szCs w:val="24"/>
        </w:rPr>
        <w:drawing>
          <wp:inline distT="0" distB="0" distL="0" distR="0">
            <wp:extent cx="151130" cy="142875"/>
            <wp:effectExtent l="19050" t="0" r="1270" b="0"/>
            <wp:docPr id="1352" name="Imagen 13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Djibouti</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the History and Geography Textbook for 8th Grade, Djibouti’s Ministry of National Education and Higher Education, under the heading “Basic rules of IHL” and in a section on “Treatment”, stated: “Sexual violence is prohibited.”</w:t>
      </w:r>
      <w:r>
        <w:rPr>
          <w:rFonts w:ascii="Times New Roman" w:eastAsia="Times New Roman" w:hAnsi="Times New Roman" w:cs="Times New Roman"/>
          <w:noProof/>
          <w:sz w:val="24"/>
          <w:szCs w:val="24"/>
        </w:rPr>
        <w:drawing>
          <wp:inline distT="0" distB="0" distL="0" distR="0">
            <wp:extent cx="151130" cy="142875"/>
            <wp:effectExtent l="19050" t="0" r="1270" b="0"/>
            <wp:docPr id="1353" name="Imagen 13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2011, in the History and Geography Textbook for 9th Grade, Djibouti’s Ministry of National Education and Vocational Training, under the heading “[O]ffences related to violations of humanitarian law”, listed “[r]ape, sexual slavery, enforced prostitution, forced pregnancy or all other forms of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354" name="Imagen 13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France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2008, the Minister of Foreign and European Affairs of France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UN Security Council] Working Group [on Children and Armed Conflict] … considers and formulates recommendations concerning … grave violations of children’s </w:t>
      </w:r>
      <w:r w:rsidRPr="004406D2">
        <w:rPr>
          <w:rFonts w:ascii="Times New Roman" w:eastAsia="Times New Roman" w:hAnsi="Times New Roman" w:cs="Times New Roman"/>
          <w:sz w:val="24"/>
          <w:szCs w:val="24"/>
          <w:lang w:val="en-US"/>
        </w:rPr>
        <w:lastRenderedPageBreak/>
        <w:t xml:space="preserve">rights, including sexual violence. During a visit to the Democratic Republic of the Congo last month, I was able to see on the ground the seriousness and extent of the widespread, systematic and premeditated use of sexual crime as an instrument of war. That barbarity concerns us all. There, too, our failure to act would be reprehensible. I welcome the fact that the Constitution of the Democratic Republic of the Congo recognizes this as the most serious crime.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Council’s Working Group must absolutely strengthen its action on this question. In its recommendations it must demand that the belligerents draw up action plans to combat sexual violence and follow through on their implementation.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Some might find it paradoxical that we ask the belligerents themselves to combat these crimes, but it is essential. At the same time, the military leadership must bear this in mind. It may be a paradox, it may even seem immoral, but it is effective.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Working Group should strengthen its efforts to combat impunity by relentlessly demanding the arrest of those responsible for rape and call on Governments to act in this regard.</w:t>
      </w:r>
      <w:r>
        <w:rPr>
          <w:rFonts w:ascii="Times New Roman" w:eastAsia="Times New Roman" w:hAnsi="Times New Roman" w:cs="Times New Roman"/>
          <w:noProof/>
          <w:sz w:val="24"/>
          <w:szCs w:val="24"/>
        </w:rPr>
        <w:drawing>
          <wp:inline distT="0" distB="0" distL="0" distR="0">
            <wp:extent cx="151130" cy="142875"/>
            <wp:effectExtent l="19050" t="0" r="1270" b="0"/>
            <wp:docPr id="1355" name="Imagen 13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2009, the Minister of Foreign and European Affairs of France, in a statement calling for the respect of international humanitarian law, which provided examples of serious violations that had recently occurred in several armed conflicts around the world, stated: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Children, some less than 10 years old, are enlisted … as sex slaves.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In various conflicts, rape is increasingly being used in a systematic, planned and large-scale manner; in short, it is used as a genuine weapon of war, whether in the Kivus or in Sudan, with almost total impunity. In the Democratic Republic of Congo, a woman is raped every 30 minutes; 30,000 were raped in the Kivus in the first half of 2007. </w:t>
      </w:r>
      <w:r>
        <w:rPr>
          <w:rFonts w:ascii="Times New Roman" w:eastAsia="Times New Roman" w:hAnsi="Times New Roman" w:cs="Times New Roman"/>
          <w:noProof/>
          <w:sz w:val="24"/>
          <w:szCs w:val="24"/>
        </w:rPr>
        <w:drawing>
          <wp:inline distT="0" distB="0" distL="0" distR="0">
            <wp:extent cx="151130" cy="142875"/>
            <wp:effectExtent l="19050" t="0" r="1270" b="0"/>
            <wp:docPr id="1356" name="Imagen 13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Germany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1991, three political parties in the German parliament tabled a resolution that referred to rape as a crime in the context of the Sudanese civil war.</w:t>
      </w:r>
      <w:r>
        <w:rPr>
          <w:rFonts w:ascii="Times New Roman" w:eastAsia="Times New Roman" w:hAnsi="Times New Roman" w:cs="Times New Roman"/>
          <w:noProof/>
          <w:sz w:val="24"/>
          <w:szCs w:val="24"/>
        </w:rPr>
        <w:drawing>
          <wp:inline distT="0" distB="0" distL="0" distR="0">
            <wp:extent cx="151130" cy="142875"/>
            <wp:effectExtent l="19050" t="0" r="1270" b="0"/>
            <wp:docPr id="1357" name="Imagen 13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1992, in a written reply to questions in parliament concerning the systematic rape of Muslim women and girls by Serb forces in Bosnia and Herzegovina, the German government stated that it had made “vigorous and repeated representations to the ‘Yugoslav’ government, both bilaterally and within the framework of the European Community, in connection with these rapes and other grave human rights violations”. It reaffirmed that rape was “already prohibited in armed conflict and deemed a war crime under the existing provisions of international humanitarian law” and cited Article 27 of the 1949 Geneva Convention IV and Article 4(2)(e) of the 1977 Additional Protocol II in support of its position. The government further stated: “Should the reports of systematic mass rape of predominantly Muslim women and girls be confirmed, this would, moreover, meet the statutory definition for systematic harm to an ethnical group within the meaning of the 1948 Genocide Convention.”</w:t>
      </w:r>
      <w:r>
        <w:rPr>
          <w:rFonts w:ascii="Times New Roman" w:eastAsia="Times New Roman" w:hAnsi="Times New Roman" w:cs="Times New Roman"/>
          <w:noProof/>
          <w:sz w:val="24"/>
          <w:szCs w:val="24"/>
        </w:rPr>
        <w:drawing>
          <wp:inline distT="0" distB="0" distL="0" distR="0">
            <wp:extent cx="151130" cy="142875"/>
            <wp:effectExtent l="19050" t="0" r="1270" b="0"/>
            <wp:docPr id="1358" name="Imagen 13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2004, during a debate in the UN Security Council, the representative of Germany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Unfortunately, the list of countries in conflict having a history of gender-based atrocities is long and includes countries from all continents, including Haiti, Afghanistan, Iraq, Myanmar, the former Yugoslavia, the Democratic Republic of the Congo and others. The fact that women account for the vast majority of victims of conflicts and are still significantly underrepresented at all levels of decision-making indicates that we need tools and instruments that promote our common vision as expressed in Security Council resolution 1325 (2000).</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continuing extreme violence against women and girls in the Darfur region is a case in point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lastRenderedPageBreak/>
        <w:t>… Given the scope of gender-based discrimination, including violence, we need to ensure that all substantive units of a peacekeeping operation, starting with the United Nations assessment team, include specialists with gender expertise … That also requires that the United Nations continue to train its personnel, including at the level of the Special Representative of the Secretary-General, and that Member States invest more in gender training of potential peacekeeping staff. The German Government has made the latter a political priority in its endeavours. We strongly believe in the need for accountability for wartime violence against women, and in the necessity to end impunity … The International Criminal Court (ICC) certainly has a key role to play with regard to the investigation and prosecution of gender-based crimes. However, its efforts must be supplemented by national legal mechanisms.</w:t>
      </w:r>
      <w:r>
        <w:rPr>
          <w:rFonts w:ascii="Times New Roman" w:eastAsia="Times New Roman" w:hAnsi="Times New Roman" w:cs="Times New Roman"/>
          <w:noProof/>
          <w:sz w:val="24"/>
          <w:szCs w:val="24"/>
        </w:rPr>
        <w:drawing>
          <wp:inline distT="0" distB="0" distL="0" distR="0">
            <wp:extent cx="151130" cy="142875"/>
            <wp:effectExtent l="19050" t="0" r="1270" b="0"/>
            <wp:docPr id="1359" name="Imagen 13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2004, during a debate in the UN Security Council, the representative of Germany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On this occasion, Germany would like to propose three points that we deem to be of crucial importance concerning areas where the need for progress is urgent … We propose the following.</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First, let us put an end to impunity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My second point is that we should better address the issue of humanitarian access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Thirdly, we must stop the recent trend of using sexual violence as a weapon of conflict. The importance of reversing the escalating cycle of violence against women and children during and after conflict cannot be overstated. Women and children – be they civilians or female or child soldiers – are among the most vulnerable groups in times of conflict. Women are increasingly subject to cruel, degrading and often lethal treatment in times of conflict. Children suffer most and have the fewest defences in conflict situations if they are separated from or deprived of their parents, and their ability to cope with a quickly changing environment is very limited.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Women and children are also, to an unprecedented extent, victims of atrocious sexual violence. Worse still, sexual or gender violence is intentionally and systematically used as a weapon of warfare. We must undertake special efforts to study that phenomenon as diligently as possible to come to a swift determination on how to stop that practice. In its report, the High-level Panel proposes giving human rights components of peacekeeping operations explicit mandates and sufficient resources for investigating and reporting human rights violations against women. The Panel also proposes that the recommendations of Council resolution 1325 (2000) on women, peace and security and of the associated Independent Experts’ Assessment for the protection of women be fully implemented. The German delegation fully concurs with those proposals.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Let me end my remarks by reiterating our position: we believe that a new resolution on the protection of civilians would be a feasible option for the Council. I say that, bearing in mind that many of the points raised by the excellent Security Council resolutions 1265 (1999) and 1296 (2000) still await implementation. However, we believe that the changing character of conflict and the development of new threats, new institutions and new tools to engage more effectively in assistance should be reflected in an operational text adopted by the Council.</w:t>
      </w:r>
      <w:r>
        <w:rPr>
          <w:rFonts w:ascii="Times New Roman" w:eastAsia="Times New Roman" w:hAnsi="Times New Roman" w:cs="Times New Roman"/>
          <w:noProof/>
          <w:sz w:val="24"/>
          <w:szCs w:val="24"/>
        </w:rPr>
        <w:drawing>
          <wp:inline distT="0" distB="0" distL="0" distR="0">
            <wp:extent cx="151130" cy="142875"/>
            <wp:effectExtent l="19050" t="0" r="1270" b="0"/>
            <wp:docPr id="1360" name="Imagen 13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2005, in its Seventh Human Rights Policy Report, Germany’s Federal Government reported to the Bundestag (Lower House of Parliament):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3. Priorities of the German human rights policy 2005–2006</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3.7 Preventing violence against women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lastRenderedPageBreak/>
        <w:t>The Federal Government still attributes highest political importance to fighting violence against women. It therefore will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contribute to respect for international humanitarian law and to the human rights of women and girls in armed conflicts;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demand criminal law prosecution of sexual and other violence against women in conflicts.</w:t>
      </w:r>
      <w:r>
        <w:rPr>
          <w:rFonts w:ascii="Times New Roman" w:eastAsia="Times New Roman" w:hAnsi="Times New Roman" w:cs="Times New Roman"/>
          <w:noProof/>
          <w:sz w:val="24"/>
          <w:szCs w:val="24"/>
        </w:rPr>
        <w:drawing>
          <wp:inline distT="0" distB="0" distL="0" distR="0">
            <wp:extent cx="151130" cy="142875"/>
            <wp:effectExtent l="19050" t="0" r="1270" b="0"/>
            <wp:docPr id="1361" name="Imagen 13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its report on German cooperation with the UN and other international organizations and institutions within the UN system in 2008 and 2009 submitted to the Bundestag (Lower House of Parliament), Germany’s Federal Government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implementation of [UN] Security Council resolutions 1325 and 1820 is a key aspect of the Federal Government’s current Development Policy Plan on Gender. Within the framework of the Action Plan II on the Suppression of Violence against Women adopted by the Federal Government in September 2007, measures are also taken to protect women and girls from gender-specific violence, in particular rape and other forms of sexual abuse as well as violence in situations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362" name="Imagen 13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2010, in its report on German human rights policy in the context of foreign relations and other policy areas in the period between 1 March 2008 and 28 February 2010, which was submitted to the Bundestag (Lower House of Parliament), Germany’s Federal Government stated: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On 19 July 2008 the UN Security Council adopted Resolution 1820 (S/RES/1820). This resolution is a milestone in the international fight for the elimination of violence against women because for the first time, it classifies the use of sexual violence as a means of warfare in times of armed conflict as a war crime. The Federal Government explicitly welcomes this step.</w:t>
      </w:r>
      <w:r>
        <w:rPr>
          <w:rFonts w:ascii="Times New Roman" w:eastAsia="Times New Roman" w:hAnsi="Times New Roman" w:cs="Times New Roman"/>
          <w:noProof/>
          <w:sz w:val="24"/>
          <w:szCs w:val="24"/>
        </w:rPr>
        <w:drawing>
          <wp:inline distT="0" distB="0" distL="0" distR="0">
            <wp:extent cx="151130" cy="142875"/>
            <wp:effectExtent l="19050" t="0" r="1270" b="0"/>
            <wp:docPr id="1363" name="Imagen 13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Greece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2006, during a UN Security Council meeting on protection of civilians in armed conflict, the Permanent Representative of Greece stated: “[U]nchallenged use of sexual violence against women … can not be tolerated and should come to a halt.”</w:t>
      </w:r>
      <w:r>
        <w:rPr>
          <w:rFonts w:ascii="Times New Roman" w:eastAsia="Times New Roman" w:hAnsi="Times New Roman" w:cs="Times New Roman"/>
          <w:noProof/>
          <w:sz w:val="24"/>
          <w:szCs w:val="24"/>
        </w:rPr>
        <w:drawing>
          <wp:inline distT="0" distB="0" distL="0" distR="0">
            <wp:extent cx="151130" cy="142875"/>
            <wp:effectExtent l="19050" t="0" r="1270" b="0"/>
            <wp:docPr id="1364" name="Imagen 13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Mexico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2009, during a debate in the UN Security Council on children and armed conflict, the permanent representative of Mexico stated: “We condemn all acts that jeopardize the integrity of children, such as … rape and other sexual violence, which affects girls in particular”.</w:t>
      </w:r>
      <w:r>
        <w:rPr>
          <w:rFonts w:ascii="Times New Roman" w:eastAsia="Times New Roman" w:hAnsi="Times New Roman" w:cs="Times New Roman"/>
          <w:noProof/>
          <w:sz w:val="24"/>
          <w:szCs w:val="24"/>
        </w:rPr>
        <w:drawing>
          <wp:inline distT="0" distB="0" distL="0" distR="0">
            <wp:extent cx="151130" cy="142875"/>
            <wp:effectExtent l="19050" t="0" r="1270" b="0"/>
            <wp:docPr id="1365" name="Imagen 13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Netherlands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letter to parliament in 1993, the Minister of Foreign Affairs of the Netherlands condemned the maltreatment and rape of women in the former Yugoslavia.</w:t>
      </w:r>
      <w:r>
        <w:rPr>
          <w:rFonts w:ascii="Times New Roman" w:eastAsia="Times New Roman" w:hAnsi="Times New Roman" w:cs="Times New Roman"/>
          <w:noProof/>
          <w:sz w:val="24"/>
          <w:szCs w:val="24"/>
        </w:rPr>
        <w:drawing>
          <wp:inline distT="0" distB="0" distL="0" distR="0">
            <wp:extent cx="151130" cy="142875"/>
            <wp:effectExtent l="19050" t="0" r="1270" b="0"/>
            <wp:docPr id="1366" name="Imagen 13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Norway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2009, in a White Paper on “Climate, Conflict and Capital”, Norway’s Ministry of Foreign Affairs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Women and children are particularly severely affected when abuse is systematically used as a weapon of war and armed conflicts. Women and girls are often subjected to brutal violence. Sexual violence as a strategy of war increases the level of conflict and prevents women from taking part in the reconciliation process. The association of masculinity with dominant behaviour and aggression means that boys are easily recruited to armed groups, and can also increase the brutality in the abuse of women and girls. UN Security Council resolution 1820 recognises the extent and seriousness of the use of rape as a weapon in armed conflicts. The importance of ensuring that girls’ and women’s needs and interests are met in armed conflicts and humanitarian crises is also underlined in UN Security Council resolution 1325.</w:t>
      </w:r>
      <w:r>
        <w:rPr>
          <w:rFonts w:ascii="Times New Roman" w:eastAsia="Times New Roman" w:hAnsi="Times New Roman" w:cs="Times New Roman"/>
          <w:noProof/>
          <w:sz w:val="24"/>
          <w:szCs w:val="24"/>
        </w:rPr>
        <w:drawing>
          <wp:inline distT="0" distB="0" distL="0" distR="0">
            <wp:extent cx="151130" cy="142875"/>
            <wp:effectExtent l="19050" t="0" r="1270" b="0"/>
            <wp:docPr id="1367" name="Imagen 13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In 2009, in a statement before the UN Security Council on “Protecting Women and Girls in Armed Conflict”, Norway’s Permanent Representative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Norway would like to take this opportunity to focus on two main issues, namely the need for increased respect for International Humanitarian Law, and the need to effectively combat sexual violence and rape in armed conflict.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Women and children are often forced to bear the heaviest burden when it comes to the consequences of armed conflict. Sexual violence and rape occurs every single day in armed conflicts and has tragic consequences, not only for the individual but for the whole community. Sexual violence leaves lasting scars for many generations to come making peace-building extremely difficult. It is crucial that these acts are not viewed as separate individual crimes. In many cases they are calculated tactics of war and should be treated as such. Crimes of rape and sexual violence in armed conflict must be placed higher on the international agenda. The systematic use of rape has rightly been recognized as a crime of war both by this Council and the International Criminal Court.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Norway would also like to see the Security Council make use of the most effective measures at its disposal, including targeted sanctions, to make it clear that sexual violence is unacceptable, and that perpetrators will be held accountable. It is unacceptable that impunity for these extremely severe crimes seems to be the rule, not the exception. Norway supports the referral of such crimes to the International Criminal Court and to consider sanctions against member states as well as non-state actors that perpetrate these acts of crime. As Member States it is also our obligation to ensure that violators are brought to justice.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Combating impunity and holding perpetrators accountable is [the] key to protecting civilians in armed conflict and ending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368" name="Imagen 13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a statement at the Oslo Conference on Armed Violence, Norway’s Minister of Foreign Affairs stated: “Women need protection against rape used as a tactic of war, as much as they need protection against forms of violence used in the context of crime.”</w:t>
      </w:r>
      <w:r>
        <w:rPr>
          <w:rFonts w:ascii="Times New Roman" w:eastAsia="Times New Roman" w:hAnsi="Times New Roman" w:cs="Times New Roman"/>
          <w:noProof/>
          <w:sz w:val="24"/>
          <w:szCs w:val="24"/>
        </w:rPr>
        <w:drawing>
          <wp:inline distT="0" distB="0" distL="0" distR="0">
            <wp:extent cx="151130" cy="142875"/>
            <wp:effectExtent l="19050" t="0" r="1270" b="0"/>
            <wp:docPr id="1369" name="Imagen 13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a statement before the UN Security Council on the “Protection of Civilians in Armed Conflict”, Norway’s Counsellor at its Permanent Mission to the UN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It is of particular concern that women continue to be targets of sexual violence in conflict, and in particular in the Democratic Republic of the Congo. Our top priority must be to end the vicious cycle of impunity. We must provide justice for survivors, punishment for perpetrators and effective deterrence for the future. For war-affected women, justice delayed is more than justice denied – it is terror continued.</w:t>
      </w:r>
      <w:r>
        <w:rPr>
          <w:rFonts w:ascii="Times New Roman" w:eastAsia="Times New Roman" w:hAnsi="Times New Roman" w:cs="Times New Roman"/>
          <w:noProof/>
          <w:sz w:val="24"/>
          <w:szCs w:val="24"/>
        </w:rPr>
        <w:drawing>
          <wp:inline distT="0" distB="0" distL="0" distR="0">
            <wp:extent cx="151130" cy="142875"/>
            <wp:effectExtent l="19050" t="0" r="1270" b="0"/>
            <wp:docPr id="1370" name="Imagen 13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a statement before the Sixth Committee of the UN General Assembly on the “Rule of Law”, Norway’s Counsellor at its Permanent Mission to the UN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Over the last years, Norway has increased efforts to strengthen the protection of civilians, especially women and children, against the atrocities of war, with particular focus on the sexual violence that has been perpetrated in connection with the conflict in the Democratic Republic of the Congo. Sexual violence constitutes one of the most serious contemporary international crimes. The consequences are dramatic not only for the victims, but also for their families and affected communities.</w:t>
      </w:r>
      <w:r>
        <w:rPr>
          <w:rFonts w:ascii="Times New Roman" w:eastAsia="Times New Roman" w:hAnsi="Times New Roman" w:cs="Times New Roman"/>
          <w:noProof/>
          <w:sz w:val="24"/>
          <w:szCs w:val="24"/>
        </w:rPr>
        <w:drawing>
          <wp:inline distT="0" distB="0" distL="0" distR="0">
            <wp:extent cx="151130" cy="142875"/>
            <wp:effectExtent l="19050" t="0" r="1270" b="0"/>
            <wp:docPr id="1371" name="Imagen 13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Philippines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1995, the Commission on Human Rights of the Philippines proposed that rape and sexual violence in situations of conflict be recognized as war crimes.</w:t>
      </w:r>
      <w:r>
        <w:rPr>
          <w:rFonts w:ascii="Times New Roman" w:eastAsia="Times New Roman" w:hAnsi="Times New Roman" w:cs="Times New Roman"/>
          <w:noProof/>
          <w:sz w:val="24"/>
          <w:szCs w:val="24"/>
        </w:rPr>
        <w:drawing>
          <wp:inline distT="0" distB="0" distL="0" distR="0">
            <wp:extent cx="151130" cy="142875"/>
            <wp:effectExtent l="19050" t="0" r="1270" b="0"/>
            <wp:docPr id="1372" name="Imagen 13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Serbia and Montenegro</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In its oral pleadings before the ICJ in the Application of the Convention on the Prevention and Punishment of the Crime of Genocide case (Bosnia and Herzegovina v. Serbia and Montenegro) in 2006, Serbia and Montenegro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2. Before I begin my analysis of the facts relating to the rapes committed in Bosnia and Herzegovina during the civil war at the end of the twentieth century, I must say that, regardless of the legal characterization of the offence – rape as a common law crime, rape as a war crime, rape as a crime against humanity, rape as an element of genocide – rape is first and foremost rape, an obnoxious crime,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33. Some cases of rape in Bosnia were tried by the Tribunal for the former Yugoslavia as war crimes and crimes against humanity, a fact which we once again have no intention of denying. However, neither a rape that is a common law crime, nor a rape that is a war crime, nor again a rape that is a crime against humanity, is consistent with the definition of genocide.</w:t>
      </w:r>
      <w:r>
        <w:rPr>
          <w:rFonts w:ascii="Times New Roman" w:eastAsia="Times New Roman" w:hAnsi="Times New Roman" w:cs="Times New Roman"/>
          <w:noProof/>
          <w:sz w:val="24"/>
          <w:szCs w:val="24"/>
        </w:rPr>
        <w:drawing>
          <wp:inline distT="0" distB="0" distL="0" distR="0">
            <wp:extent cx="151130" cy="142875"/>
            <wp:effectExtent l="19050" t="0" r="1270" b="0"/>
            <wp:docPr id="1373" name="Imagen 13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Somalia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1998, an ICRC publication entitled “Spared from the Spear” recorded traditional Somali practice in warfare as follows: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practice of raping women or subjecting them to any other indignity, be it in war-time or in peace-time, was something alien to Somali culture. Since every woman was regarded as either a “daughter” or a potential spouse or a potential mother-in-law, she could not be treated except with respect, care and kindness. If, however, it happened at all that an immoral criminal violated a woman’s dignity by raping her, there were strict customary laws that were invoked and agreed ways of redressing the damage.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There was general consensus among Somalis that women should not be abused during a conflict and that their dignity should not be assailed. In fact, the incidence of such acts as rape in the context of conflict [was] quite rare in traditional Somali society, if they took place at all.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[A]n act of rape was compensated for in the following manner, depending on the category of the victim:</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A girl of pre-adolescent age (under 15 years) was compensated for with 15 she-camels.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A maiden, betrothed to a man, but not wedded yet: 15 she-camels.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A woman whose husband had died and who still wore the mourning dress: 15 she-camels.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An elderly woman, enfeebled by her years: 15 she-camels.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5. A woman who nursed a baby boy: 50 camels.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6. A maiden of marriageable age who, nonetheless, was neither married nor betrothed to anyone was to be compulsorily married to her assailant with payment of the full bride price she would have normally fetched. If he refused to do so, then he was obligated to pay her full blood compensation, amounting to 50 camels.</w:t>
      </w:r>
      <w:r>
        <w:rPr>
          <w:rFonts w:ascii="Times New Roman" w:eastAsia="Times New Roman" w:hAnsi="Times New Roman" w:cs="Times New Roman"/>
          <w:noProof/>
          <w:sz w:val="24"/>
          <w:szCs w:val="24"/>
        </w:rPr>
        <w:drawing>
          <wp:inline distT="0" distB="0" distL="0" distR="0">
            <wp:extent cx="151130" cy="142875"/>
            <wp:effectExtent l="19050" t="0" r="1270" b="0"/>
            <wp:docPr id="1374" name="Imagen 13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times of hostilities, the </w:t>
      </w:r>
      <w:r w:rsidRPr="004406D2">
        <w:rPr>
          <w:rFonts w:ascii="Times New Roman" w:eastAsia="Times New Roman" w:hAnsi="Times New Roman" w:cs="Times New Roman"/>
          <w:i/>
          <w:iCs/>
          <w:sz w:val="24"/>
          <w:szCs w:val="24"/>
          <w:lang w:val="en-US"/>
        </w:rPr>
        <w:t>Biri-Ma-Geydo</w:t>
      </w:r>
      <w:r w:rsidRPr="004406D2">
        <w:rPr>
          <w:rFonts w:ascii="Times New Roman" w:eastAsia="Times New Roman" w:hAnsi="Times New Roman" w:cs="Times New Roman"/>
          <w:sz w:val="24"/>
          <w:szCs w:val="24"/>
          <w:lang w:val="en-US"/>
        </w:rPr>
        <w:t xml:space="preserve"> (Spared from the Spear), i.e. Somalia’s own “Geneva Conventions”[,] which existed long before the adoption of the Hague and Geneva Conventions, mitigated and regulated the conduct of clan hostilities and the treatment of immune groups.</w:t>
      </w:r>
      <w:r>
        <w:rPr>
          <w:rFonts w:ascii="Times New Roman" w:eastAsia="Times New Roman" w:hAnsi="Times New Roman" w:cs="Times New Roman"/>
          <w:noProof/>
          <w:sz w:val="24"/>
          <w:szCs w:val="24"/>
        </w:rPr>
        <w:drawing>
          <wp:inline distT="0" distB="0" distL="0" distR="0">
            <wp:extent cx="151130" cy="142875"/>
            <wp:effectExtent l="19050" t="0" r="1270" b="0"/>
            <wp:docPr id="1375" name="Imagen 13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2011, in its report to the Human Rights Council, Somalia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Somalia has not ratified AP II [1977 Additional Protocol II] and it is therefore not directly applicable to Somalia as a matter of treaty law. The Government is aware that many provisions of AP II represent customary IHL rules and therefore apply to the </w:t>
      </w:r>
      <w:r w:rsidRPr="004406D2">
        <w:rPr>
          <w:rFonts w:ascii="Times New Roman" w:eastAsia="Times New Roman" w:hAnsi="Times New Roman" w:cs="Times New Roman"/>
          <w:sz w:val="24"/>
          <w:szCs w:val="24"/>
          <w:lang w:val="en-US"/>
        </w:rPr>
        <w:lastRenderedPageBreak/>
        <w:t>situation in Somalia. Such provisions include Article 4 providing guarantees to persons taking no active part in hostilities … due to the fact that these norms are reflected in Common Article 3 of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1376" name="Imagen 13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Sri Lanka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2008, in its initial report to the Committee on the Rights of the Child under the 2000 Optional Protocol on the Involvement of Children in Armed Conflict, Sri Lanka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83. In accordance with resolution 1612 and Section VI, paragraph 2 of the Terms of Reference of the Working Group o[f] the [UN] Security Council on children and armed conflict, the TFMR [Task Force for Monitoring and Reporting] will focus on violations against children affected by armed conflict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84. … [V]iolations and abuses committed against children affected by armed conflict including … rape and other grave sexual violence against children … will … be addressed.</w:t>
      </w:r>
      <w:r>
        <w:rPr>
          <w:rFonts w:ascii="Times New Roman" w:eastAsia="Times New Roman" w:hAnsi="Times New Roman" w:cs="Times New Roman"/>
          <w:noProof/>
          <w:sz w:val="24"/>
          <w:szCs w:val="24"/>
        </w:rPr>
        <w:drawing>
          <wp:inline distT="0" distB="0" distL="0" distR="0">
            <wp:extent cx="151130" cy="142875"/>
            <wp:effectExtent l="19050" t="0" r="1270" b="0"/>
            <wp:docPr id="1377" name="Imagen 13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2008, in its combined third and fourth periodic reports to the Committee on the Rights of the Child, Sri Lanka stated: “Several amendments were made to the Penal Code by Amendment Act No. 16 of 2006 to bring offences against children, in particular sexual offences, in line with international norms and standards.”</w:t>
      </w:r>
      <w:r>
        <w:rPr>
          <w:rFonts w:ascii="Times New Roman" w:eastAsia="Times New Roman" w:hAnsi="Times New Roman" w:cs="Times New Roman"/>
          <w:noProof/>
          <w:sz w:val="24"/>
          <w:szCs w:val="24"/>
        </w:rPr>
        <w:drawing>
          <wp:inline distT="0" distB="0" distL="0" distR="0">
            <wp:extent cx="151130" cy="142875"/>
            <wp:effectExtent l="19050" t="0" r="1270" b="0"/>
            <wp:docPr id="1378" name="Imagen 13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Kingdom of Great Britain and Northern Ireland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1993, during a debate in the House of Lords in 1993, the UK Minister of State, Foreign and Commonwealth Office, stated: “Rape probably already comes within the definition of a war crime.”</w:t>
      </w:r>
      <w:r>
        <w:rPr>
          <w:rFonts w:ascii="Times New Roman" w:eastAsia="Times New Roman" w:hAnsi="Times New Roman" w:cs="Times New Roman"/>
          <w:noProof/>
          <w:sz w:val="24"/>
          <w:szCs w:val="24"/>
        </w:rPr>
        <w:drawing>
          <wp:inline distT="0" distB="0" distL="0" distR="0">
            <wp:extent cx="151130" cy="142875"/>
            <wp:effectExtent l="19050" t="0" r="1270" b="0"/>
            <wp:docPr id="1379" name="Imagen 13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1994, in a briefing note on Britain’s peacemaking role in the former Yugoslavia, the UK Minister of State, Foreign and Commonwealth Office, in reply to the question as to whether he considered rape as a war crime,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international armed conflicts, a war crime can be defined as any serious violation of the laws and customs of war, including grave breaches of the 1949 Geneva Conventions. Article 27 of the Fourth Geneva Convention specifically prohibits rape; and Article 3, which applies to non-international armed conflicts and which is common to all four Conventions, refers to “outrages upon personal dignity, in particular humiliating and degrading treatment”. This would clearly include rape.</w:t>
      </w:r>
      <w:r>
        <w:rPr>
          <w:rFonts w:ascii="Times New Roman" w:eastAsia="Times New Roman" w:hAnsi="Times New Roman" w:cs="Times New Roman"/>
          <w:noProof/>
          <w:sz w:val="24"/>
          <w:szCs w:val="24"/>
        </w:rPr>
        <w:drawing>
          <wp:inline distT="0" distB="0" distL="0" distR="0">
            <wp:extent cx="151130" cy="142875"/>
            <wp:effectExtent l="19050" t="0" r="1270" b="0"/>
            <wp:docPr id="1380" name="Imagen 13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2003, in reply to a written question in the House of Lords, the UK Minister of State, Foreign and Commonwealth Office, wrote: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Government deplore the war crimes committed during the Balkans conflict in the early 1990s, including the rape of women and girls in Bosnia.</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We are sympathetic to any proposal to improve the situation of the victims of these crimes, but it is not clear that awarding civilian war victim status would be the most effective means of ensuring support for these women. What is required is recognition of their suffering as victims of rape, conviction of the perpetrators and provision of appropriate support for these women and their children.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Through the work of the Department for International Development, and support for UNICEF and local NGOs, the Government support projects to raise awareness of rape as a war crime. We strongly support the work of the International Criminal Tribunal for former Yugoslavia, which is tasked with bringing to trial those suspected of war crimes and crimes against humanity during the Balkans conflict, including rape. It has convicted a number of individuals of this crime. With our partners in the EU, we apply concerted pressure to all governments in the region for greater co-operation with ICTY, particularly in the handover and prosecution of indictees.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best way to secure financial support for these women and their children is through successful convictions in the Bosnian courts, which can award compensation to the victims of rape. Together with our EU partners, we are working hard to strengthen the </w:t>
      </w:r>
      <w:r w:rsidRPr="004406D2">
        <w:rPr>
          <w:rFonts w:ascii="Times New Roman" w:eastAsia="Times New Roman" w:hAnsi="Times New Roman" w:cs="Times New Roman"/>
          <w:sz w:val="24"/>
          <w:szCs w:val="24"/>
          <w:lang w:val="en-US"/>
        </w:rPr>
        <w:lastRenderedPageBreak/>
        <w:t>capacity of the Bosnian judicial system, so that it can prosecute the perpetrators of these crimes more effectively and efficiently, and provide sustainable support to the victims.</w:t>
      </w:r>
      <w:r>
        <w:rPr>
          <w:rFonts w:ascii="Times New Roman" w:eastAsia="Times New Roman" w:hAnsi="Times New Roman" w:cs="Times New Roman"/>
          <w:noProof/>
          <w:sz w:val="24"/>
          <w:szCs w:val="24"/>
        </w:rPr>
        <w:drawing>
          <wp:inline distT="0" distB="0" distL="0" distR="0">
            <wp:extent cx="151130" cy="142875"/>
            <wp:effectExtent l="19050" t="0" r="1270" b="0"/>
            <wp:docPr id="1381" name="Imagen 13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The UK Government Strategy on the Protection of Civilians in Armed Conflict (2010) states: “IHL requires parties to a conflict to respect and protect civilians. … [C]ivilians must not be … subjected to acts of violence such as … forms of ill-treatment (including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382" name="Imagen 13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2010, in its closing submissions to the public inquiry into the circumstances surrounding the death of Baha Mousa and the treatment of those detained with him by UK armed forces in Iraq in 2003, the UK Ministry of Defence stated regarding common Article 3 of the 1949 Geneva Conventions: “On its face this protection is restricted to armed conflicts not of an international character. However, it is understood to apply in all forms of armed conflict as part of customary international law to set out the irreducible minimum standard.”</w:t>
      </w:r>
      <w:r>
        <w:rPr>
          <w:rFonts w:ascii="Times New Roman" w:eastAsia="Times New Roman" w:hAnsi="Times New Roman" w:cs="Times New Roman"/>
          <w:noProof/>
          <w:sz w:val="24"/>
          <w:szCs w:val="24"/>
        </w:rPr>
        <w:drawing>
          <wp:inline distT="0" distB="0" distL="0" distR="0">
            <wp:extent cx="151130" cy="142875"/>
            <wp:effectExtent l="19050" t="0" r="1270" b="0"/>
            <wp:docPr id="1383" name="Imagen 13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United States of America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1987, the Deputy Legal Adviser of the US Department of State affirmed: “We support the principle that … women be protected against rape and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384" name="Imagen 13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1992, in reports submitted pursuant to paragraph 5 of UN Security Council Resolution 771 (1992) on grave breaches of the 1949 Geneva Convention IV committed in the former Yugoslavia, the United States described acts of sexual violence and rape perpetrated by the parties to the conflict.</w:t>
      </w:r>
      <w:r>
        <w:rPr>
          <w:rFonts w:ascii="Times New Roman" w:eastAsia="Times New Roman" w:hAnsi="Times New Roman" w:cs="Times New Roman"/>
          <w:noProof/>
          <w:sz w:val="24"/>
          <w:szCs w:val="24"/>
        </w:rPr>
        <w:drawing>
          <wp:inline distT="0" distB="0" distL="0" distR="0">
            <wp:extent cx="151130" cy="142875"/>
            <wp:effectExtent l="19050" t="0" r="1270" b="0"/>
            <wp:docPr id="1385" name="Imagen 13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1992, in its final report on the conduct of the Gulf War, the US Department of Defense listed some specific Iraqi war crimes, in particular “inhumane treatment of Kuwaiti and third country civilians, to include rape”.</w:t>
      </w:r>
      <w:r>
        <w:rPr>
          <w:rFonts w:ascii="Times New Roman" w:eastAsia="Times New Roman" w:hAnsi="Times New Roman" w:cs="Times New Roman"/>
          <w:noProof/>
          <w:sz w:val="24"/>
          <w:szCs w:val="24"/>
        </w:rPr>
        <w:drawing>
          <wp:inline distT="0" distB="0" distL="0" distR="0">
            <wp:extent cx="151130" cy="142875"/>
            <wp:effectExtent l="19050" t="0" r="1270" b="0"/>
            <wp:docPr id="1386" name="Imagen 13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1998, in response to the situation in Kosovo, but also referring to the other conflicts in the former Yugoslavia, the US Congress adopted a resolution by unanimous consent stating:</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Whereas there is reason to believe that as President of the Federal Republic of Yugoslavia (Serbia and Montenegro), Slobodan Miloševic was responsible for the conception and direction of a war of aggression … and that mass rape and forced impregnation were among the tools used to wage this war … it is the sense of Congress that … the United States should publicly declare that it considers that there is reason to believe that Slobodan Miloševic, President of the Federal Republic of Yugoslavia (Serbia and Montenegro), has committed war crimes, crimes against humanity and genocide.</w:t>
      </w:r>
      <w:r>
        <w:rPr>
          <w:rFonts w:ascii="Times New Roman" w:eastAsia="Times New Roman" w:hAnsi="Times New Roman" w:cs="Times New Roman"/>
          <w:noProof/>
          <w:sz w:val="24"/>
          <w:szCs w:val="24"/>
        </w:rPr>
        <w:drawing>
          <wp:inline distT="0" distB="0" distL="0" distR="0">
            <wp:extent cx="151130" cy="142875"/>
            <wp:effectExtent l="19050" t="0" r="1270" b="0"/>
            <wp:docPr id="1387" name="Imagen 13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concurrent resolution adopted in 2000, the US Congress expressed its sense concerning the war crimes committed by the Japanese military during the Second World War, in particular the rape of civilian women on the island of Guam and in Nanjing.</w:t>
      </w:r>
      <w:r>
        <w:rPr>
          <w:rFonts w:ascii="Times New Roman" w:eastAsia="Times New Roman" w:hAnsi="Times New Roman" w:cs="Times New Roman"/>
          <w:noProof/>
          <w:sz w:val="24"/>
          <w:szCs w:val="24"/>
        </w:rPr>
        <w:drawing>
          <wp:inline distT="0" distB="0" distL="0" distR="0">
            <wp:extent cx="151130" cy="142875"/>
            <wp:effectExtent l="19050" t="0" r="1270" b="0"/>
            <wp:docPr id="1388" name="Imagen 13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According to the Report on US Practice, “Articles 4, 5 and 6 [of the 1977 Additional Protocol II] reflect general US policy on treatment of persons in the power of an adverse party in armed conflicts governed by common Article 3” of the 1949 Geneva Conventions. The report also notes: “It is the </w:t>
      </w:r>
      <w:r w:rsidRPr="004406D2">
        <w:rPr>
          <w:rFonts w:ascii="Times New Roman" w:eastAsia="Times New Roman" w:hAnsi="Times New Roman" w:cs="Times New Roman"/>
          <w:i/>
          <w:iCs/>
          <w:sz w:val="24"/>
          <w:szCs w:val="24"/>
          <w:lang w:val="en-US"/>
        </w:rPr>
        <w:t>opinio juris</w:t>
      </w:r>
      <w:r w:rsidRPr="004406D2">
        <w:rPr>
          <w:rFonts w:ascii="Times New Roman" w:eastAsia="Times New Roman" w:hAnsi="Times New Roman" w:cs="Times New Roman"/>
          <w:sz w:val="24"/>
          <w:szCs w:val="24"/>
          <w:lang w:val="en-US"/>
        </w:rPr>
        <w:t xml:space="preserve"> of the US that persons detained in connection with an internal armed conflict are entitled to humane treatment as specified in Articles 4, 5 and 6 [of the 1977 Additional Protocol II].”</w:t>
      </w:r>
      <w:r>
        <w:rPr>
          <w:rFonts w:ascii="Times New Roman" w:eastAsia="Times New Roman" w:hAnsi="Times New Roman" w:cs="Times New Roman"/>
          <w:noProof/>
          <w:sz w:val="24"/>
          <w:szCs w:val="24"/>
        </w:rPr>
        <w:drawing>
          <wp:inline distT="0" distB="0" distL="0" distR="0">
            <wp:extent cx="151130" cy="142875"/>
            <wp:effectExtent l="19050" t="0" r="1270" b="0"/>
            <wp:docPr id="1389" name="Imagen 13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June 2008, in a letter to the UN Secretary-General on the subject of “Women and Peace and Security: Sexual Violence in Situations of Armed Conflict”, the permanent representative of the United States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Since the adoption of Security Council resolution 1325 (2000) on women and peace and security, progress towards achieving its major goals has been slow and uneven.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One important aspect of resolution 1325 (2000) which demands urgent attention by the </w:t>
      </w:r>
      <w:r w:rsidRPr="004406D2">
        <w:rPr>
          <w:rFonts w:ascii="Times New Roman" w:eastAsia="Times New Roman" w:hAnsi="Times New Roman" w:cs="Times New Roman"/>
          <w:sz w:val="24"/>
          <w:szCs w:val="24"/>
          <w:lang w:val="en-US"/>
        </w:rPr>
        <w:lastRenderedPageBreak/>
        <w:t>international community is the call for all parties to armed conflict to take special measures to protect women and girls from rape and other forms of sexual abuse, and its emphasis on the need to end impunity for war crimes, including those relating to sexual and other violence against women and girls.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Rape is clearly defined as a war crime in international humanitarian law. The statute of the International Tribunal for the former Yugoslavia, which the Security Council adopted by its resolution 827 (1993), gives the Tribunal the power to prosecute persons responsible for rape when committed in armed conflict, whether international or internal in character, and directed against any civilian population.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the fifteen years since the establishment of the criminal tribunals for the former Yugoslavia and Rwanda, the problem of widespread, organized and systematic rape has continued and, if anything, has become more severe. In the eight years since the Council adopted resolution 1325 (2000) on women and peace and security, sexual violence as a weapon of war has been perpetrated with almost universal impunity. Even though rape and sexual violence in situations of armed conflict are underreported by women victims, who often are ashamed to come forward and suffer public humiliation or rejection and may well doubt they will find adequate recourse to justice, United Nations sources on the ground have reported thousands of women who have sought medical help for the grievous wounds that have been inflicted upon them in the course of being raped by gangs of soldiers and other armed men. These injuries are so severe that in some cases victims are hospitalized for over a year. Thousands of women and girls, and their children, have been abandoned by their families and ostracized by their villages after surviving rape. For example, according to Under-Secretary-General for Humanitarian Affairs John Holmes, more than 32,000 cases of rape and other forms of sexual violence have been registered in the Democratic Republic of the Congo’s province of South Kivu alone.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recent reporting on women affected by sexual violence in situations of armed conflict reveals a grave situation that requires a practical response from the international community. During the United States Presidency of the Security Council, Secretary of State Condoleezza Rice will chair a thematic debate at the ministerial level for members of the Council on sexual violence in situations of armed conflict, as part of the Council’s follow-up to resolution 1325 (2000).</w:t>
      </w:r>
      <w:r>
        <w:rPr>
          <w:rFonts w:ascii="Times New Roman" w:eastAsia="Times New Roman" w:hAnsi="Times New Roman" w:cs="Times New Roman"/>
          <w:noProof/>
          <w:sz w:val="24"/>
          <w:szCs w:val="24"/>
        </w:rPr>
        <w:drawing>
          <wp:inline distT="0" distB="0" distL="0" distR="0">
            <wp:extent cx="151130" cy="142875"/>
            <wp:effectExtent l="19050" t="0" r="1270" b="0"/>
            <wp:docPr id="1390" name="Imagen 13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Yugoslavia, Federal Republic of</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an exceptional report submitted to the Committee on the Elimination of Discrimination Against Women (CEDAW) in 1993, the Federal Republic of Yugoslavia reported its position that abuses of women in war zones were crimes contrary to IHL and apologized for an earlier statement which might have given the false impression that rape was considered normal behaviour in times of war.</w:t>
      </w:r>
      <w:r>
        <w:rPr>
          <w:rFonts w:ascii="Times New Roman" w:eastAsia="Times New Roman" w:hAnsi="Times New Roman" w:cs="Times New Roman"/>
          <w:noProof/>
          <w:sz w:val="24"/>
          <w:szCs w:val="24"/>
        </w:rPr>
        <w:drawing>
          <wp:inline distT="0" distB="0" distL="0" distR="0">
            <wp:extent cx="151130" cy="142875"/>
            <wp:effectExtent l="19050" t="0" r="1270" b="0"/>
            <wp:docPr id="1391" name="Imagen 13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3" w:history="1">
        <w:r w:rsidRPr="004406D2">
          <w:rPr>
            <w:rFonts w:ascii="Times New Roman" w:eastAsia="Times New Roman" w:hAnsi="Times New Roman" w:cs="Times New Roman"/>
            <w:color w:val="0000FF"/>
            <w:sz w:val="24"/>
            <w:szCs w:val="24"/>
            <w:u w:val="single"/>
            <w:lang w:val="en-US"/>
          </w:rPr>
          <w:t>VII. United Nations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UN Security Council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1992, the UN Security Council stated that it was “appalled by reports of massive, organized and systematic detention and rape of women, in particular Muslim women, in Bosnia and Herzegovina” and strongly condemned “these acts of unspeakable brutality”.</w:t>
      </w:r>
      <w:r>
        <w:rPr>
          <w:rFonts w:ascii="Times New Roman" w:eastAsia="Times New Roman" w:hAnsi="Times New Roman" w:cs="Times New Roman"/>
          <w:noProof/>
          <w:sz w:val="24"/>
          <w:szCs w:val="24"/>
        </w:rPr>
        <w:drawing>
          <wp:inline distT="0" distB="0" distL="0" distR="0">
            <wp:extent cx="151130" cy="142875"/>
            <wp:effectExtent l="19050" t="0" r="1270" b="0"/>
            <wp:docPr id="1392" name="Imagen 13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1993 in the context of the conflict in Bosnia and Herzegovina, the UN Security Council stated that it condemned “massive, organized and systematic detention and rape of women”.</w:t>
      </w:r>
      <w:r>
        <w:rPr>
          <w:rFonts w:ascii="Times New Roman" w:eastAsia="Times New Roman" w:hAnsi="Times New Roman" w:cs="Times New Roman"/>
          <w:noProof/>
          <w:sz w:val="24"/>
          <w:szCs w:val="24"/>
        </w:rPr>
        <w:drawing>
          <wp:inline distT="0" distB="0" distL="0" distR="0">
            <wp:extent cx="151130" cy="142875"/>
            <wp:effectExtent l="19050" t="0" r="1270" b="0"/>
            <wp:docPr id="1393" name="Imagen 13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In a resolution adopted in 1993, the UN Security Council expressed grave alarm at the </w:t>
      </w:r>
      <w:r w:rsidRPr="004406D2">
        <w:rPr>
          <w:rFonts w:ascii="Times New Roman" w:eastAsia="Times New Roman" w:hAnsi="Times New Roman" w:cs="Times New Roman"/>
          <w:sz w:val="24"/>
          <w:szCs w:val="24"/>
          <w:lang w:val="en-US"/>
        </w:rPr>
        <w:lastRenderedPageBreak/>
        <w:t>widespread and flagrant violations of IHL occurring within the territory of the former Yugoslavia, especially Bosnia and Herzegovina, including “reports of massive, organized and systematic rape of women”.</w:t>
      </w:r>
      <w:r>
        <w:rPr>
          <w:rFonts w:ascii="Times New Roman" w:eastAsia="Times New Roman" w:hAnsi="Times New Roman" w:cs="Times New Roman"/>
          <w:noProof/>
          <w:sz w:val="24"/>
          <w:szCs w:val="24"/>
        </w:rPr>
        <w:drawing>
          <wp:inline distT="0" distB="0" distL="0" distR="0">
            <wp:extent cx="151130" cy="142875"/>
            <wp:effectExtent l="19050" t="0" r="1270" b="0"/>
            <wp:docPr id="1394" name="Imagen 13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1995 on the situation in Bosnia and Herzegovina, the UN Security Council stated that rape was a “grave violation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395" name="Imagen 13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1995, the UN Security Council expressed grave concern and condemned in the strongest possible terms the violations of IHL and human rights in Bosnia and Herzegovina, including “evidence of a consistent pattern of rape”.</w:t>
      </w:r>
      <w:r>
        <w:rPr>
          <w:rFonts w:ascii="Times New Roman" w:eastAsia="Times New Roman" w:hAnsi="Times New Roman" w:cs="Times New Roman"/>
          <w:noProof/>
          <w:sz w:val="24"/>
          <w:szCs w:val="24"/>
        </w:rPr>
        <w:drawing>
          <wp:inline distT="0" distB="0" distL="0" distR="0">
            <wp:extent cx="151130" cy="142875"/>
            <wp:effectExtent l="19050" t="0" r="1270" b="0"/>
            <wp:docPr id="1396" name="Imagen 13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1999 on children in armed conflicts, the UN Security Council urged all parties to armed conflicts “to take special measures to protect children, in particular girls, from rape and other forms of sexual abuse and gender-based violence in situations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397" name="Imagen 13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2000 on women and peace and security, the UN Security Council called on “all parties to armed conflict to take special measures to protect women and girls from gender-based violence, particularly rape and other forms of sexual abuse, and all other forms of violence in situations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398" name="Imagen 13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children in armed conflict,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Notes with concern</w:t>
      </w:r>
      <w:r w:rsidRPr="004406D2">
        <w:rPr>
          <w:rFonts w:ascii="Times New Roman" w:eastAsia="Times New Roman" w:hAnsi="Times New Roman" w:cs="Times New Roman"/>
          <w:sz w:val="24"/>
          <w:szCs w:val="24"/>
          <w:lang w:val="en-US"/>
        </w:rPr>
        <w:t xml:space="preserve"> all the cases of sexual exploitation and abuse of women and children, especially girls, in humanitarian crisis, including those cases involving humanitarian workers and peacekeepers, and requests contributing countries to incorporate the Six Core Principles of the Inter-Agency Standing Committee on Emergencies into pertinent codes of conduct for peacekeeping personnel and to develop appropriate disciplinary and accountability mechanisms.</w:t>
      </w:r>
      <w:r>
        <w:rPr>
          <w:rFonts w:ascii="Times New Roman" w:eastAsia="Times New Roman" w:hAnsi="Times New Roman" w:cs="Times New Roman"/>
          <w:noProof/>
          <w:sz w:val="24"/>
          <w:szCs w:val="24"/>
        </w:rPr>
        <w:drawing>
          <wp:inline distT="0" distB="0" distL="0" distR="0">
            <wp:extent cx="151130" cy="142875"/>
            <wp:effectExtent l="19050" t="0" r="1270" b="0"/>
            <wp:docPr id="1399" name="Imagen 13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the situation concerning the Democratic Republic of the Congo,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Condemns </w:t>
      </w:r>
      <w:r w:rsidRPr="004406D2">
        <w:rPr>
          <w:rFonts w:ascii="Times New Roman" w:eastAsia="Times New Roman" w:hAnsi="Times New Roman" w:cs="Times New Roman"/>
          <w:sz w:val="24"/>
          <w:szCs w:val="24"/>
          <w:lang w:val="en-US"/>
        </w:rPr>
        <w:t>the massacres and other systematic violations of International Humanitarian Law and human rights perpetrated in the Democratic Republic of the Congo, in particular sexual violence against women and girls as a tool of warfare and atrocities perpetrated in the Ituri area by the Mouvement de Libération du Congo (MLC) and the Rassemblement Congolais pour la Démocratie/National (RCD/N) troops, as well as the acts of violence recently perpetrated by the Union des Patriotes Congolais (UPC) forces, and reiterates that there will be no impunity for such acts and that the perpetrators will be held accountable.</w:t>
      </w:r>
      <w:r>
        <w:rPr>
          <w:rFonts w:ascii="Times New Roman" w:eastAsia="Times New Roman" w:hAnsi="Times New Roman" w:cs="Times New Roman"/>
          <w:noProof/>
          <w:sz w:val="24"/>
          <w:szCs w:val="24"/>
        </w:rPr>
        <w:drawing>
          <wp:inline distT="0" distB="0" distL="0" distR="0">
            <wp:extent cx="151130" cy="142875"/>
            <wp:effectExtent l="19050" t="0" r="1270" b="0"/>
            <wp:docPr id="1400" name="Imagen 14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the situation concerning the Democratic Republic of the Congo,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8. </w:t>
      </w:r>
      <w:r w:rsidRPr="004406D2">
        <w:rPr>
          <w:rFonts w:ascii="Times New Roman" w:eastAsia="Times New Roman" w:hAnsi="Times New Roman" w:cs="Times New Roman"/>
          <w:i/>
          <w:iCs/>
          <w:sz w:val="24"/>
          <w:szCs w:val="24"/>
          <w:lang w:val="en-US"/>
        </w:rPr>
        <w:t>Strongly condemns</w:t>
      </w:r>
      <w:r w:rsidRPr="004406D2">
        <w:rPr>
          <w:rFonts w:ascii="Times New Roman" w:eastAsia="Times New Roman" w:hAnsi="Times New Roman" w:cs="Times New Roman"/>
          <w:sz w:val="24"/>
          <w:szCs w:val="24"/>
          <w:lang w:val="en-US"/>
        </w:rPr>
        <w:t xml:space="preserve"> the acts of violence systematically perpetrated against civilians, including the massacres, as well as other atrocities and violations of international humanitarian law and human rights, in particular, sexual violence against women and girls, </w:t>
      </w:r>
      <w:r w:rsidRPr="004406D2">
        <w:rPr>
          <w:rFonts w:ascii="Times New Roman" w:eastAsia="Times New Roman" w:hAnsi="Times New Roman" w:cs="Times New Roman"/>
          <w:i/>
          <w:iCs/>
          <w:sz w:val="24"/>
          <w:szCs w:val="24"/>
          <w:lang w:val="en-US"/>
        </w:rPr>
        <w:t xml:space="preserve">stresses </w:t>
      </w:r>
      <w:r w:rsidRPr="004406D2">
        <w:rPr>
          <w:rFonts w:ascii="Times New Roman" w:eastAsia="Times New Roman" w:hAnsi="Times New Roman" w:cs="Times New Roman"/>
          <w:sz w:val="24"/>
          <w:szCs w:val="24"/>
          <w:lang w:val="en-US"/>
        </w:rPr>
        <w:t xml:space="preserve">the need to bring to justice those responsible, including those at the command level,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all parties, including the Government of the Democratic Republic of the Congo, to take all necessary steps to prevent further violations of human rights and international humanitarian law, in particular those committed against civilians;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9. </w:t>
      </w:r>
      <w:r w:rsidRPr="004406D2">
        <w:rPr>
          <w:rFonts w:ascii="Times New Roman" w:eastAsia="Times New Roman" w:hAnsi="Times New Roman" w:cs="Times New Roman"/>
          <w:i/>
          <w:iCs/>
          <w:sz w:val="24"/>
          <w:szCs w:val="24"/>
          <w:lang w:val="en-US"/>
        </w:rPr>
        <w:t>Reaffirms</w:t>
      </w:r>
      <w:r w:rsidRPr="004406D2">
        <w:rPr>
          <w:rFonts w:ascii="Times New Roman" w:eastAsia="Times New Roman" w:hAnsi="Times New Roman" w:cs="Times New Roman"/>
          <w:sz w:val="24"/>
          <w:szCs w:val="24"/>
          <w:lang w:val="en-US"/>
        </w:rPr>
        <w:t xml:space="preserve"> the importance of a gender perspective in peacekeeping operations in accordance with resolution 1325 (2000), </w:t>
      </w:r>
      <w:r w:rsidRPr="004406D2">
        <w:rPr>
          <w:rFonts w:ascii="Times New Roman" w:eastAsia="Times New Roman" w:hAnsi="Times New Roman" w:cs="Times New Roman"/>
          <w:i/>
          <w:iCs/>
          <w:sz w:val="24"/>
          <w:szCs w:val="24"/>
          <w:lang w:val="en-US"/>
        </w:rPr>
        <w:t xml:space="preserve">recalls </w:t>
      </w:r>
      <w:r w:rsidRPr="004406D2">
        <w:rPr>
          <w:rFonts w:ascii="Times New Roman" w:eastAsia="Times New Roman" w:hAnsi="Times New Roman" w:cs="Times New Roman"/>
          <w:sz w:val="24"/>
          <w:szCs w:val="24"/>
          <w:lang w:val="en-US"/>
        </w:rPr>
        <w:t xml:space="preserve">the need to address violence against women and girls as a tool of warfare, and in this respect </w:t>
      </w:r>
      <w:r w:rsidRPr="004406D2">
        <w:rPr>
          <w:rFonts w:ascii="Times New Roman" w:eastAsia="Times New Roman" w:hAnsi="Times New Roman" w:cs="Times New Roman"/>
          <w:i/>
          <w:iCs/>
          <w:sz w:val="24"/>
          <w:szCs w:val="24"/>
          <w:lang w:val="en-US"/>
        </w:rPr>
        <w:t xml:space="preserve">encourages </w:t>
      </w:r>
      <w:r w:rsidRPr="004406D2">
        <w:rPr>
          <w:rFonts w:ascii="Times New Roman" w:eastAsia="Times New Roman" w:hAnsi="Times New Roman" w:cs="Times New Roman"/>
          <w:sz w:val="24"/>
          <w:szCs w:val="24"/>
          <w:lang w:val="en-US"/>
        </w:rPr>
        <w:t>MONUC to continue to actively address this issue.</w:t>
      </w:r>
      <w:r>
        <w:rPr>
          <w:rFonts w:ascii="Times New Roman" w:eastAsia="Times New Roman" w:hAnsi="Times New Roman" w:cs="Times New Roman"/>
          <w:noProof/>
          <w:sz w:val="24"/>
          <w:szCs w:val="24"/>
        </w:rPr>
        <w:drawing>
          <wp:inline distT="0" distB="0" distL="0" distR="0">
            <wp:extent cx="151130" cy="142875"/>
            <wp:effectExtent l="19050" t="0" r="1270" b="0"/>
            <wp:docPr id="1401" name="Imagen 14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Security Council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In a resolution adopted in 2003 relating to the situation in Liberia, the UN Security Council deplored “all violations of human rights, particularly atrocities against civilian populations, including widespread sexual violence against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1402" name="Imagen 14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UN Security Council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2004 on children and armed conflict, the UN Security Council: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 </w:t>
      </w:r>
      <w:r w:rsidRPr="004406D2">
        <w:rPr>
          <w:rFonts w:ascii="Times New Roman" w:eastAsia="Times New Roman" w:hAnsi="Times New Roman" w:cs="Times New Roman"/>
          <w:i/>
          <w:iCs/>
          <w:sz w:val="24"/>
          <w:szCs w:val="24"/>
          <w:lang w:val="en-US"/>
        </w:rPr>
        <w:t>Strongly condemns</w:t>
      </w:r>
      <w:r w:rsidRPr="004406D2">
        <w:rPr>
          <w:rFonts w:ascii="Times New Roman" w:eastAsia="Times New Roman" w:hAnsi="Times New Roman" w:cs="Times New Roman"/>
          <w:sz w:val="24"/>
          <w:szCs w:val="24"/>
          <w:lang w:val="en-US"/>
        </w:rPr>
        <w:t xml:space="preserve"> … rape and other sexual violence mostly committed against girls,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10. </w:t>
      </w:r>
      <w:r w:rsidRPr="004406D2">
        <w:rPr>
          <w:rFonts w:ascii="Times New Roman" w:eastAsia="Times New Roman" w:hAnsi="Times New Roman" w:cs="Times New Roman"/>
          <w:i/>
          <w:iCs/>
          <w:sz w:val="24"/>
          <w:szCs w:val="24"/>
          <w:lang w:val="en-US"/>
        </w:rPr>
        <w:t xml:space="preserve">Notes </w:t>
      </w:r>
      <w:r w:rsidRPr="004406D2">
        <w:rPr>
          <w:rFonts w:ascii="Times New Roman" w:eastAsia="Times New Roman" w:hAnsi="Times New Roman" w:cs="Times New Roman"/>
          <w:sz w:val="24"/>
          <w:szCs w:val="24"/>
          <w:lang w:val="en-US"/>
        </w:rPr>
        <w:t xml:space="preserve">with concern all the cases of sexual exploitation and abuse of women and children, especially girls, in humanitarian crisis, including those cases involving humanitarian workers and peacekeepers, [and]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contributing countries to incorporate the Six Core Principles of the Inter-Agency Standing Committee on Emergencies into pertinent codes of conduct for peacekeeping personnel and to develop appropriate disciplinary and accountability mechanisms.</w:t>
      </w:r>
      <w:r>
        <w:rPr>
          <w:rFonts w:ascii="Times New Roman" w:eastAsia="Times New Roman" w:hAnsi="Times New Roman" w:cs="Times New Roman"/>
          <w:noProof/>
          <w:sz w:val="24"/>
          <w:szCs w:val="24"/>
        </w:rPr>
        <w:drawing>
          <wp:inline distT="0" distB="0" distL="0" distR="0">
            <wp:extent cx="151130" cy="142875"/>
            <wp:effectExtent l="19050" t="0" r="1270" b="0"/>
            <wp:docPr id="1403" name="Imagen 14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the Sudan, the UN Security Council condemned “all acts of violence and violations of human rights and international humanitarian law by all parties to the crisis, in particular by the Janjaweed, including … rapes”.</w:t>
      </w:r>
      <w:r>
        <w:rPr>
          <w:rFonts w:ascii="Times New Roman" w:eastAsia="Times New Roman" w:hAnsi="Times New Roman" w:cs="Times New Roman"/>
          <w:noProof/>
          <w:sz w:val="24"/>
          <w:szCs w:val="24"/>
        </w:rPr>
        <w:drawing>
          <wp:inline distT="0" distB="0" distL="0" distR="0">
            <wp:extent cx="151130" cy="142875"/>
            <wp:effectExtent l="19050" t="0" r="1270" b="0"/>
            <wp:docPr id="1404" name="Imagen 14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2004 on the situation concerning the Democratic Republic of the Congo, the UN Security Council: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Expresses grave concern </w:t>
      </w:r>
      <w:r w:rsidRPr="004406D2">
        <w:rPr>
          <w:rFonts w:ascii="Times New Roman" w:eastAsia="Times New Roman" w:hAnsi="Times New Roman" w:cs="Times New Roman"/>
          <w:sz w:val="24"/>
          <w:szCs w:val="24"/>
          <w:lang w:val="en-US"/>
        </w:rPr>
        <w:t xml:space="preserve">at the allegations of sexual exploitation and misconduct by civilian and military personnel of MONUC,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fully investigate these allegations to take the appropriate action in accordance with the Secretary-General’s Bulletin on special measures for protection from sexual exploitation and sexual abuse (ST/SGB/2003/13) and to keep the Council informed, </w:t>
      </w:r>
      <w:r w:rsidRPr="004406D2">
        <w:rPr>
          <w:rFonts w:ascii="Times New Roman" w:eastAsia="Times New Roman" w:hAnsi="Times New Roman" w:cs="Times New Roman"/>
          <w:i/>
          <w:iCs/>
          <w:sz w:val="24"/>
          <w:szCs w:val="24"/>
          <w:lang w:val="en-US"/>
        </w:rPr>
        <w:t xml:space="preserve">further encourages </w:t>
      </w:r>
      <w:r w:rsidRPr="004406D2">
        <w:rPr>
          <w:rFonts w:ascii="Times New Roman" w:eastAsia="Times New Roman" w:hAnsi="Times New Roman" w:cs="Times New Roman"/>
          <w:sz w:val="24"/>
          <w:szCs w:val="24"/>
          <w:lang w:val="en-US"/>
        </w:rPr>
        <w:t xml:space="preserve">MONUC to conduct training for personnel targeted to ensure full compliance with its code of conduct regarding sexual misconduct,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disciplinary and other action to ensure full accountability in cases of such misconduct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05" name="Imagen 14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Sudan,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Strongly condemning </w:t>
      </w:r>
      <w:r w:rsidRPr="004406D2">
        <w:rPr>
          <w:rFonts w:ascii="Times New Roman" w:eastAsia="Times New Roman" w:hAnsi="Times New Roman" w:cs="Times New Roman"/>
          <w:sz w:val="24"/>
          <w:szCs w:val="24"/>
          <w:lang w:val="en-US"/>
        </w:rPr>
        <w:t>all violations of human rights and international humanitarian law in the Darfur region, in particular the continuation of violence against civilians and sexual violence against women and girls since the adoption of resolution 1574 (2004), urging all parties to take necessary steps to prevent further violations, and expressing its determination to ensure that those responsible for all such violations are identified and brought to justice without delay,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w:t>
      </w:r>
      <w:r w:rsidRPr="004406D2">
        <w:rPr>
          <w:rFonts w:ascii="Times New Roman" w:eastAsia="Times New Roman" w:hAnsi="Times New Roman" w:cs="Times New Roman"/>
          <w:sz w:val="24"/>
          <w:szCs w:val="24"/>
          <w:lang w:val="en-US"/>
        </w:rPr>
        <w:t xml:space="preserve">the demands in resolutions 1556 (2004), 1564 (2004), and 1574 (2004), that all parties to the conflict in Darfur refrain from any violence against civilians and cooperate fully with the African Union Mission in Darfur,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Expressing </w:t>
      </w:r>
      <w:r w:rsidRPr="004406D2">
        <w:rPr>
          <w:rFonts w:ascii="Times New Roman" w:eastAsia="Times New Roman" w:hAnsi="Times New Roman" w:cs="Times New Roman"/>
          <w:sz w:val="24"/>
          <w:szCs w:val="24"/>
          <w:lang w:val="en-US"/>
        </w:rPr>
        <w:t>grave concern at the allegations of sexual exploitation and misconduct by United Nations personnel in United Nations established operations, and welcoming the Secretary-General’s 9 February 2005 letter to the Council in this regard, affirming there will be a zero-tolerance policy of sexual exploitation and abuse of any kind in all United Nations peacekeeping missions,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14.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the necessary measures to achieve actual compliance in UNMIS with the United Nations zero-tolerance policy on sexual exploitation and abuse, including the development of strategies and appropriate mechanisms to prevent, identify and respond to all forms of misconduct, including </w:t>
      </w:r>
      <w:r w:rsidRPr="004406D2">
        <w:rPr>
          <w:rFonts w:ascii="Times New Roman" w:eastAsia="Times New Roman" w:hAnsi="Times New Roman" w:cs="Times New Roman"/>
          <w:sz w:val="24"/>
          <w:szCs w:val="24"/>
          <w:lang w:val="en-US"/>
        </w:rPr>
        <w:lastRenderedPageBreak/>
        <w:t xml:space="preserve">sexual exploitation and abuse, and the enhancement of training for personnel to prevent misconduct and ensure full compliance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all necessary action in accordance with the Secretary-General’s Bulletin on special measures for protection from sexual exploitation and sexual abuse (ST/SGB/2003/13)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15. </w:t>
      </w:r>
      <w:r w:rsidRPr="004406D2">
        <w:rPr>
          <w:rFonts w:ascii="Times New Roman" w:eastAsia="Times New Roman" w:hAnsi="Times New Roman" w:cs="Times New Roman"/>
          <w:i/>
          <w:iCs/>
          <w:sz w:val="24"/>
          <w:szCs w:val="24"/>
          <w:lang w:val="en-US"/>
        </w:rPr>
        <w:t xml:space="preserve">Reaffirms </w:t>
      </w:r>
      <w:r w:rsidRPr="004406D2">
        <w:rPr>
          <w:rFonts w:ascii="Times New Roman" w:eastAsia="Times New Roman" w:hAnsi="Times New Roman" w:cs="Times New Roman"/>
          <w:sz w:val="24"/>
          <w:szCs w:val="24"/>
          <w:lang w:val="en-US"/>
        </w:rPr>
        <w:t>the importance of appropriate expertise on issues relating to gender in peacekeeping operations and post-conflict peacebuilding in accordance with resolution 1325 (2000), recalls the need to address violence against women and girls as a tool of warfare, and encourages UNMIS as well as the Sudanese parties to actively address these issues.</w:t>
      </w:r>
      <w:r>
        <w:rPr>
          <w:rFonts w:ascii="Times New Roman" w:eastAsia="Times New Roman" w:hAnsi="Times New Roman" w:cs="Times New Roman"/>
          <w:noProof/>
          <w:sz w:val="24"/>
          <w:szCs w:val="24"/>
        </w:rPr>
        <w:drawing>
          <wp:inline distT="0" distB="0" distL="0" distR="0">
            <wp:extent cx="151130" cy="142875"/>
            <wp:effectExtent l="19050" t="0" r="1270" b="0"/>
            <wp:docPr id="1406" name="Imagen 14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2005 on the Sudan, the UN Security Council: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Strongly condemning</w:t>
      </w:r>
      <w:r w:rsidRPr="004406D2">
        <w:rPr>
          <w:rFonts w:ascii="Times New Roman" w:eastAsia="Times New Roman" w:hAnsi="Times New Roman" w:cs="Times New Roman"/>
          <w:sz w:val="24"/>
          <w:szCs w:val="24"/>
          <w:lang w:val="en-US"/>
        </w:rPr>
        <w:t xml:space="preserve"> all violations of human rights and international humanitarian law in the Darfur region, in particular the continuation of violence against civilians and sexual violence against women and girls since the adoption of resolution 1574 (2004), </w:t>
      </w:r>
      <w:r w:rsidRPr="004406D2">
        <w:rPr>
          <w:rFonts w:ascii="Times New Roman" w:eastAsia="Times New Roman" w:hAnsi="Times New Roman" w:cs="Times New Roman"/>
          <w:i/>
          <w:iCs/>
          <w:sz w:val="24"/>
          <w:szCs w:val="24"/>
          <w:lang w:val="en-US"/>
        </w:rPr>
        <w:t>urging</w:t>
      </w:r>
      <w:r w:rsidRPr="004406D2">
        <w:rPr>
          <w:rFonts w:ascii="Times New Roman" w:eastAsia="Times New Roman" w:hAnsi="Times New Roman" w:cs="Times New Roman"/>
          <w:sz w:val="24"/>
          <w:szCs w:val="24"/>
          <w:lang w:val="en-US"/>
        </w:rPr>
        <w:t xml:space="preserve"> all parties to take necessary steps to prevent further violations, and expressing its determination to ensure that those responsible for all such violations are identified and brought to justice without delay.</w:t>
      </w:r>
      <w:r>
        <w:rPr>
          <w:rFonts w:ascii="Times New Roman" w:eastAsia="Times New Roman" w:hAnsi="Times New Roman" w:cs="Times New Roman"/>
          <w:noProof/>
          <w:sz w:val="24"/>
          <w:szCs w:val="24"/>
        </w:rPr>
        <w:drawing>
          <wp:inline distT="0" distB="0" distL="0" distR="0">
            <wp:extent cx="151130" cy="142875"/>
            <wp:effectExtent l="19050" t="0" r="1270" b="0"/>
            <wp:docPr id="1407" name="Imagen 14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concerning the Democratic Republic of the Congo,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w:t>
      </w:r>
      <w:r w:rsidRPr="004406D2">
        <w:rPr>
          <w:rFonts w:ascii="Times New Roman" w:eastAsia="Times New Roman" w:hAnsi="Times New Roman" w:cs="Times New Roman"/>
          <w:sz w:val="24"/>
          <w:szCs w:val="24"/>
          <w:lang w:val="en-US"/>
        </w:rPr>
        <w:t xml:space="preserve">that all the parties bear responsibility for ensuring security with respect to civilian populations, in particular women, children and other vulnerable persons, and </w:t>
      </w:r>
      <w:r w:rsidRPr="004406D2">
        <w:rPr>
          <w:rFonts w:ascii="Times New Roman" w:eastAsia="Times New Roman" w:hAnsi="Times New Roman" w:cs="Times New Roman"/>
          <w:i/>
          <w:iCs/>
          <w:sz w:val="24"/>
          <w:szCs w:val="24"/>
          <w:lang w:val="en-US"/>
        </w:rPr>
        <w:t xml:space="preserve">expressing concern </w:t>
      </w:r>
      <w:r w:rsidRPr="004406D2">
        <w:rPr>
          <w:rFonts w:ascii="Times New Roman" w:eastAsia="Times New Roman" w:hAnsi="Times New Roman" w:cs="Times New Roman"/>
          <w:sz w:val="24"/>
          <w:szCs w:val="24"/>
          <w:lang w:val="en-US"/>
        </w:rPr>
        <w:t>at the continuing levels of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408" name="Imagen 14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UNIFIL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09" name="Imagen 14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in Georgia,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UNOMIG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0" name="Imagen 14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between Eritrea and Ethiopia,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the necessary measures to achieve actual compliance in UNMEE with the United Nations zero-tolerance policy on sexual exploitation and abuse, including the development of strategies and appropriate mechanisms to prevent, identify and respond to all forms of misconduct, including </w:t>
      </w:r>
      <w:r w:rsidRPr="004406D2">
        <w:rPr>
          <w:rFonts w:ascii="Times New Roman" w:eastAsia="Times New Roman" w:hAnsi="Times New Roman" w:cs="Times New Roman"/>
          <w:sz w:val="24"/>
          <w:szCs w:val="24"/>
          <w:lang w:val="en-US"/>
        </w:rPr>
        <w:lastRenderedPageBreak/>
        <w:t xml:space="preserve">sexual exploitation and abuse, and the enhancement of training for personnel to prevent misconduct and ensure full compliance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to take all necessary action in accordance with the Secretary-General’s Bulletin on special measures for protection from sexual exploitation and sexual abuse (ST/SGB/2003/13) and to keep the Council informed, and urges troop-contributing countries to take appropriate preventive action including the conduct of pre-deployment awareness training, and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1" name="Imagen 14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in Liberia,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the efforts undertaken by UNMIL to implement the Secretary-General’s zero tolerance policy on sexual exploitation and abuse and to ensure full compliance of its personnel with the United Nations code of conduct, and requests the Secretary-General to take all necessary action in this regard and to keep the Security Council informed, and urges troop-contributing countries to take appropriate preventive action, including the conduct of pre-deployment awareness training, and to take disciplinary action and other action to ensure that allegations of sexual exploitation or abuse against their personnel are properly investigated and, if substantiated, punished.</w:t>
      </w:r>
      <w:r>
        <w:rPr>
          <w:rFonts w:ascii="Times New Roman" w:eastAsia="Times New Roman" w:hAnsi="Times New Roman" w:cs="Times New Roman"/>
          <w:noProof/>
          <w:sz w:val="24"/>
          <w:szCs w:val="24"/>
        </w:rPr>
        <w:drawing>
          <wp:inline distT="0" distB="0" distL="0" distR="0">
            <wp:extent cx="151130" cy="142875"/>
            <wp:effectExtent l="19050" t="0" r="1270" b="0"/>
            <wp:docPr id="1412" name="Imagen 14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Sudan,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carefully to review the Secretary-General’s letter of 24 March 2005 (A/59/710) and to take appropriate action to prevent sexual exploitation and abuse by their personnel in UNMIS, including predeployment awareness training, and to take disciplinary action and other action to ensure full accountability in cases of such misconduct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3" name="Imagen 14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in the Democratic Republic of the Congo,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action taken by MONUC in investigating and dealing with instances of sexual exploitation and abuse and its efforts to put in place preventive measures,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achieve actual compliance in MONUC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pre-deployment awareness training,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4" name="Imagen 14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the United Nations Disengagement Observer Force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preventive and disciplinary action to ensure that such acts are properly investigated and punished in cases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5" name="Imagen 14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UNIFIL to implement the Secretary-General’s zero tolerance policy on sexual exploitation and abuse and to ensure full compliance of its personnel with the United Nations code of conduct, requests the Secretary-General to continue to take all necessary action in this regard and to keep the Security Council informed, and urges troop-contributing countries to take appropriate </w:t>
      </w:r>
      <w:r w:rsidRPr="004406D2">
        <w:rPr>
          <w:rFonts w:ascii="Times New Roman" w:eastAsia="Times New Roman" w:hAnsi="Times New Roman" w:cs="Times New Roman"/>
          <w:sz w:val="24"/>
          <w:szCs w:val="24"/>
          <w:lang w:val="en-US"/>
        </w:rPr>
        <w:lastRenderedPageBreak/>
        <w:t>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6" name="Imagen 14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Georgia,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UNOMIG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7" name="Imagen 14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protection of civilians in armed conflict,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5. </w:t>
      </w:r>
      <w:r w:rsidRPr="004406D2">
        <w:rPr>
          <w:rFonts w:ascii="Times New Roman" w:eastAsia="Times New Roman" w:hAnsi="Times New Roman" w:cs="Times New Roman"/>
          <w:i/>
          <w:iCs/>
          <w:sz w:val="24"/>
          <w:szCs w:val="24"/>
          <w:lang w:val="en-US"/>
        </w:rPr>
        <w:t xml:space="preserve">Reaffirms also </w:t>
      </w:r>
      <w:r w:rsidRPr="004406D2">
        <w:rPr>
          <w:rFonts w:ascii="Times New Roman" w:eastAsia="Times New Roman" w:hAnsi="Times New Roman" w:cs="Times New Roman"/>
          <w:sz w:val="24"/>
          <w:szCs w:val="24"/>
          <w:lang w:val="en-US"/>
        </w:rPr>
        <w:t>its condemnation in the strongest terms of all acts of violence or abuses committed against civilians in situations of armed conflict in violation of applicable international obligations with respect in particular to … (ii) gender-based and sexual violence … and demands that all parties put an end to such practices;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19. </w:t>
      </w:r>
      <w:r w:rsidRPr="004406D2">
        <w:rPr>
          <w:rFonts w:ascii="Times New Roman" w:eastAsia="Times New Roman" w:hAnsi="Times New Roman" w:cs="Times New Roman"/>
          <w:i/>
          <w:iCs/>
          <w:sz w:val="24"/>
          <w:szCs w:val="24"/>
          <w:lang w:val="en-US"/>
        </w:rPr>
        <w:t xml:space="preserve">Condemns in the strongest terms </w:t>
      </w:r>
      <w:r w:rsidRPr="004406D2">
        <w:rPr>
          <w:rFonts w:ascii="Times New Roman" w:eastAsia="Times New Roman" w:hAnsi="Times New Roman" w:cs="Times New Roman"/>
          <w:sz w:val="24"/>
          <w:szCs w:val="24"/>
          <w:lang w:val="en-US"/>
        </w:rPr>
        <w:t xml:space="preserve">all sexual and other forms of violence committed against civilians in armed conflict, in particular women and children, and </w:t>
      </w:r>
      <w:r w:rsidRPr="004406D2">
        <w:rPr>
          <w:rFonts w:ascii="Times New Roman" w:eastAsia="Times New Roman" w:hAnsi="Times New Roman" w:cs="Times New Roman"/>
          <w:i/>
          <w:iCs/>
          <w:sz w:val="24"/>
          <w:szCs w:val="24"/>
          <w:lang w:val="en-US"/>
        </w:rPr>
        <w:t xml:space="preserve">undertakes </w:t>
      </w:r>
      <w:r w:rsidRPr="004406D2">
        <w:rPr>
          <w:rFonts w:ascii="Times New Roman" w:eastAsia="Times New Roman" w:hAnsi="Times New Roman" w:cs="Times New Roman"/>
          <w:sz w:val="24"/>
          <w:szCs w:val="24"/>
          <w:lang w:val="en-US"/>
        </w:rPr>
        <w:t>to ensure that all peace support operations employ all feasible measures to prevent such violence and to address its impact where it takes place;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20. </w:t>
      </w:r>
      <w:r w:rsidRPr="004406D2">
        <w:rPr>
          <w:rFonts w:ascii="Times New Roman" w:eastAsia="Times New Roman" w:hAnsi="Times New Roman" w:cs="Times New Roman"/>
          <w:i/>
          <w:iCs/>
          <w:sz w:val="24"/>
          <w:szCs w:val="24"/>
          <w:lang w:val="en-US"/>
        </w:rPr>
        <w:t xml:space="preserve">Condemns in equally strong terms </w:t>
      </w:r>
      <w:r w:rsidRPr="004406D2">
        <w:rPr>
          <w:rFonts w:ascii="Times New Roman" w:eastAsia="Times New Roman" w:hAnsi="Times New Roman" w:cs="Times New Roman"/>
          <w:sz w:val="24"/>
          <w:szCs w:val="24"/>
          <w:lang w:val="en-US"/>
        </w:rPr>
        <w:t xml:space="preserve">all acts of sexual exploitation, abuse and trafficking of women and children by military, police and civilian personnel involved in United Nations operations, </w:t>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undertaken by United Nations agencies and peacekeeping operations to implement a zero-tolerance policy in this regard, and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and personnel-contributing countries to continue to take all appropriate action necessary to combat these abuses by such personnel, including through the full implementation without delay of those measures adopted in the relevant General Assembly resolutions based upon the recommendations of the report of the Special Committee on Peacekeeping, A/59/19/Rev.1.</w:t>
      </w:r>
      <w:r>
        <w:rPr>
          <w:rFonts w:ascii="Times New Roman" w:eastAsia="Times New Roman" w:hAnsi="Times New Roman" w:cs="Times New Roman"/>
          <w:noProof/>
          <w:sz w:val="24"/>
          <w:szCs w:val="24"/>
        </w:rPr>
        <w:drawing>
          <wp:inline distT="0" distB="0" distL="0" distR="0">
            <wp:extent cx="151130" cy="142875"/>
            <wp:effectExtent l="19050" t="0" r="1270" b="0"/>
            <wp:docPr id="1418" name="Imagen 14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concerning Western Sahara,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achieve actual compliance in MINURSO with the United Nations zero-tolerance policy on sexual exploitation and abuse, including the development of strategies and appropriate mechanisms to prevent, identify and respond to all forms of misconduct, including sexual exploitation and abuse, and the enhancement of training for personnel to prevent misconduct and ensure full compliance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all necessary action in accordance with the Secretary-General’s Bulletin on special measures for protection from sexual exploitation and sexual abuse (ST/SGB/2003/13)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19" name="Imagen 14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the United Nations Disengagement Observer </w:t>
      </w:r>
      <w:r w:rsidRPr="004406D2">
        <w:rPr>
          <w:rFonts w:ascii="Times New Roman" w:eastAsia="Times New Roman" w:hAnsi="Times New Roman" w:cs="Times New Roman"/>
          <w:sz w:val="24"/>
          <w:szCs w:val="24"/>
          <w:lang w:val="en-US"/>
        </w:rPr>
        <w:lastRenderedPageBreak/>
        <w:t xml:space="preserve">Force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preventive and disciplinary action to ensure that such acts are properly investigated and punished in cases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0" name="Imagen 14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Cyprus,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UNFICYP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1" name="Imagen 14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Timor-Leste,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the necessary measures to achieve actual compliance in UNMIT with the United Nations zero-tolerance policy on sexual exploitation and abuse, including the development of strategies and appropriate mechanisms to prevent, identify and respond to all forms of misconduct, including sexual exploitation and abuse, and the enhancement of training for personnel to prevent misconduct and ensure full compliance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all necessary action in accordance with the Secretary-General’s Bulletin on special measures for protection from sexual exploitation and sexual abuse (ST/SGB/2003/13)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2" name="Imagen 14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Sudan, the UN Security Council reiterated “its strong condemnation of all violations of human rights and international humanitarian law in Darfur” and called upon “the Government of National Unity to take urgent action to tackle gender-based violence in Darfur”.</w:t>
      </w:r>
      <w:r>
        <w:rPr>
          <w:rFonts w:ascii="Times New Roman" w:eastAsia="Times New Roman" w:hAnsi="Times New Roman" w:cs="Times New Roman"/>
          <w:noProof/>
          <w:sz w:val="24"/>
          <w:szCs w:val="24"/>
        </w:rPr>
        <w:drawing>
          <wp:inline distT="0" distB="0" distL="0" distR="0">
            <wp:extent cx="151130" cy="142875"/>
            <wp:effectExtent l="19050" t="0" r="1270" b="0"/>
            <wp:docPr id="1423" name="Imagen 14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Liberia,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undertaken by UNMIL to implement the Secretary-General’s zero tolerance policy on sexual exploitation and abuse and to ensure full compliance of its personnel with the United Nations code of conduct, and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and other action to ensure that allegations of sexual exploitation or abuse against their personnel are properly investigated and, if substantiated, punished.</w:t>
      </w:r>
      <w:r>
        <w:rPr>
          <w:rFonts w:ascii="Times New Roman" w:eastAsia="Times New Roman" w:hAnsi="Times New Roman" w:cs="Times New Roman"/>
          <w:noProof/>
          <w:sz w:val="24"/>
          <w:szCs w:val="24"/>
        </w:rPr>
        <w:drawing>
          <wp:inline distT="0" distB="0" distL="0" distR="0">
            <wp:extent cx="151130" cy="142875"/>
            <wp:effectExtent l="19050" t="0" r="1270" b="0"/>
            <wp:docPr id="1424" name="Imagen 14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Georgia,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UNOMIG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 xml:space="preserve">troop-contributing countries to take appropriate preventive action including the conduct of pre-deployment awareness training, and to </w:t>
      </w:r>
      <w:r w:rsidRPr="004406D2">
        <w:rPr>
          <w:rFonts w:ascii="Times New Roman" w:eastAsia="Times New Roman" w:hAnsi="Times New Roman" w:cs="Times New Roman"/>
          <w:sz w:val="24"/>
          <w:szCs w:val="24"/>
          <w:lang w:val="en-US"/>
        </w:rPr>
        <w:lastRenderedPageBreak/>
        <w:t>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5" name="Imagen 14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concerning Western Sahara,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to continue to take the necessary measures to ensure full compliance in MINURSO with the United Nations zero-tolerance policy on sexual exploitation and abuse and to keep the Council informed, and urges troop-contributing countries to take appropriate preventive action including pre-deployment awareness training,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6" name="Imagen 14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situation in Cyprus,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UNFICYP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7" name="Imagen 14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2006 on the situation in the Middle East, the UN Security Council: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the United Nations Disengagement Observer Force to implement the Secretary-General’s zero-tolerance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preventive and disciplinary action to ensure that such acts are properly investigated and punished in cases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28" name="Imagen 14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question concerning Haiti,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17. </w:t>
      </w:r>
      <w:r w:rsidRPr="004406D2">
        <w:rPr>
          <w:rFonts w:ascii="Times New Roman" w:eastAsia="Times New Roman" w:hAnsi="Times New Roman" w:cs="Times New Roman"/>
          <w:i/>
          <w:iCs/>
          <w:sz w:val="24"/>
          <w:szCs w:val="24"/>
          <w:lang w:val="en-US"/>
        </w:rPr>
        <w:t xml:space="preserve">Strongly condemns </w:t>
      </w:r>
      <w:r w:rsidRPr="004406D2">
        <w:rPr>
          <w:rFonts w:ascii="Times New Roman" w:eastAsia="Times New Roman" w:hAnsi="Times New Roman" w:cs="Times New Roman"/>
          <w:sz w:val="24"/>
          <w:szCs w:val="24"/>
          <w:lang w:val="en-US"/>
        </w:rPr>
        <w:t>the grave violations against children affected by armed violence, as well as widespread rape and other sexual abuse of girls;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22.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ensure full compliance of all MINUSTAH personnel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ensure that acts involving their personnel are properly investigated and punished.</w:t>
      </w:r>
      <w:r>
        <w:rPr>
          <w:rFonts w:ascii="Times New Roman" w:eastAsia="Times New Roman" w:hAnsi="Times New Roman" w:cs="Times New Roman"/>
          <w:noProof/>
          <w:sz w:val="24"/>
          <w:szCs w:val="24"/>
        </w:rPr>
        <w:drawing>
          <wp:inline distT="0" distB="0" distL="0" distR="0">
            <wp:extent cx="151130" cy="142875"/>
            <wp:effectExtent l="19050" t="0" r="1270" b="0"/>
            <wp:docPr id="1429" name="Imagen 14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2007 on the situation in Timor-Leste, the UN Security Council: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Reaffirming </w:t>
      </w:r>
      <w:r w:rsidRPr="004406D2">
        <w:rPr>
          <w:rFonts w:ascii="Times New Roman" w:eastAsia="Times New Roman" w:hAnsi="Times New Roman" w:cs="Times New Roman"/>
          <w:sz w:val="24"/>
          <w:szCs w:val="24"/>
          <w:lang w:val="en-US"/>
        </w:rPr>
        <w:t>its resolutions 1325 (2000) on women, peace and security and 1502 (2003) on the protection of humanitarian and United Nations personnel,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12.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UNMIT fully to take into account gender considerations as set out in Security Council resolution 1325 as a cross-cutting issue throughout its mandate, and </w:t>
      </w:r>
      <w:r w:rsidRPr="004406D2">
        <w:rPr>
          <w:rFonts w:ascii="Times New Roman" w:eastAsia="Times New Roman" w:hAnsi="Times New Roman" w:cs="Times New Roman"/>
          <w:i/>
          <w:iCs/>
          <w:sz w:val="24"/>
          <w:szCs w:val="24"/>
          <w:lang w:val="en-US"/>
        </w:rPr>
        <w:t xml:space="preserve">further requests </w:t>
      </w:r>
      <w:r w:rsidRPr="004406D2">
        <w:rPr>
          <w:rFonts w:ascii="Times New Roman" w:eastAsia="Times New Roman" w:hAnsi="Times New Roman" w:cs="Times New Roman"/>
          <w:sz w:val="24"/>
          <w:szCs w:val="24"/>
          <w:lang w:val="en-US"/>
        </w:rPr>
        <w:t>the Secretary-General to include in his reporting to the Security Council progress on gender mainstreaming throughout UNMIT and all other aspects relating to the situation of women and girls, especially in relation to the need to protect them from gender-based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13.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ensure </w:t>
      </w:r>
      <w:r w:rsidRPr="004406D2">
        <w:rPr>
          <w:rFonts w:ascii="Times New Roman" w:eastAsia="Times New Roman" w:hAnsi="Times New Roman" w:cs="Times New Roman"/>
          <w:sz w:val="24"/>
          <w:szCs w:val="24"/>
          <w:lang w:val="en-US"/>
        </w:rPr>
        <w:lastRenderedPageBreak/>
        <w:t xml:space="preserve">full compliance in UNMIT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those countries contributing troops and police to take appropriate preventive action and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0" name="Imagen 14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Georgia,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to continue to take the necessary measures to ensure full compliance of all UNOMIG personnel with the United Nations zero-tolerance policy on sexual exploitation and abuse and to keep the Council informed, and urges troop-contributing countries to ensure that acts involving their personnel are properly investigated and punished.</w:t>
      </w:r>
      <w:r>
        <w:rPr>
          <w:rFonts w:ascii="Times New Roman" w:eastAsia="Times New Roman" w:hAnsi="Times New Roman" w:cs="Times New Roman"/>
          <w:noProof/>
          <w:sz w:val="24"/>
          <w:szCs w:val="24"/>
        </w:rPr>
        <w:drawing>
          <wp:inline distT="0" distB="0" distL="0" distR="0">
            <wp:extent cx="151130" cy="142875"/>
            <wp:effectExtent l="19050" t="0" r="1270" b="0"/>
            <wp:docPr id="1431" name="Imagen 14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concerning Western Sahara,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to continue to take the necessary measures to ensure full compliance in MINURSO with the United Nations zero-tolerance policy on sexual exploitation and abuse and to keep the Council informed, and urges troop-contributing countries to take appropriate preventive action including pre-deployment awareness training,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2" name="Imagen 14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Sudan,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ensure full compliance in UNMIS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pre-deployment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3" name="Imagen 14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concerning the Democratic Republic of the Congo,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Expressing </w:t>
      </w:r>
      <w:r w:rsidRPr="004406D2">
        <w:rPr>
          <w:rFonts w:ascii="Times New Roman" w:eastAsia="Times New Roman" w:hAnsi="Times New Roman" w:cs="Times New Roman"/>
          <w:sz w:val="24"/>
          <w:szCs w:val="24"/>
          <w:lang w:val="en-US"/>
        </w:rPr>
        <w:t xml:space="preserve">grave concern at the allegations of sexual exploitation and violence by civilian and military personnel of MONUC, </w:t>
      </w:r>
      <w:r w:rsidRPr="004406D2">
        <w:rPr>
          <w:rFonts w:ascii="Times New Roman" w:eastAsia="Times New Roman" w:hAnsi="Times New Roman" w:cs="Times New Roman"/>
          <w:i/>
          <w:iCs/>
          <w:sz w:val="24"/>
          <w:szCs w:val="24"/>
          <w:lang w:val="en-US"/>
        </w:rPr>
        <w:t xml:space="preserve">taking note </w:t>
      </w:r>
      <w:r w:rsidRPr="004406D2">
        <w:rPr>
          <w:rFonts w:ascii="Times New Roman" w:eastAsia="Times New Roman" w:hAnsi="Times New Roman" w:cs="Times New Roman"/>
          <w:sz w:val="24"/>
          <w:szCs w:val="24"/>
          <w:lang w:val="en-US"/>
        </w:rPr>
        <w:t xml:space="preserve">of the measures taken by MONUC to address instances of sexual exploitation and abuse and of the zero tolerance policy reiterated by the Secretary General during his recent visit to the Democratic Republic of the Congo,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fully investigate these allegations, to take the appropriate measures set out in the Secretary-General’s bulletin on special measures for protection from sexual exploitation and sexual abuse (ST/SGB/2003/13), and to keep the Council informed, </w:t>
      </w:r>
      <w:r w:rsidRPr="004406D2">
        <w:rPr>
          <w:rFonts w:ascii="Times New Roman" w:eastAsia="Times New Roman" w:hAnsi="Times New Roman" w:cs="Times New Roman"/>
          <w:i/>
          <w:iCs/>
          <w:sz w:val="24"/>
          <w:szCs w:val="24"/>
          <w:lang w:val="en-US"/>
        </w:rPr>
        <w:t xml:space="preserve">underlines </w:t>
      </w:r>
      <w:r w:rsidRPr="004406D2">
        <w:rPr>
          <w:rFonts w:ascii="Times New Roman" w:eastAsia="Times New Roman" w:hAnsi="Times New Roman" w:cs="Times New Roman"/>
          <w:sz w:val="24"/>
          <w:szCs w:val="24"/>
          <w:lang w:val="en-US"/>
        </w:rPr>
        <w:t xml:space="preserve">the importance of MONUC conducting training for the personnel concerned in order to ensure full compliance with its Code of Conduct regarding sexual misconduct,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disciplinary and other action to ensure full accountability in cases of such misconduct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4" name="Imagen 14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Cyprus,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the efforts being undertaken by UNFICYP to implement the Secretary-General’s zero tolerance policy on sexual exploitation and abuse and to ensure full compliance of its personnel with the United Nations code of conduct, requests the Secretary-General to continue to take all necessary action in this regard and to keep the Security Council informed, and urges 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5" name="Imagen 14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the United Nations Disengagement Observer </w:t>
      </w:r>
      <w:r w:rsidRPr="004406D2">
        <w:rPr>
          <w:rFonts w:ascii="Times New Roman" w:eastAsia="Times New Roman" w:hAnsi="Times New Roman" w:cs="Times New Roman"/>
          <w:sz w:val="24"/>
          <w:szCs w:val="24"/>
          <w:lang w:val="en-US"/>
        </w:rPr>
        <w:lastRenderedPageBreak/>
        <w:t xml:space="preserve">Force to implement the Secretary-General’s zero-tolerance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preventive and disciplinary action to ensure that such acts are properly investigated and punished in cases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6" name="Imagen 14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Sudan,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to take the necessary measures to achieve actual compliance in UNAMID with the United Nations zero-tolerance policy on sexual exploitation and abuse, including the development of strategies and appropriate mechanisms to prevent, identify and respond to all forms of misconduct, including sexual exploitation and abuse, and the enhancement of training for personnel to prevent misconduct and ensure full compliance with the United Nations code of conduct, and to further take all necessary action in accordance with the Secretary-General’s Bulletin on special measures for pr otection from sexual exploitation and sexual abuse (ST/SGB/2003/13) and to keep the Council informed, and urges troop-contributing countries to take appropriate preventive action including the conduct of pre-deployment awareness training and, in the case of forces previously deployed under AU auspices, post-deployment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7" name="Imagen 14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UNIFIL to implement the Secretary-General’s zero-tolerance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preventive and disciplinary action to ensure that such acts are properly investigated and punished in cases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38" name="Imagen 14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Liberia, the UN Security Council welcomed “UNMIL’s continuing efforts to promote and protect the rights of women” and called on the Liberian authorities to “combat gender-based violence, sexual exploitation and abuse”.</w:t>
      </w:r>
      <w:r>
        <w:rPr>
          <w:rFonts w:ascii="Times New Roman" w:eastAsia="Times New Roman" w:hAnsi="Times New Roman" w:cs="Times New Roman"/>
          <w:noProof/>
          <w:sz w:val="24"/>
          <w:szCs w:val="24"/>
        </w:rPr>
        <w:drawing>
          <wp:inline distT="0" distB="0" distL="0" distR="0">
            <wp:extent cx="151130" cy="142875"/>
            <wp:effectExtent l="19050" t="0" r="1270" b="0"/>
            <wp:docPr id="1439" name="Imagen 14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Haiti,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ensure full compliance of all MINUSTAH personnel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ensure that acts involving their personnel are properly investigated and punished.</w:t>
      </w:r>
      <w:r>
        <w:rPr>
          <w:rFonts w:ascii="Times New Roman" w:eastAsia="Times New Roman" w:hAnsi="Times New Roman" w:cs="Times New Roman"/>
          <w:noProof/>
          <w:sz w:val="24"/>
          <w:szCs w:val="24"/>
        </w:rPr>
        <w:drawing>
          <wp:inline distT="0" distB="0" distL="0" distR="0">
            <wp:extent cx="151130" cy="142875"/>
            <wp:effectExtent l="19050" t="0" r="1270" b="0"/>
            <wp:docPr id="1440" name="Imagen 14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Georgia,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UNOMIG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41" name="Imagen 14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Western Sahara situation,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lastRenderedPageBreak/>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ensure full compliance in MINURSO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appropriate preventive action including pre-deployment awareness training,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42" name="Imagen 14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Sudan,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Secretary-General to continue to take the necessary measures to ensure full compliance in UNMIS with the United Nations zero-tolerance policy on sexual exploitation and abuse and to keep the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appropriate preventive action including pre-deployment awareness training,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43" name="Imagen 14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the Middle East,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the United Nations Disengagement Observer Force to implement the Secretary-General’s zero-tolerance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preventive and disciplinary action to ensure that such acts are properly investigated and punished in cases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44" name="Imagen 14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Cyprus,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 xml:space="preserve">the efforts being undertaken by UNFICYP to implement the Secretary-General’s zero tolerance policy on sexual exploitation and abuse and to ensure full compliance of its personnel with the United Nations code of conduct, </w:t>
      </w:r>
      <w:r w:rsidRPr="004406D2">
        <w:rPr>
          <w:rFonts w:ascii="Times New Roman" w:eastAsia="Times New Roman" w:hAnsi="Times New Roman" w:cs="Times New Roman"/>
          <w:i/>
          <w:iCs/>
          <w:sz w:val="24"/>
          <w:szCs w:val="24"/>
          <w:lang w:val="en-US"/>
        </w:rPr>
        <w:t>requests</w:t>
      </w:r>
      <w:r w:rsidRPr="004406D2">
        <w:rPr>
          <w:rFonts w:ascii="Times New Roman" w:eastAsia="Times New Roman" w:hAnsi="Times New Roman" w:cs="Times New Roman"/>
          <w:sz w:val="24"/>
          <w:szCs w:val="24"/>
          <w:lang w:val="en-US"/>
        </w:rPr>
        <w:t xml:space="preserve"> the Secretary-General to continue to take all necessary action in this regard and to keep the Security Council informed, and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troop-contributing countries to take appropriate preventive action including the conduct of pre-deployment awareness training, and to take disciplinary action and other action to ensure full accountability in cases of such 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45" name="Imagen 14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the Democratic Republic of the Congo, the UN Security Council: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Condemning </w:t>
      </w:r>
      <w:r w:rsidRPr="004406D2">
        <w:rPr>
          <w:rFonts w:ascii="Times New Roman" w:eastAsia="Times New Roman" w:hAnsi="Times New Roman" w:cs="Times New Roman"/>
          <w:sz w:val="24"/>
          <w:szCs w:val="24"/>
          <w:lang w:val="en-US"/>
        </w:rPr>
        <w:t xml:space="preserve">in particular sexual violence perpetrated by militias and armed groups as well as elements of the FARDC, the PNC and other security and intelligence services, </w:t>
      </w:r>
      <w:r w:rsidRPr="004406D2">
        <w:rPr>
          <w:rFonts w:ascii="Times New Roman" w:eastAsia="Times New Roman" w:hAnsi="Times New Roman" w:cs="Times New Roman"/>
          <w:i/>
          <w:iCs/>
          <w:sz w:val="24"/>
          <w:szCs w:val="24"/>
          <w:lang w:val="en-US"/>
        </w:rPr>
        <w:t xml:space="preserve">stressing </w:t>
      </w:r>
      <w:r w:rsidRPr="004406D2">
        <w:rPr>
          <w:rFonts w:ascii="Times New Roman" w:eastAsia="Times New Roman" w:hAnsi="Times New Roman" w:cs="Times New Roman"/>
          <w:sz w:val="24"/>
          <w:szCs w:val="24"/>
          <w:lang w:val="en-US"/>
        </w:rPr>
        <w:t xml:space="preserve">the urgent need for the Government of the Democratic Republic of the Congo, in cooperation with MONUC and other relevant actors, to end such violence and bring the perpetrators, as well as the senior commanders under whom they serve, to justice, and </w:t>
      </w:r>
      <w:r w:rsidRPr="004406D2">
        <w:rPr>
          <w:rFonts w:ascii="Times New Roman" w:eastAsia="Times New Roman" w:hAnsi="Times New Roman" w:cs="Times New Roman"/>
          <w:i/>
          <w:iCs/>
          <w:sz w:val="24"/>
          <w:szCs w:val="24"/>
          <w:lang w:val="en-US"/>
        </w:rPr>
        <w:t xml:space="preserve">calling on </w:t>
      </w:r>
      <w:r w:rsidRPr="004406D2">
        <w:rPr>
          <w:rFonts w:ascii="Times New Roman" w:eastAsia="Times New Roman" w:hAnsi="Times New Roman" w:cs="Times New Roman"/>
          <w:sz w:val="24"/>
          <w:szCs w:val="24"/>
          <w:lang w:val="en-US"/>
        </w:rPr>
        <w:t>Member States to assist in this regard and to continue to provide medical, humanitarian and other assistance to victims,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15. </w:t>
      </w:r>
      <w:r w:rsidRPr="004406D2">
        <w:rPr>
          <w:rFonts w:ascii="Times New Roman" w:eastAsia="Times New Roman" w:hAnsi="Times New Roman" w:cs="Times New Roman"/>
          <w:i/>
          <w:iCs/>
          <w:sz w:val="24"/>
          <w:szCs w:val="24"/>
          <w:lang w:val="en-US"/>
        </w:rPr>
        <w:t xml:space="preserve">Reiterates </w:t>
      </w:r>
      <w:r w:rsidRPr="004406D2">
        <w:rPr>
          <w:rFonts w:ascii="Times New Roman" w:eastAsia="Times New Roman" w:hAnsi="Times New Roman" w:cs="Times New Roman"/>
          <w:sz w:val="24"/>
          <w:szCs w:val="24"/>
          <w:lang w:val="en-US"/>
        </w:rPr>
        <w:t xml:space="preserve">its call upon the Congolese authorities to put an end to impunity, by bringing to justice without delay perpetrators of grave violations of human rights and of international humanitarian law, with special attention to … grave violations against women and children, in particular sexual violence, …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18.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MONUC, in view of the scale and severity of sexual violence committed especially by armed elements in the Democratic Republic of the Congo, to undertake a thorough review of its efforts to prevent and respond to sexual violence, and to pursue a comprehensive mission-wide strategy, in close cooperation with the United Nations </w:t>
      </w:r>
      <w:r w:rsidRPr="004406D2">
        <w:rPr>
          <w:rFonts w:ascii="Times New Roman" w:eastAsia="Times New Roman" w:hAnsi="Times New Roman" w:cs="Times New Roman"/>
          <w:sz w:val="24"/>
          <w:szCs w:val="24"/>
          <w:lang w:val="en-US"/>
        </w:rPr>
        <w:lastRenderedPageBreak/>
        <w:t>Country Team and other partners, to strengthen prevention, protection, and response to sexual violence, including through training for the Congolese security forces in accordance with its mandate, and to regularly report, including in a separate annex if necessary, on actions taken in this regard, including factual data and trend analyses of the problem.</w:t>
      </w:r>
      <w:r>
        <w:rPr>
          <w:rFonts w:ascii="Times New Roman" w:eastAsia="Times New Roman" w:hAnsi="Times New Roman" w:cs="Times New Roman"/>
          <w:noProof/>
          <w:sz w:val="24"/>
          <w:szCs w:val="24"/>
        </w:rPr>
        <w:drawing>
          <wp:inline distT="0" distB="0" distL="0" distR="0">
            <wp:extent cx="151130" cy="142875"/>
            <wp:effectExtent l="19050" t="0" r="1270" b="0"/>
            <wp:docPr id="1446" name="Imagen 14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situation in Sierra Leone, the UN Security Council welcomed “the efforts undertaken by UNIOSIL to implement the Secretary-General’s zero-tolerance policy on sexual exploitation and abuse to ensure full compliance of its personnel with the United Nations code of conduct”.</w:t>
      </w:r>
      <w:r>
        <w:rPr>
          <w:rFonts w:ascii="Times New Roman" w:eastAsia="Times New Roman" w:hAnsi="Times New Roman" w:cs="Times New Roman"/>
          <w:noProof/>
          <w:sz w:val="24"/>
          <w:szCs w:val="24"/>
        </w:rPr>
        <w:drawing>
          <wp:inline distT="0" distB="0" distL="0" distR="0">
            <wp:extent cx="151130" cy="142875"/>
            <wp:effectExtent l="19050" t="0" r="1270" b="0"/>
            <wp:docPr id="1447" name="Imagen 14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1998, in a statement by its President on Sierra Leone, the UN Security Council condemned as gross violations of IHL “atrocities against the civilian population, particularly women and children”, including widespread rape.</w:t>
      </w:r>
      <w:r>
        <w:rPr>
          <w:rFonts w:ascii="Times New Roman" w:eastAsia="Times New Roman" w:hAnsi="Times New Roman" w:cs="Times New Roman"/>
          <w:noProof/>
          <w:sz w:val="24"/>
          <w:szCs w:val="24"/>
        </w:rPr>
        <w:drawing>
          <wp:inline distT="0" distB="0" distL="0" distR="0">
            <wp:extent cx="151130" cy="142875"/>
            <wp:effectExtent l="19050" t="0" r="1270" b="0"/>
            <wp:docPr id="1448" name="Imagen 14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1998, in a statement by its President on children and armed conflict, the UN Security Council strongly condemned the sexual abuse of children.</w:t>
      </w:r>
      <w:r>
        <w:rPr>
          <w:rFonts w:ascii="Times New Roman" w:eastAsia="Times New Roman" w:hAnsi="Times New Roman" w:cs="Times New Roman"/>
          <w:noProof/>
          <w:sz w:val="24"/>
          <w:szCs w:val="24"/>
        </w:rPr>
        <w:drawing>
          <wp:inline distT="0" distB="0" distL="0" distR="0">
            <wp:extent cx="151130" cy="142875"/>
            <wp:effectExtent l="19050" t="0" r="1270" b="0"/>
            <wp:docPr id="1449" name="Imagen 14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2004, in a statement by its President on the situation in the Darfur region of Sudan, the UN Security Council expressed its deep concern “at the continuing reports of large-scale violations of human rights and of international humanitarian law in Darfur, including indiscriminate attacks on civilians, sexual violence, forced displacement and acts of violence”.</w:t>
      </w:r>
      <w:r>
        <w:rPr>
          <w:rFonts w:ascii="Times New Roman" w:eastAsia="Times New Roman" w:hAnsi="Times New Roman" w:cs="Times New Roman"/>
          <w:noProof/>
          <w:sz w:val="24"/>
          <w:szCs w:val="24"/>
        </w:rPr>
        <w:drawing>
          <wp:inline distT="0" distB="0" distL="0" distR="0">
            <wp:extent cx="151130" cy="142875"/>
            <wp:effectExtent l="19050" t="0" r="1270" b="0"/>
            <wp:docPr id="1450" name="Imagen 14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2004, in a statement by its President on women and peace and security,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strongly condemns the continued acts of gender-based violence in situations of armed conflict. The Council also condemns all violations of the human rights of women and girls in situations of armed conflict and the use of sexual exploitation, violence and abuse. The Council urges the complete cessation by all parties of such acts with immediate effect. The Council stresses the need to end impunity for such acts as part of a comprehensive approach to seeking peace, justice, truth and national reconciliation. The Council welcomes the efforts of the United Nations system to establish and implement strategies and programmes to prevent and report on gender-based violence, and urges the Secretary-General to further his efforts in this regard. The Council requests the Secretary-General to ensure that human rights monitors and members of commissions of inquiry have the necessary expertise and training in gender-based crimes and in the conduct of investigations, including in a culturally sensitive manner favourable to the needs, dignity and rights of the victims. The Council urges all international and national courts specifically established to prosecute war-related crimes to provide gender expertise, gender training for all staff and gender-sensitive programmes for victims and witness protection. The Council emphasizes the urgent need for programmes that provide support to survivors of gender-based violence. The Council further requests that appropriate attention is given to the issue of gender-based violence in all future reports to the Council.</w:t>
      </w:r>
      <w:r>
        <w:rPr>
          <w:rFonts w:ascii="Times New Roman" w:eastAsia="Times New Roman" w:hAnsi="Times New Roman" w:cs="Times New Roman"/>
          <w:noProof/>
          <w:sz w:val="24"/>
          <w:szCs w:val="24"/>
        </w:rPr>
        <w:drawing>
          <wp:inline distT="0" distB="0" distL="0" distR="0">
            <wp:extent cx="151130" cy="142875"/>
            <wp:effectExtent l="19050" t="0" r="1270" b="0"/>
            <wp:docPr id="1451" name="Imagen 14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2004, in a statement by its President on the protection of civilians in armed conflict,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strongly condemns the increased use of sexual and gender-based violence as a weapon of war as well as the recruitment and use of child soldiers by parties to armed conflict in violation of international obligations applicable to them … It stresses the importance of developing strategies aimed at preventing and responding to sexual and gender-based violence, through the improvement in the design of peacekeeping and assessment missions by, inter alia, the inclusion of gender and child protection advisers. It stresses also the importance for women and children subject to exploitation and sexual violence to receive adequate assistance and support.</w:t>
      </w:r>
      <w:r>
        <w:rPr>
          <w:rFonts w:ascii="Times New Roman" w:eastAsia="Times New Roman" w:hAnsi="Times New Roman" w:cs="Times New Roman"/>
          <w:noProof/>
          <w:sz w:val="24"/>
          <w:szCs w:val="24"/>
        </w:rPr>
        <w:drawing>
          <wp:inline distT="0" distB="0" distL="0" distR="0">
            <wp:extent cx="151130" cy="142875"/>
            <wp:effectExtent l="19050" t="0" r="1270" b="0"/>
            <wp:docPr id="1452" name="Imagen 14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lastRenderedPageBreak/>
        <w:t>In 2005, in a statement by its President on UN peacekeeping operations,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is deeply concerned with the allegations of sexual misconduct by United Nations peacekeeping personnel. The distinguished and honourable record of accomplishment in United Nations peacekeeping is being tarnished by the acts of a few individuals.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condemns, in the strongest terms, all acts of sexual abuse and exploitation committed by United Nations peacekeeping personnel. The Council reiterates that sexual exploitation and abuse are unacceptable and have a detrimental effect on the fulfilment of mission mandates.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while confirming that the conduct and discipline of troops is primarily the responsibility of Troop Contributing Countries, recognizes the shared responsibility of the Secretary-General and all Member States to take every measure within their purview to prevent sexual exploitation and abuse by all categories of personnel in United Nations peacekeeping missions, to enforce United Nations standards of conduct in this regard. The Security Council reiterates the importance of ensuring that sexual exploitation and abuse are properly investigated and appropriately punished.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underlines that the provision of an environment in which sexual exploitation and abuse are not tolerated is primarily the responsibility of managers and commanders.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welcomes the comprehensive report on sexual exploitation and abuse by United Nations Peacekeeping Personnel (A/59/710), prepared by the Secretary-General’s Adviser on this issue, H.R.H. Prince Zeid Ra’ad Zeid Al-Hussein, Permanent Representative of the Hashemite Kingdom of Jordan to the United Nations. The Council also welcomes the report of the resumed session of the Special Committee on Peacekeeping (A/59/19/Add.1).</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urges the Secretary-General and Troop Contributing Countries to ensure that the recommendations of the Special Committee, which fall within their respective responsibilities, are implemented without delay.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will consider including relevant provisions for prevention, monitoring, investigation and reporting of misconduct cases in its resolutions establishing new mandates or renewing existing mandates. In this regard, the Security Council calls on the Secretary-General to include, in his regular reporting of peacekeeping missions, a summary of the preventive measures taken to implement a zero-tolerance policy and of the outcome of actions taken against personnel found culpable of sexual exploitation and abuse.</w:t>
      </w:r>
      <w:r>
        <w:rPr>
          <w:rFonts w:ascii="Times New Roman" w:eastAsia="Times New Roman" w:hAnsi="Times New Roman" w:cs="Times New Roman"/>
          <w:noProof/>
          <w:sz w:val="24"/>
          <w:szCs w:val="24"/>
        </w:rPr>
        <w:drawing>
          <wp:inline distT="0" distB="0" distL="0" distR="0">
            <wp:extent cx="151130" cy="142875"/>
            <wp:effectExtent l="19050" t="0" r="1270" b="0"/>
            <wp:docPr id="1453" name="Imagen 14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2005, in a statement by its President on the protection of civilians in armed conflict, the UN Security Council expressed “in particular its deep concern at the use of sexual violence as a weapon of war” and called upon “all States to put an end to impunity also in this regard”.</w:t>
      </w:r>
      <w:r>
        <w:rPr>
          <w:rFonts w:ascii="Times New Roman" w:eastAsia="Times New Roman" w:hAnsi="Times New Roman" w:cs="Times New Roman"/>
          <w:noProof/>
          <w:sz w:val="24"/>
          <w:szCs w:val="24"/>
        </w:rPr>
        <w:drawing>
          <wp:inline distT="0" distB="0" distL="0" distR="0">
            <wp:extent cx="151130" cy="142875"/>
            <wp:effectExtent l="19050" t="0" r="1270" b="0"/>
            <wp:docPr id="1454" name="Imagen 14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2005, in a statement by its President on women and peace and security,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condemns sexual and other forms of violence against women, including trafficking in persons, and calls upon all parties to armed conflict to ensure full and effective protection of women and emphasizes the necessity to end impunity of those responsible for gender-based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Security Council reiterates its condemnation, in the strongest terms, of all acts of sexual misconduct by all categories of personnel in United Nations Peacekeeping Missions. The Council welcomes the comprehensive report on sexual exploitation and </w:t>
      </w:r>
      <w:r w:rsidRPr="004406D2">
        <w:rPr>
          <w:rFonts w:ascii="Times New Roman" w:eastAsia="Times New Roman" w:hAnsi="Times New Roman" w:cs="Times New Roman"/>
          <w:sz w:val="24"/>
          <w:szCs w:val="24"/>
          <w:lang w:val="en-US"/>
        </w:rPr>
        <w:lastRenderedPageBreak/>
        <w:t>abuse by United Nations Peacekeeping Personnel (A/59/710). The Council also welcomes the report of the resumed session of the Special Committee on Peacekeeping (A/59/19/Add.1) and, taking into account resolution 59/300 of the General Assembly, urges the Secretary-General and troop-contributing countries to ensure that the recommendations of the Special Committee, which fall within their respective responsibilities, are implemented without delay. In this connection, the Council expresses its support to the efforts of the United Nations to fully implement codes of conduct and disciplinary procedures to prevent and respond to sexual exploitation and enhance monitoring and enforcement mechanisms, and notes the strategies and actions included in the System-wide Action Plan to fully implement those codes of conduct and disciplinary procedures. The Security Council urges troop-contributing countries to take appropriate preventive action, including the conduct of predeployment awareness training, and to take disciplinary action and other action to ensure full accountability in cases of misconduct involving their personnel.</w:t>
      </w:r>
      <w:r>
        <w:rPr>
          <w:rFonts w:ascii="Times New Roman" w:eastAsia="Times New Roman" w:hAnsi="Times New Roman" w:cs="Times New Roman"/>
          <w:noProof/>
          <w:sz w:val="24"/>
          <w:szCs w:val="24"/>
        </w:rPr>
        <w:drawing>
          <wp:inline distT="0" distB="0" distL="0" distR="0">
            <wp:extent cx="151130" cy="142875"/>
            <wp:effectExtent l="19050" t="0" r="1270" b="0"/>
            <wp:docPr id="1455" name="Imagen 14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2006, in a statement by its President on women and peace and security,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remains deeply concerned by the pervasiveness of all forms of violence against women in armed conflict, including killing, maiming, grave sexual violence, abductions and trafficking in persons. The Council reiterates its utmost condemnation of such practices and calls upon all parties to armed conflict to ensure full and effective protection of women, and emphasizes the necessity to end impunity of those responsible for gender-based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reiterates its condemnation, in the strongest terms, of all acts of sexual misconduct by all categories of personnel in United Nations Peacekeeping Missions. The Council urges the Secretary-General and troop-contributing countries to ensure the full implementation of the recommendations of the Special Committee on Peacekeeping operations (A/60/19). In this connection, the Council expresses its support for further efforts by the United Nations to fully implement codes of conduct and disciplinary procedures to prevent and respond to sexual exploitation and abuse, and enhance monitoring and enforcement mechanisms based on a zero-tolerance policy.</w:t>
      </w:r>
      <w:r>
        <w:rPr>
          <w:rFonts w:ascii="Times New Roman" w:eastAsia="Times New Roman" w:hAnsi="Times New Roman" w:cs="Times New Roman"/>
          <w:noProof/>
          <w:sz w:val="24"/>
          <w:szCs w:val="24"/>
        </w:rPr>
        <w:drawing>
          <wp:inline distT="0" distB="0" distL="0" distR="0">
            <wp:extent cx="151130" cy="142875"/>
            <wp:effectExtent l="19050" t="0" r="1270" b="0"/>
            <wp:docPr id="1456" name="Imagen 14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2006, in a statement by its President on children and armed conflict, the UN Security Council strongly condemned “the killing and maiming of children, rape and other sexual violence … by parties to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457" name="Imagen 14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2007, in a statement by its President on women and peace and security,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reaffirms also the need to implement fully international human rights and humanitarian law including the four Geneva Conventions that protect the rights of women and girls during and after conflicts.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remains deeply concerned by the pervasiveness of all forms of violence against women and girls in armed conflict, including killing, maiming, grave sexual violence, abductions and trafficking in persons. The Council reiterates its utmost condemnation of such practices and calls on all parties to armed conflict to take specific measures to protect women and girls from gender-based violence, particularly rape and other forms of sexual abuse, and all other forms of violence in situations of armed conflict.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The Security Council stresses the need to end impunity for acts of gender-based violence in situations of armed conflict and emphasizes the responsibility of all States to put an end to impunity and to prosecute those responsible for genocide, crimes against humanity, and war crimes including those relating to sexual and other violence against </w:t>
      </w:r>
      <w:r w:rsidRPr="004406D2">
        <w:rPr>
          <w:rFonts w:ascii="Times New Roman" w:eastAsia="Times New Roman" w:hAnsi="Times New Roman" w:cs="Times New Roman"/>
          <w:sz w:val="24"/>
          <w:szCs w:val="24"/>
          <w:lang w:val="en-US"/>
        </w:rPr>
        <w:lastRenderedPageBreak/>
        <w:t>women and girls, and in this regard stresses the need to exclude these crimes, where feasible from amnesty provisions.</w:t>
      </w:r>
      <w:r>
        <w:rPr>
          <w:rFonts w:ascii="Times New Roman" w:eastAsia="Times New Roman" w:hAnsi="Times New Roman" w:cs="Times New Roman"/>
          <w:noProof/>
          <w:sz w:val="24"/>
          <w:szCs w:val="24"/>
        </w:rPr>
        <w:drawing>
          <wp:inline distT="0" distB="0" distL="0" distR="0">
            <wp:extent cx="151130" cy="142875"/>
            <wp:effectExtent l="19050" t="0" r="1270" b="0"/>
            <wp:docPr id="1458" name="Imagen 14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2007, in a statement by its President on women and peace and security, the UN Security Council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strongly condemns all violations of international law, including international humanitarian law, human rights law and refugee law, committed against women and girls in situations of armed conflict, including killing, maiming, sexual violence, exploitation and abuse. In this regard, the Council urges the complete cessation by all parties of such acts with immediate effect.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The Security Council is deeply concerned that despite its repeated condemnation of all acts of violence, including killing, maiming, sexual violence, exploitation and abuse in situations of armed conflict, and despite its calls addressed to all parties to armed conflict for the cessation of such acts with immediate effect, and for the adoption of specific measures to protect women and girls from gender-based violence, particularly rape, and other forms of sexual abuse, as well as all other forms of violence, such acts remain pervasive, and in some situations have become systematic, and have reached appalling levels of atrocity. The Council stresses the need to end impunity for such acts as part of a comprehensive approach to seeking peace, justice, truth and national reconciliation.</w:t>
      </w:r>
      <w:r>
        <w:rPr>
          <w:rFonts w:ascii="Times New Roman" w:eastAsia="Times New Roman" w:hAnsi="Times New Roman" w:cs="Times New Roman"/>
          <w:noProof/>
          <w:sz w:val="24"/>
          <w:szCs w:val="24"/>
        </w:rPr>
        <w:drawing>
          <wp:inline distT="0" distB="0" distL="0" distR="0">
            <wp:extent cx="151130" cy="142875"/>
            <wp:effectExtent l="19050" t="0" r="1270" b="0"/>
            <wp:docPr id="1459" name="Imagen 14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General Assembly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1993, in a resolution proclaiming the UN Declaration on the Elimination of Violence against Women, the UN General Assembly stated: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States should condemn violence against women and should not invoke any custom, tradition or religious consideration to avoid their obligations with respect to its elimination. States should pursue by all appropriate means and without delay a policy of eliminating violence against women and, to this end, should: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Consider, where they have not yet done so, ratifying or acceding to the Convention on the Elimination of All Forms of Discrimination against Women or withdrawing reservations to that Convention;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Refrain from engaging in violence against women;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Exercise due diligence to prevent, investigate and, in accordance with national legislation, punish acts of violence against women, whether those acts are perpetrated by the State or by private persons;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Develop penal, civil, labour and administrative sanctions in domestic legislation to punish and redress the wrongs caused to women who are subjected to violence …</w:t>
      </w:r>
      <w:r>
        <w:rPr>
          <w:rFonts w:ascii="Times New Roman" w:eastAsia="Times New Roman" w:hAnsi="Times New Roman" w:cs="Times New Roman"/>
          <w:noProof/>
          <w:sz w:val="24"/>
          <w:szCs w:val="24"/>
        </w:rPr>
        <w:drawing>
          <wp:inline distT="0" distB="0" distL="0" distR="0">
            <wp:extent cx="151130" cy="142875"/>
            <wp:effectExtent l="19050" t="0" r="1270" b="0"/>
            <wp:docPr id="1460" name="Imagen 14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1993, the UN General Assembly strongly condemned the practice of rape and abuse of women and children in areas of armed conflict in the former Yugoslavia and emphasized “the particularly heinous nature of the crime of rape”. It considered that “the abhorrent practice of rape and abuse of women and children” constituted a war crime.</w:t>
      </w:r>
      <w:r>
        <w:rPr>
          <w:rFonts w:ascii="Times New Roman" w:eastAsia="Times New Roman" w:hAnsi="Times New Roman" w:cs="Times New Roman"/>
          <w:noProof/>
          <w:sz w:val="24"/>
          <w:szCs w:val="24"/>
        </w:rPr>
        <w:drawing>
          <wp:inline distT="0" distB="0" distL="0" distR="0">
            <wp:extent cx="151130" cy="142875"/>
            <wp:effectExtent l="19050" t="0" r="1270" b="0"/>
            <wp:docPr id="1461" name="Imagen 14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1994 on the situation of human rights in the Republic of Bosnia and Herzegovina, the Republic of Croatia and the Federal Republic of Yugoslavia (Serbia and Montenegro), the UN General Assembly expressed “its outrage that the systematic practice of rape continues to be used as a weapon of war against women and children and as an instrument of ethnic cleansing” and recognized that “rape in this context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1462" name="Imagen 14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1995 on rape and abuse of women in the areas of armed conflict in the former Yugoslavia,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1. Strongly condemns the abhorrent practice of rape and abuse of women and children in the areas of armed conflict in the former Yugoslavia, which constitutes a war crime;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lastRenderedPageBreak/>
        <w:t>2. Expresses its outrage that the systematic practice of rape has been used as a weapon of war and an instrument of ethnic cleansing against women and children in the Republic of Bosnia and Herzegovina;</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3. Reaffirms that rape in the conduct of armed conflict constitutes a war crime and that under certain circumstances it constitutes a crime against humanity and an act of genocide as defined in the Convention on the Prevention and Punishment of the Crime of Genocide, and calls upon States to take all measures required for the protection of women and children from such acts and to strengthen mechanisms to investigate and punish all those responsible and bring the perpetrators to justice.</w:t>
      </w:r>
      <w:r>
        <w:rPr>
          <w:rFonts w:ascii="Times New Roman" w:eastAsia="Times New Roman" w:hAnsi="Times New Roman" w:cs="Times New Roman"/>
          <w:noProof/>
          <w:sz w:val="24"/>
          <w:szCs w:val="24"/>
        </w:rPr>
        <w:drawing>
          <wp:inline distT="0" distB="0" distL="0" distR="0">
            <wp:extent cx="151130" cy="142875"/>
            <wp:effectExtent l="19050" t="0" r="1270" b="0"/>
            <wp:docPr id="1463" name="Imagen 14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1995 on the situation of human rights in the Republic of Bosnia and Herzegovina, the Republic of Croatia and the Federal Republic of Yugoslavia (Serbia and Montenegro), the UN General Assembly expressed its outrage that “the systematic practice of rape has been used as a weapon of war against women and children and as an instrument of ethnic cleansing, and recognizes that rape in this context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1464" name="Imagen 14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In a resolution adopted in 1996 on the rights of the child,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Reaffirms</w:t>
      </w:r>
      <w:r w:rsidRPr="004406D2">
        <w:rPr>
          <w:rFonts w:ascii="Times New Roman" w:eastAsia="Times New Roman" w:hAnsi="Times New Roman" w:cs="Times New Roman"/>
          <w:sz w:val="24"/>
          <w:szCs w:val="24"/>
          <w:lang w:val="en-US"/>
        </w:rPr>
        <w:t xml:space="preserve"> that rape in the conduct of armed conflict constitutes a war crime and that under certain circumstances it constitutes a crime against humanity and an act of genocide, as defined in the Convention on the Prevention and Punishment of the Crime of Genocide, and calls upon all States to take all measures required for the protection of women and children from all acts of gender-based violence, including rape, sexual exploitation and forced pregnancy, and to strengthen mechanisms to investigate and punish all those responsible and bring the perpetrators to justice.</w:t>
      </w:r>
      <w:r>
        <w:rPr>
          <w:rFonts w:ascii="Times New Roman" w:eastAsia="Times New Roman" w:hAnsi="Times New Roman" w:cs="Times New Roman"/>
          <w:noProof/>
          <w:sz w:val="24"/>
          <w:szCs w:val="24"/>
        </w:rPr>
        <w:drawing>
          <wp:inline distT="0" distB="0" distL="0" distR="0">
            <wp:extent cx="151130" cy="142875"/>
            <wp:effectExtent l="19050" t="0" r="1270" b="0"/>
            <wp:docPr id="1465" name="Imagen 14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In a resolution adopted in 1996 on Rwanda,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Expresses its deep concern</w:t>
      </w:r>
      <w:r w:rsidRPr="004406D2">
        <w:rPr>
          <w:rFonts w:ascii="Times New Roman" w:eastAsia="Times New Roman" w:hAnsi="Times New Roman" w:cs="Times New Roman"/>
          <w:sz w:val="24"/>
          <w:szCs w:val="24"/>
          <w:lang w:val="en-US"/>
        </w:rPr>
        <w:t xml:space="preserve"> at the intense suffering of the victims of genocide and crimes against humanity, [and] recognizes the ongoing suffering of their survivors, particularly the extremely high number of traumatized children and women victims of rape and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466" name="Imagen 14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the strengthening of the coordination of UN emergency humanitarian assistance,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the continued efforts to address the issue of sexual exploitation and sexual abuse in the context of humanitarian crises, and notes with interest the bulletin of the Secretary-General on special measures for protection from sexual exploitation and sexual abuse.</w:t>
      </w:r>
      <w:r>
        <w:rPr>
          <w:rFonts w:ascii="Times New Roman" w:eastAsia="Times New Roman" w:hAnsi="Times New Roman" w:cs="Times New Roman"/>
          <w:noProof/>
          <w:sz w:val="24"/>
          <w:szCs w:val="24"/>
        </w:rPr>
        <w:drawing>
          <wp:inline distT="0" distB="0" distL="0" distR="0">
            <wp:extent cx="151130" cy="142875"/>
            <wp:effectExtent l="19050" t="0" r="1270" b="0"/>
            <wp:docPr id="1467" name="Imagen 14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the safety and security of humanitarian personnel and protection of UN personnel, the UN General Assembly strongly condemned “other forms of violence, rape and sexual assault … to which those participating in humanitarian operations are increasingly exposed”.</w:t>
      </w:r>
      <w:r>
        <w:rPr>
          <w:rFonts w:ascii="Times New Roman" w:eastAsia="Times New Roman" w:hAnsi="Times New Roman" w:cs="Times New Roman"/>
          <w:noProof/>
          <w:sz w:val="24"/>
          <w:szCs w:val="24"/>
        </w:rPr>
        <w:drawing>
          <wp:inline distT="0" distB="0" distL="0" distR="0">
            <wp:extent cx="151130" cy="142875"/>
            <wp:effectExtent l="19050" t="0" r="1270" b="0"/>
            <wp:docPr id="1468" name="Imagen 14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special assistance for the economic recovery and reconstruction of the Democratic Republic of the Congo,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Strongly condemns </w:t>
      </w:r>
      <w:r w:rsidRPr="004406D2">
        <w:rPr>
          <w:rFonts w:ascii="Times New Roman" w:eastAsia="Times New Roman" w:hAnsi="Times New Roman" w:cs="Times New Roman"/>
          <w:sz w:val="24"/>
          <w:szCs w:val="24"/>
          <w:lang w:val="en-US"/>
        </w:rPr>
        <w:t>the acts of violence, including the latest massacres in Ituri, systematically perpetrated against civilians, including the massacres, as well as other atrocities and violations of international humanitarian law and human rights, in particular sexual violence against women and girls.</w:t>
      </w:r>
      <w:r>
        <w:rPr>
          <w:rFonts w:ascii="Times New Roman" w:eastAsia="Times New Roman" w:hAnsi="Times New Roman" w:cs="Times New Roman"/>
          <w:noProof/>
          <w:sz w:val="24"/>
          <w:szCs w:val="24"/>
        </w:rPr>
        <w:drawing>
          <wp:inline distT="0" distB="0" distL="0" distR="0">
            <wp:extent cx="151130" cy="142875"/>
            <wp:effectExtent l="19050" t="0" r="1270" b="0"/>
            <wp:docPr id="1469" name="Imagen 14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assistance to refugees, returnees and displaced persons in Africa,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19. </w:t>
      </w:r>
      <w:r w:rsidRPr="004406D2">
        <w:rPr>
          <w:rFonts w:ascii="Times New Roman" w:eastAsia="Times New Roman" w:hAnsi="Times New Roman" w:cs="Times New Roman"/>
          <w:i/>
          <w:iCs/>
          <w:sz w:val="24"/>
          <w:szCs w:val="24"/>
          <w:lang w:val="en-US"/>
        </w:rPr>
        <w:t xml:space="preserve">Condemns </w:t>
      </w:r>
      <w:r w:rsidRPr="004406D2">
        <w:rPr>
          <w:rFonts w:ascii="Times New Roman" w:eastAsia="Times New Roman" w:hAnsi="Times New Roman" w:cs="Times New Roman"/>
          <w:sz w:val="24"/>
          <w:szCs w:val="24"/>
          <w:lang w:val="en-US"/>
        </w:rPr>
        <w:t xml:space="preserve">any exploitation of refugees, especially their sexual abuse and exploitation, calls for those responsible for such deplorable acts to be brought to justice, welcomes in this regard the conclusion on protection from sexual abuse and exploitation adopted by the Executive Committee of the Programme of the United Nations High </w:t>
      </w:r>
      <w:r w:rsidRPr="004406D2">
        <w:rPr>
          <w:rFonts w:ascii="Times New Roman" w:eastAsia="Times New Roman" w:hAnsi="Times New Roman" w:cs="Times New Roman"/>
          <w:sz w:val="24"/>
          <w:szCs w:val="24"/>
          <w:lang w:val="en-US"/>
        </w:rPr>
        <w:lastRenderedPageBreak/>
        <w:t>Commissioner for Refugees at its fifty-fourth session, and notes with deep concern that inadequate protection and/or inappropriate assistance, particularly concerning the quantity and quality of food and other material assistance, increases the vulnerability of refugees and asylum-seekers to sexual abuse and exploitation;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20. </w:t>
      </w:r>
      <w:r w:rsidRPr="004406D2">
        <w:rPr>
          <w:rFonts w:ascii="Times New Roman" w:eastAsia="Times New Roman" w:hAnsi="Times New Roman" w:cs="Times New Roman"/>
          <w:i/>
          <w:iCs/>
          <w:sz w:val="24"/>
          <w:szCs w:val="24"/>
          <w:lang w:val="en-US"/>
        </w:rPr>
        <w:t xml:space="preserve">Welcomes </w:t>
      </w:r>
      <w:r w:rsidRPr="004406D2">
        <w:rPr>
          <w:rFonts w:ascii="Times New Roman" w:eastAsia="Times New Roman" w:hAnsi="Times New Roman" w:cs="Times New Roman"/>
          <w:sz w:val="24"/>
          <w:szCs w:val="24"/>
          <w:lang w:val="en-US"/>
        </w:rPr>
        <w:t>the decision of the Office of the High Commissioner to put in place a code of conduct for humanitarian personnel aimed at preventing the exploitation of refugees, especially in the area of sexual exploitation.</w:t>
      </w:r>
      <w:r>
        <w:rPr>
          <w:rFonts w:ascii="Times New Roman" w:eastAsia="Times New Roman" w:hAnsi="Times New Roman" w:cs="Times New Roman"/>
          <w:noProof/>
          <w:sz w:val="24"/>
          <w:szCs w:val="24"/>
        </w:rPr>
        <w:drawing>
          <wp:inline distT="0" distB="0" distL="0" distR="0">
            <wp:extent cx="151130" cy="142875"/>
            <wp:effectExtent l="19050" t="0" r="1270" b="0"/>
            <wp:docPr id="1470" name="Imagen 14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the girl child,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9. …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all States to enact and enforce legislation to protect girls from all forms of violence and exploitation, including … rape, … sexual abuse, sexual exploitation, child prostitution and child pornography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15. </w:t>
      </w:r>
      <w:r w:rsidRPr="004406D2">
        <w:rPr>
          <w:rFonts w:ascii="Times New Roman" w:eastAsia="Times New Roman" w:hAnsi="Times New Roman" w:cs="Times New Roman"/>
          <w:i/>
          <w:iCs/>
          <w:sz w:val="24"/>
          <w:szCs w:val="24"/>
          <w:lang w:val="en-US"/>
        </w:rPr>
        <w:t xml:space="preserve">Also urges </w:t>
      </w:r>
      <w:r w:rsidRPr="004406D2">
        <w:rPr>
          <w:rFonts w:ascii="Times New Roman" w:eastAsia="Times New Roman" w:hAnsi="Times New Roman" w:cs="Times New Roman"/>
          <w:sz w:val="24"/>
          <w:szCs w:val="24"/>
          <w:lang w:val="en-US"/>
        </w:rPr>
        <w:t>States to take special measures for the protection of girls affected by armed conflicts and in particular to protect them from sexually transmitted diseases, such as HIV/AIDS, gender-based violence, including rape and sexual abuse, and sexual exploitation, torture, abduction and forced labour, paying special attention to refugee and displaced girls, and to take into account the special needs of girls affected by armed conflict in the delivery of humanitarian assistance and disarmament, demobilization, rehabilitation assistance and reintegration processes;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16. </w:t>
      </w:r>
      <w:r w:rsidRPr="004406D2">
        <w:rPr>
          <w:rFonts w:ascii="Times New Roman" w:eastAsia="Times New Roman" w:hAnsi="Times New Roman" w:cs="Times New Roman"/>
          <w:i/>
          <w:iCs/>
          <w:sz w:val="24"/>
          <w:szCs w:val="24"/>
          <w:lang w:val="en-US"/>
        </w:rPr>
        <w:t xml:space="preserve">Deplores </w:t>
      </w:r>
      <w:r w:rsidRPr="004406D2">
        <w:rPr>
          <w:rFonts w:ascii="Times New Roman" w:eastAsia="Times New Roman" w:hAnsi="Times New Roman" w:cs="Times New Roman"/>
          <w:sz w:val="24"/>
          <w:szCs w:val="24"/>
          <w:lang w:val="en-US"/>
        </w:rPr>
        <w:t>all the cases of sexual exploitation and abuse of women and children, especially girls, in humanitarian crises, including those cases involving humanitarian workers and peacekeepers.</w:t>
      </w:r>
      <w:r>
        <w:rPr>
          <w:rFonts w:ascii="Times New Roman" w:eastAsia="Times New Roman" w:hAnsi="Times New Roman" w:cs="Times New Roman"/>
          <w:noProof/>
          <w:sz w:val="24"/>
          <w:szCs w:val="24"/>
        </w:rPr>
        <w:drawing>
          <wp:inline distT="0" distB="0" distL="0" distR="0">
            <wp:extent cx="151130" cy="142875"/>
            <wp:effectExtent l="19050" t="0" r="1270" b="0"/>
            <wp:docPr id="1471" name="Imagen 14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the rights of the child, the UN General Assembly called upon all States to take all necessary measures, including legal reforms where appropriate: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To eliminate all forms of discrimination against girls and all forms of violence, including … rape, sexual abuse … by enacting and enforcing legislation and, where appropriate, formulating comprehensive, multidisciplinary and coordinated national plans, programmes or strategies protecting girls.</w:t>
      </w:r>
      <w:r>
        <w:rPr>
          <w:rFonts w:ascii="Times New Roman" w:eastAsia="Times New Roman" w:hAnsi="Times New Roman" w:cs="Times New Roman"/>
          <w:noProof/>
          <w:sz w:val="24"/>
          <w:szCs w:val="24"/>
        </w:rPr>
        <w:drawing>
          <wp:inline distT="0" distB="0" distL="0" distR="0">
            <wp:extent cx="151130" cy="142875"/>
            <wp:effectExtent l="19050" t="0" r="1270" b="0"/>
            <wp:docPr id="1472" name="Imagen 14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2003 on human rights and mass exoduses,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Condemns </w:t>
      </w:r>
      <w:r w:rsidRPr="004406D2">
        <w:rPr>
          <w:rFonts w:ascii="Times New Roman" w:eastAsia="Times New Roman" w:hAnsi="Times New Roman" w:cs="Times New Roman"/>
          <w:sz w:val="24"/>
          <w:szCs w:val="24"/>
          <w:lang w:val="en-US"/>
        </w:rPr>
        <w:t>all incidents of sexual exploitation and abuse and violence against refugees and internally displaced persons, [and] encourages Governments to adopt and implement initiatives aimed at preventing, and at addressing allegations of, sexual exploitation and abuse in emergency situations.</w:t>
      </w:r>
      <w:r>
        <w:rPr>
          <w:rFonts w:ascii="Times New Roman" w:eastAsia="Times New Roman" w:hAnsi="Times New Roman" w:cs="Times New Roman"/>
          <w:noProof/>
          <w:sz w:val="24"/>
          <w:szCs w:val="24"/>
        </w:rPr>
        <w:drawing>
          <wp:inline distT="0" distB="0" distL="0" distR="0">
            <wp:extent cx="151130" cy="142875"/>
            <wp:effectExtent l="19050" t="0" r="1270" b="0"/>
            <wp:docPr id="1473" name="Imagen 14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2003 on the situation of human rights in the Democratic Republic of the Congo,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 </w:t>
      </w:r>
      <w:r w:rsidRPr="004406D2">
        <w:rPr>
          <w:rFonts w:ascii="Times New Roman" w:eastAsia="Times New Roman" w:hAnsi="Times New Roman" w:cs="Times New Roman"/>
          <w:i/>
          <w:iCs/>
          <w:sz w:val="24"/>
          <w:szCs w:val="24"/>
          <w:lang w:val="en-US"/>
        </w:rPr>
        <w:t>Condemns</w:t>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f</w:t>
      </w:r>
      <w:r w:rsidRPr="004406D2">
        <w:rPr>
          <w:rFonts w:ascii="Times New Roman" w:eastAsia="Times New Roman" w:hAnsi="Times New Roman" w:cs="Times New Roman"/>
          <w:sz w:val="24"/>
          <w:szCs w:val="24"/>
          <w:lang w:val="en-US"/>
        </w:rPr>
        <w:t>) The widespread recourse to sexual violence against women and children, inter alia, as a means of warfare”;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4.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all parties to the conflict in the Democratic Republic of the Congo: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g</w:t>
      </w:r>
      <w:r w:rsidRPr="004406D2">
        <w:rPr>
          <w:rFonts w:ascii="Times New Roman" w:eastAsia="Times New Roman" w:hAnsi="Times New Roman" w:cs="Times New Roman"/>
          <w:sz w:val="24"/>
          <w:szCs w:val="24"/>
          <w:lang w:val="en-US"/>
        </w:rPr>
        <w:t>) To implement all necessary measures to put an end to the widespread violations of human rights and to impunity, in particular with regard to the sexual violence against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1474" name="Imagen 14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emergency international assistance for peace, normalcy and reconstruction of war-stricken Afghanistan,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Emphasizes again </w:t>
      </w:r>
      <w:r w:rsidRPr="004406D2">
        <w:rPr>
          <w:rFonts w:ascii="Times New Roman" w:eastAsia="Times New Roman" w:hAnsi="Times New Roman" w:cs="Times New Roman"/>
          <w:sz w:val="24"/>
          <w:szCs w:val="24"/>
          <w:lang w:val="en-US"/>
        </w:rPr>
        <w:t xml:space="preserve">the necessity of investigating allegations of current and past </w:t>
      </w:r>
      <w:r w:rsidRPr="004406D2">
        <w:rPr>
          <w:rFonts w:ascii="Times New Roman" w:eastAsia="Times New Roman" w:hAnsi="Times New Roman" w:cs="Times New Roman"/>
          <w:sz w:val="24"/>
          <w:szCs w:val="24"/>
          <w:lang w:val="en-US"/>
        </w:rPr>
        <w:lastRenderedPageBreak/>
        <w:t>violations of human rights and of international humanitarian law, including violations committed against persons belonging to ethnic and religious minorities, as well as against women and girls, of facilitating the provision of efficient and effective remedies to the victims and of bringing the perpetrators to justice in accordance with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475" name="Imagen 14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the strengthening of the coordination of UN emergency humanitarian assistance,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Gravely concerned </w:t>
      </w:r>
      <w:r w:rsidRPr="004406D2">
        <w:rPr>
          <w:rFonts w:ascii="Times New Roman" w:eastAsia="Times New Roman" w:hAnsi="Times New Roman" w:cs="Times New Roman"/>
          <w:sz w:val="24"/>
          <w:szCs w:val="24"/>
          <w:lang w:val="en-US"/>
        </w:rPr>
        <w:t>that violence, including sexual abuse and sexual and other violence against women, girls and boys, continues to be, in many emergency situations, deliberately directed against civilian populations,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13. </w:t>
      </w:r>
      <w:r w:rsidRPr="004406D2">
        <w:rPr>
          <w:rFonts w:ascii="Times New Roman" w:eastAsia="Times New Roman" w:hAnsi="Times New Roman" w:cs="Times New Roman"/>
          <w:i/>
          <w:iCs/>
          <w:sz w:val="24"/>
          <w:szCs w:val="24"/>
          <w:lang w:val="en-US"/>
        </w:rPr>
        <w:t xml:space="preserve">Strongly condemns </w:t>
      </w:r>
      <w:r w:rsidRPr="004406D2">
        <w:rPr>
          <w:rFonts w:ascii="Times New Roman" w:eastAsia="Times New Roman" w:hAnsi="Times New Roman" w:cs="Times New Roman"/>
          <w:sz w:val="24"/>
          <w:szCs w:val="24"/>
          <w:lang w:val="en-US"/>
        </w:rPr>
        <w:t>all acts of violence committed against civilian populations in situations of humanitarian crisis, especially against women, girls and boys, including sexual violence and abuse, and reiterates that such acts can constitute serious violations or grave breaches of international humanitarian law and constitute, in defined circumstances, a crime against humanity and/or a war crime;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19. </w:t>
      </w:r>
      <w:r w:rsidRPr="004406D2">
        <w:rPr>
          <w:rFonts w:ascii="Times New Roman" w:eastAsia="Times New Roman" w:hAnsi="Times New Roman" w:cs="Times New Roman"/>
          <w:i/>
          <w:iCs/>
          <w:sz w:val="24"/>
          <w:szCs w:val="24"/>
          <w:lang w:val="en-US"/>
        </w:rPr>
        <w:t xml:space="preserve">Expresses concern </w:t>
      </w:r>
      <w:r w:rsidRPr="004406D2">
        <w:rPr>
          <w:rFonts w:ascii="Times New Roman" w:eastAsia="Times New Roman" w:hAnsi="Times New Roman" w:cs="Times New Roman"/>
          <w:sz w:val="24"/>
          <w:szCs w:val="24"/>
          <w:lang w:val="en-US"/>
        </w:rPr>
        <w:t>about the continued occurrence of sexual exploitation and abuse in humanitarian crises, emphasizes that the highest standards of conduct and accountability are required of all personnel serving in humanitarian and peacekeeping operations, and requests the Secretary-General to report on measures to follow up, inter alia, the Plan of Action on Protection from Sexual Exploitation and Abuse in Humanitarian Crises developed by the Inter-Agency Standing Committee and the application of the bulletin of the Secretary-General on special measures for protection from sexual exploitation and sexual abuse.</w:t>
      </w:r>
      <w:r>
        <w:rPr>
          <w:rFonts w:ascii="Times New Roman" w:eastAsia="Times New Roman" w:hAnsi="Times New Roman" w:cs="Times New Roman"/>
          <w:noProof/>
          <w:sz w:val="24"/>
          <w:szCs w:val="24"/>
        </w:rPr>
        <w:drawing>
          <wp:inline distT="0" distB="0" distL="0" distR="0">
            <wp:extent cx="151130" cy="142875"/>
            <wp:effectExtent l="19050" t="0" r="1270" b="0"/>
            <wp:docPr id="1476" name="Imagen 14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the situation of human rights in the Democratic Republic of the Congo, the UN General Assembly urged all parties to the conflict in the Democratic Republic of the Congo:</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To take special measures to protect women and children from the appalling violence, including sexual violence, which has been and continues to be prevalent throughout the country, in particular in Ituri, North and South Kivu and other areas in the eastern part of the country, and condemns in particular the widespread use of sexual violence as a means of warfare.</w:t>
      </w:r>
      <w:r>
        <w:rPr>
          <w:rFonts w:ascii="Times New Roman" w:eastAsia="Times New Roman" w:hAnsi="Times New Roman" w:cs="Times New Roman"/>
          <w:noProof/>
          <w:sz w:val="24"/>
          <w:szCs w:val="24"/>
        </w:rPr>
        <w:drawing>
          <wp:inline distT="0" distB="0" distL="0" distR="0">
            <wp:extent cx="151130" cy="142875"/>
            <wp:effectExtent l="19050" t="0" r="1270" b="0"/>
            <wp:docPr id="1477" name="Imagen 14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the safety and security of humanitarian personnel and protection of UN personnel, the UN General Assembly strongly condemned “rape and sexual assault and all forms of violence committed in particular against women … to which those participating in humanitarian operations are increasingly exposed”.</w:t>
      </w:r>
      <w:r>
        <w:rPr>
          <w:rFonts w:ascii="Times New Roman" w:eastAsia="Times New Roman" w:hAnsi="Times New Roman" w:cs="Times New Roman"/>
          <w:noProof/>
          <w:sz w:val="24"/>
          <w:szCs w:val="24"/>
        </w:rPr>
        <w:drawing>
          <wp:inline distT="0" distB="0" distL="0" distR="0">
            <wp:extent cx="151130" cy="142875"/>
            <wp:effectExtent l="19050" t="0" r="1270" b="0"/>
            <wp:docPr id="1478" name="Imagen 14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the rights of the child, the UN General Assembly called upon States to “protect refugee, asylum-seeking and internally displaced children, in particular those who are unaccompanied, [and] who are particularly exposed to risks in connection with armed conflict, such as recruitment, sexual violence and exploitation”.</w:t>
      </w:r>
      <w:r>
        <w:rPr>
          <w:rFonts w:ascii="Times New Roman" w:eastAsia="Times New Roman" w:hAnsi="Times New Roman" w:cs="Times New Roman"/>
          <w:noProof/>
          <w:sz w:val="24"/>
          <w:szCs w:val="24"/>
        </w:rPr>
        <w:drawing>
          <wp:inline distT="0" distB="0" distL="0" distR="0">
            <wp:extent cx="151130" cy="142875"/>
            <wp:effectExtent l="19050" t="0" r="1270" b="0"/>
            <wp:docPr id="1479" name="Imagen 14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2004 on the situation of human rights in Myanmar, the UN General Assembly called upon the Government of Myanmar to “end the systematic violations of human rights in Myanmar, including … the use of rape and other forms of sexual violence persistently carried out by members of the armed forces”.</w:t>
      </w:r>
      <w:r>
        <w:rPr>
          <w:rFonts w:ascii="Times New Roman" w:eastAsia="Times New Roman" w:hAnsi="Times New Roman" w:cs="Times New Roman"/>
          <w:noProof/>
          <w:sz w:val="24"/>
          <w:szCs w:val="24"/>
        </w:rPr>
        <w:drawing>
          <wp:inline distT="0" distB="0" distL="0" distR="0">
            <wp:extent cx="151130" cy="142875"/>
            <wp:effectExtent l="19050" t="0" r="1270" b="0"/>
            <wp:docPr id="1480" name="Imagen 14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2005 on the 2005 World Summit Outcome, UN member States stated: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We strongly condemn all violations of the human rights of women and girls in situations of armed conflict and the use of sexual exploitation, violence and abuse, and </w:t>
      </w:r>
      <w:r w:rsidRPr="004406D2">
        <w:rPr>
          <w:rFonts w:ascii="Times New Roman" w:eastAsia="Times New Roman" w:hAnsi="Times New Roman" w:cs="Times New Roman"/>
          <w:sz w:val="24"/>
          <w:szCs w:val="24"/>
          <w:lang w:val="en-US"/>
        </w:rPr>
        <w:lastRenderedPageBreak/>
        <w:t>we commit ourselves to elaborating and implementing strategies to report on, prevent and punish gender-based violence.</w:t>
      </w:r>
      <w:r>
        <w:rPr>
          <w:rFonts w:ascii="Times New Roman" w:eastAsia="Times New Roman" w:hAnsi="Times New Roman" w:cs="Times New Roman"/>
          <w:noProof/>
          <w:sz w:val="24"/>
          <w:szCs w:val="24"/>
        </w:rPr>
        <w:drawing>
          <wp:inline distT="0" distB="0" distL="0" distR="0">
            <wp:extent cx="151130" cy="142875"/>
            <wp:effectExtent l="19050" t="0" r="1270" b="0"/>
            <wp:docPr id="1481" name="Imagen 14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emergency international assistance for peace, normalcy and reconstruction of war-stricken Afghanistan,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Continues to emphasize </w:t>
      </w:r>
      <w:r w:rsidRPr="004406D2">
        <w:rPr>
          <w:rFonts w:ascii="Times New Roman" w:eastAsia="Times New Roman" w:hAnsi="Times New Roman" w:cs="Times New Roman"/>
          <w:sz w:val="24"/>
          <w:szCs w:val="24"/>
          <w:lang w:val="en-US"/>
        </w:rPr>
        <w:t>the necessity of investigating allegations of current and past violations of human rights and of international humanitarian law, including violations committed against persons belonging to ethnic and religious minorities, as well as against women and girls, of facilitating the provision of efficient and effective remedies to the victims and of bringing the perpetrators to justice in accordance with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482" name="Imagen 14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safety and security of humanitarian personnel and protection of UN personnel, the UN General Assembly strongly condemned “rape and sexual assault and all forms of violence committed in particular against women … to which those participating in humanitarian operations are increasingly exposed”.</w:t>
      </w:r>
      <w:r>
        <w:rPr>
          <w:rFonts w:ascii="Times New Roman" w:eastAsia="Times New Roman" w:hAnsi="Times New Roman" w:cs="Times New Roman"/>
          <w:noProof/>
          <w:sz w:val="24"/>
          <w:szCs w:val="24"/>
        </w:rPr>
        <w:drawing>
          <wp:inline distT="0" distB="0" distL="0" distR="0">
            <wp:extent cx="151130" cy="142875"/>
            <wp:effectExtent l="19050" t="0" r="1270" b="0"/>
            <wp:docPr id="1483" name="Imagen 14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strengthening of the coordination of UN emergency humanitarian assistance,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Noting with grave concern </w:t>
      </w:r>
      <w:r w:rsidRPr="004406D2">
        <w:rPr>
          <w:rFonts w:ascii="Times New Roman" w:eastAsia="Times New Roman" w:hAnsi="Times New Roman" w:cs="Times New Roman"/>
          <w:sz w:val="24"/>
          <w:szCs w:val="24"/>
          <w:lang w:val="en-US"/>
        </w:rPr>
        <w:t>that violence, including sexual abuse and sexual and other violence against women, girls and boys, continues to be, in many emergency situations, deliberately directed against civilian populations,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5. </w:t>
      </w:r>
      <w:r w:rsidRPr="004406D2">
        <w:rPr>
          <w:rFonts w:ascii="Times New Roman" w:eastAsia="Times New Roman" w:hAnsi="Times New Roman" w:cs="Times New Roman"/>
          <w:i/>
          <w:iCs/>
          <w:sz w:val="24"/>
          <w:szCs w:val="24"/>
          <w:lang w:val="en-US"/>
        </w:rPr>
        <w:t xml:space="preserve">Also calls upon </w:t>
      </w:r>
      <w:r w:rsidRPr="004406D2">
        <w:rPr>
          <w:rFonts w:ascii="Times New Roman" w:eastAsia="Times New Roman" w:hAnsi="Times New Roman" w:cs="Times New Roman"/>
          <w:sz w:val="24"/>
          <w:szCs w:val="24"/>
          <w:lang w:val="en-US"/>
        </w:rPr>
        <w:t>States to elaborate and implement strategies to report on, prevent and punish all forms of violence against women, girls and boys, in particular sexual violence and abuse.</w:t>
      </w:r>
      <w:r>
        <w:rPr>
          <w:rFonts w:ascii="Times New Roman" w:eastAsia="Times New Roman" w:hAnsi="Times New Roman" w:cs="Times New Roman"/>
          <w:noProof/>
          <w:sz w:val="24"/>
          <w:szCs w:val="24"/>
        </w:rPr>
        <w:drawing>
          <wp:inline distT="0" distB="0" distL="0" distR="0">
            <wp:extent cx="151130" cy="142875"/>
            <wp:effectExtent l="19050" t="0" r="1270" b="0"/>
            <wp:docPr id="1484" name="Imagen 14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girl child,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Recognizing </w:t>
      </w:r>
      <w:r w:rsidRPr="004406D2">
        <w:rPr>
          <w:rFonts w:ascii="Times New Roman" w:eastAsia="Times New Roman" w:hAnsi="Times New Roman" w:cs="Times New Roman"/>
          <w:sz w:val="24"/>
          <w:szCs w:val="24"/>
          <w:lang w:val="en-US"/>
        </w:rPr>
        <w:t>the efforts of the international community to strengthen the standards for combating sexual abuse and exploitation, and in this regard taking note of the Secretary-General’s bulletin on special measures for protection from sexual exploitation and sexual abuse and other policies and codes of conduct developed by the United Nations system to prevent and address such incidents,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9. …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all States to enact and enforce legislation to protect girls from all forms of violence and exploitation, including … rape, … sexual abuse, sexual exploitation, child prostitution and child pornography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15. </w:t>
      </w:r>
      <w:r w:rsidRPr="004406D2">
        <w:rPr>
          <w:rFonts w:ascii="Times New Roman" w:eastAsia="Times New Roman" w:hAnsi="Times New Roman" w:cs="Times New Roman"/>
          <w:i/>
          <w:iCs/>
          <w:sz w:val="24"/>
          <w:szCs w:val="24"/>
          <w:lang w:val="en-US"/>
        </w:rPr>
        <w:t xml:space="preserve">Also urges </w:t>
      </w:r>
      <w:r w:rsidRPr="004406D2">
        <w:rPr>
          <w:rFonts w:ascii="Times New Roman" w:eastAsia="Times New Roman" w:hAnsi="Times New Roman" w:cs="Times New Roman"/>
          <w:sz w:val="24"/>
          <w:szCs w:val="24"/>
          <w:lang w:val="en-US"/>
        </w:rPr>
        <w:t>States to take special measures for the protection of girls affected by armed conflicts and by post-conflict situations and in particular to protect them from sexually transmitted diseases, such as HIV/AIDS, gender-based violence, including rape and sexual abuse, and sexual exploitation, torture, abduction and forced labour, paying special attention to refugee and displaced girls, and to take into account the special needs of girls affected by armed conflict in the delivery of humanitarian assistance and disarmament, demobilization, rehabilitation assistance and reintegration processes;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16. </w:t>
      </w:r>
      <w:r w:rsidRPr="004406D2">
        <w:rPr>
          <w:rFonts w:ascii="Times New Roman" w:eastAsia="Times New Roman" w:hAnsi="Times New Roman" w:cs="Times New Roman"/>
          <w:i/>
          <w:iCs/>
          <w:sz w:val="24"/>
          <w:szCs w:val="24"/>
          <w:lang w:val="en-US"/>
        </w:rPr>
        <w:t xml:space="preserve">Deplores </w:t>
      </w:r>
      <w:r w:rsidRPr="004406D2">
        <w:rPr>
          <w:rFonts w:ascii="Times New Roman" w:eastAsia="Times New Roman" w:hAnsi="Times New Roman" w:cs="Times New Roman"/>
          <w:sz w:val="24"/>
          <w:szCs w:val="24"/>
          <w:lang w:val="en-US"/>
        </w:rPr>
        <w:t>all the cases of sexual exploitation and abuse of women and children, especially girls, in humanitarian crises, including those cases involving humanitarian workers and peacekeepers.</w:t>
      </w:r>
      <w:r>
        <w:rPr>
          <w:rFonts w:ascii="Times New Roman" w:eastAsia="Times New Roman" w:hAnsi="Times New Roman" w:cs="Times New Roman"/>
          <w:noProof/>
          <w:sz w:val="24"/>
          <w:szCs w:val="24"/>
        </w:rPr>
        <w:drawing>
          <wp:inline distT="0" distB="0" distL="0" distR="0">
            <wp:extent cx="151130" cy="142875"/>
            <wp:effectExtent l="19050" t="0" r="1270" b="0"/>
            <wp:docPr id="1485" name="Imagen 14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situation of human rights in the Democratic Republic of the Congo,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4. Condemns: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xml:space="preserve">) The ongoing violations of human rights and international humanitarian law, particularly in North Kivu and South Kivu, northern Katanga and other areas in the eastern part of the Democratic Republic of the Congo, including armed violence and </w:t>
      </w:r>
      <w:r w:rsidRPr="004406D2">
        <w:rPr>
          <w:rFonts w:ascii="Times New Roman" w:eastAsia="Times New Roman" w:hAnsi="Times New Roman" w:cs="Times New Roman"/>
          <w:sz w:val="24"/>
          <w:szCs w:val="24"/>
          <w:lang w:val="en-US"/>
        </w:rPr>
        <w:lastRenderedPageBreak/>
        <w:t>reprisals against the civilian population and the recourse to sexual violence against women and children, including in situations where such practices are being used as a weapon of war;</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5.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all the parties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d</w:t>
      </w:r>
      <w:r w:rsidRPr="004406D2">
        <w:rPr>
          <w:rFonts w:ascii="Times New Roman" w:eastAsia="Times New Roman" w:hAnsi="Times New Roman" w:cs="Times New Roman"/>
          <w:sz w:val="24"/>
          <w:szCs w:val="24"/>
          <w:lang w:val="en-US"/>
        </w:rPr>
        <w:t>) To take special measures to protect women and children from the appalling violence, including sexual violence, which continues to be prevalent throughout the country, in particular in the eastern part of the country, and to bring the perpetrators of such crimes to justice as soon as possible, and condemns in particular the widespread use of sexual violence as a means of warfare;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8. </w:t>
      </w:r>
      <w:r w:rsidRPr="004406D2">
        <w:rPr>
          <w:rFonts w:ascii="Times New Roman" w:eastAsia="Times New Roman" w:hAnsi="Times New Roman" w:cs="Times New Roman"/>
          <w:i/>
          <w:iCs/>
          <w:sz w:val="24"/>
          <w:szCs w:val="24"/>
          <w:lang w:val="en-US"/>
        </w:rPr>
        <w:t>Urges</w:t>
      </w:r>
      <w:r w:rsidRPr="004406D2">
        <w:rPr>
          <w:rFonts w:ascii="Times New Roman" w:eastAsia="Times New Roman" w:hAnsi="Times New Roman" w:cs="Times New Roman"/>
          <w:sz w:val="24"/>
          <w:szCs w:val="24"/>
          <w:lang w:val="en-US"/>
        </w:rPr>
        <w:t xml:space="preserve"> the Secretary-General to continue his work aimed at eliminating sexual exploitation and abuse committed by personnel serving the United Nations Organization Mission in the Democratic Republic of the Congo.</w:t>
      </w:r>
      <w:r>
        <w:rPr>
          <w:rFonts w:ascii="Times New Roman" w:eastAsia="Times New Roman" w:hAnsi="Times New Roman" w:cs="Times New Roman"/>
          <w:noProof/>
          <w:sz w:val="24"/>
          <w:szCs w:val="24"/>
        </w:rPr>
        <w:drawing>
          <wp:inline distT="0" distB="0" distL="0" distR="0">
            <wp:extent cx="151130" cy="142875"/>
            <wp:effectExtent l="19050" t="0" r="1270" b="0"/>
            <wp:docPr id="1486" name="Imagen 14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2005 on the rights of the child,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13. </w:t>
      </w:r>
      <w:r w:rsidRPr="004406D2">
        <w:rPr>
          <w:rFonts w:ascii="Times New Roman" w:eastAsia="Times New Roman" w:hAnsi="Times New Roman" w:cs="Times New Roman"/>
          <w:i/>
          <w:iCs/>
          <w:sz w:val="24"/>
          <w:szCs w:val="24"/>
          <w:lang w:val="en-US"/>
        </w:rPr>
        <w:t>Condemns</w:t>
      </w:r>
      <w:r w:rsidRPr="004406D2">
        <w:rPr>
          <w:rFonts w:ascii="Times New Roman" w:eastAsia="Times New Roman" w:hAnsi="Times New Roman" w:cs="Times New Roman"/>
          <w:sz w:val="24"/>
          <w:szCs w:val="24"/>
          <w:lang w:val="en-US"/>
        </w:rPr>
        <w:t xml:space="preserve"> all forms of violence against children, including physical, mental and sexual violence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22. </w:t>
      </w:r>
      <w:r w:rsidRPr="004406D2">
        <w:rPr>
          <w:rFonts w:ascii="Times New Roman" w:eastAsia="Times New Roman" w:hAnsi="Times New Roman" w:cs="Times New Roman"/>
          <w:i/>
          <w:iCs/>
          <w:sz w:val="24"/>
          <w:szCs w:val="24"/>
          <w:lang w:val="en-US"/>
        </w:rPr>
        <w:t>Also calls upon</w:t>
      </w:r>
      <w:r w:rsidRPr="004406D2">
        <w:rPr>
          <w:rFonts w:ascii="Times New Roman" w:eastAsia="Times New Roman" w:hAnsi="Times New Roman" w:cs="Times New Roman"/>
          <w:sz w:val="24"/>
          <w:szCs w:val="24"/>
          <w:lang w:val="en-US"/>
        </w:rPr>
        <w:t xml:space="preserve"> States to protect refugee, asylum-seeking and internally displaced children, in particular those who are unaccompanied, who are particularly exposed to risks in connection with armed conflict, such as recruitment, sexual violence and exploitation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30. </w:t>
      </w:r>
      <w:r w:rsidRPr="004406D2">
        <w:rPr>
          <w:rFonts w:ascii="Times New Roman" w:eastAsia="Times New Roman" w:hAnsi="Times New Roman" w:cs="Times New Roman"/>
          <w:i/>
          <w:iCs/>
          <w:sz w:val="24"/>
          <w:szCs w:val="24"/>
          <w:lang w:val="en-US"/>
        </w:rPr>
        <w:t>Calls upon</w:t>
      </w:r>
      <w:r w:rsidRPr="004406D2">
        <w:rPr>
          <w:rFonts w:ascii="Times New Roman" w:eastAsia="Times New Roman" w:hAnsi="Times New Roman" w:cs="Times New Roman"/>
          <w:sz w:val="24"/>
          <w:szCs w:val="24"/>
          <w:lang w:val="en-US"/>
        </w:rPr>
        <w:t xml:space="preserve"> all States: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To criminalize and penalize effectively all forms of sexual exploitation and sexual abuse of children, including all acts of paedophilia, including within the family or for commercial purposes, child pornography and child prostitution, child sex tourism, trafficking in children, the sale of children and their organs and the use of the Internet for these purposes, and to take effective measures against the criminalization of children who are victims of exploitation.</w:t>
      </w:r>
      <w:r>
        <w:rPr>
          <w:rFonts w:ascii="Times New Roman" w:eastAsia="Times New Roman" w:hAnsi="Times New Roman" w:cs="Times New Roman"/>
          <w:noProof/>
          <w:sz w:val="24"/>
          <w:szCs w:val="24"/>
        </w:rPr>
        <w:drawing>
          <wp:inline distT="0" distB="0" distL="0" distR="0">
            <wp:extent cx="151130" cy="142875"/>
            <wp:effectExtent l="19050" t="0" r="1270" b="0"/>
            <wp:docPr id="1487" name="Imagen 14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2005 on the situation of human rights in Myanmar,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 Expresses grave concern at: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 violations suffered by persons belonging to ethnic nationalities, women and children, especially in non-ceasefire areas, including but not limited to … rape and other forms of sexual violence persistently carried out by members of the armed forces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3. </w:t>
      </w:r>
      <w:r w:rsidRPr="004406D2">
        <w:rPr>
          <w:rFonts w:ascii="Times New Roman" w:eastAsia="Times New Roman" w:hAnsi="Times New Roman" w:cs="Times New Roman"/>
          <w:i/>
          <w:iCs/>
          <w:sz w:val="24"/>
          <w:szCs w:val="24"/>
          <w:lang w:val="en-US"/>
        </w:rPr>
        <w:t>Strongly calls upon</w:t>
      </w:r>
      <w:r w:rsidRPr="004406D2">
        <w:rPr>
          <w:rFonts w:ascii="Times New Roman" w:eastAsia="Times New Roman" w:hAnsi="Times New Roman" w:cs="Times New Roman"/>
          <w:sz w:val="24"/>
          <w:szCs w:val="24"/>
          <w:lang w:val="en-US"/>
        </w:rPr>
        <w:t xml:space="preserve"> the Government of Myanmar:</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f</w:t>
      </w:r>
      <w:r w:rsidRPr="004406D2">
        <w:rPr>
          <w:rFonts w:ascii="Times New Roman" w:eastAsia="Times New Roman" w:hAnsi="Times New Roman" w:cs="Times New Roman"/>
          <w:sz w:val="24"/>
          <w:szCs w:val="24"/>
          <w:lang w:val="en-US"/>
        </w:rPr>
        <w:t>) To end widespread rape and other forms of sexual violence persistently carried out by members of the armed forces, in particular against women belonging to ethnic nationalities, and to investigate and bring to justice any perpetrators in order to end impunity for those acts;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l</w:t>
      </w:r>
      <w:r w:rsidRPr="004406D2">
        <w:rPr>
          <w:rFonts w:ascii="Times New Roman" w:eastAsia="Times New Roman" w:hAnsi="Times New Roman" w:cs="Times New Roman"/>
          <w:sz w:val="24"/>
          <w:szCs w:val="24"/>
          <w:lang w:val="en-US"/>
        </w:rPr>
        <w:t>) Without further delay, to cooperate fully with the Special Rapporteur to facilitate an independent international investigation of continuing reports of sexual violence and other abuse of civilians carried out by members of the armed forces.</w:t>
      </w:r>
      <w:r>
        <w:rPr>
          <w:rFonts w:ascii="Times New Roman" w:eastAsia="Times New Roman" w:hAnsi="Times New Roman" w:cs="Times New Roman"/>
          <w:noProof/>
          <w:sz w:val="24"/>
          <w:szCs w:val="24"/>
        </w:rPr>
        <w:drawing>
          <wp:inline distT="0" distB="0" distL="0" distR="0">
            <wp:extent cx="151130" cy="142875"/>
            <wp:effectExtent l="19050" t="0" r="1270" b="0"/>
            <wp:docPr id="1488" name="Imagen 14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2006 on a comprehensive review of a strategy to eliminate future sexual exploitation and abuse in UN peacekeeping operations, the UN General </w:t>
      </w:r>
      <w:r w:rsidRPr="004406D2">
        <w:rPr>
          <w:rFonts w:ascii="Times New Roman" w:eastAsia="Times New Roman" w:hAnsi="Times New Roman" w:cs="Times New Roman"/>
          <w:sz w:val="24"/>
          <w:szCs w:val="24"/>
          <w:lang w:val="en-US"/>
        </w:rPr>
        <w:lastRenderedPageBreak/>
        <w:t>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Reaffirming </w:t>
      </w:r>
      <w:r w:rsidRPr="004406D2">
        <w:rPr>
          <w:rFonts w:ascii="Times New Roman" w:eastAsia="Times New Roman" w:hAnsi="Times New Roman" w:cs="Times New Roman"/>
          <w:sz w:val="24"/>
          <w:szCs w:val="24"/>
          <w:lang w:val="en-US"/>
        </w:rPr>
        <w:t>its resolution 59/296 of 22 June 2005, as well as resolutions 59/300 and 60/263, and the need for the United Nations to implement its policy of zero tolerance of sexual exploitation and abuse in its peacekeeping operations as recommended by the Special Committee,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Affirming </w:t>
      </w:r>
      <w:r w:rsidRPr="004406D2">
        <w:rPr>
          <w:rFonts w:ascii="Times New Roman" w:eastAsia="Times New Roman" w:hAnsi="Times New Roman" w:cs="Times New Roman"/>
          <w:sz w:val="24"/>
          <w:szCs w:val="24"/>
          <w:lang w:val="en-US"/>
        </w:rPr>
        <w:t>the need for a comprehensive strategy of assistance to victims of sexual exploitation and abuse by United Nations staff or related personnel.</w:t>
      </w:r>
      <w:r>
        <w:rPr>
          <w:rFonts w:ascii="Times New Roman" w:eastAsia="Times New Roman" w:hAnsi="Times New Roman" w:cs="Times New Roman"/>
          <w:noProof/>
          <w:sz w:val="24"/>
          <w:szCs w:val="24"/>
        </w:rPr>
        <w:drawing>
          <wp:inline distT="0" distB="0" distL="0" distR="0">
            <wp:extent cx="151130" cy="142875"/>
            <wp:effectExtent l="19050" t="0" r="1270" b="0"/>
            <wp:docPr id="1489" name="Imagen 14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criminal accountability of UN officials and experts on mission,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w:t>
      </w:r>
      <w:r w:rsidRPr="004406D2">
        <w:rPr>
          <w:rFonts w:ascii="Times New Roman" w:eastAsia="Times New Roman" w:hAnsi="Times New Roman" w:cs="Times New Roman"/>
          <w:sz w:val="24"/>
          <w:szCs w:val="24"/>
          <w:lang w:val="en-US"/>
        </w:rPr>
        <w:t>its resolution 59/281 of 29 March 2005, in which it endorsed the recommendation in paragraph 56 of the report of the Special Committee on Peacekeeping Operations that the Secretary-General make available to the United Nations membership a comprehensive report on the issue of sexual exploitation and abuse in United Nations peacekeeping operations,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w:t>
      </w:r>
      <w:r w:rsidRPr="004406D2">
        <w:rPr>
          <w:rFonts w:ascii="Times New Roman" w:eastAsia="Times New Roman" w:hAnsi="Times New Roman" w:cs="Times New Roman"/>
          <w:sz w:val="24"/>
          <w:szCs w:val="24"/>
          <w:lang w:val="en-US"/>
        </w:rPr>
        <w:t>its resolution 59/300 of 22 June 2005 endorsing the recommendation of the Special Committee on Peacekeeping Operations that a group of legal experts be established to provide advice on the best way to proceed so as to ensure that the original intent of the Charter of the United Nations can be achieved, namely that United Nations staff and experts on mission would never be effectively exempt from the consequences of criminal acts committed at their duty station, nor unjustly penalized, in accordance with due process.</w:t>
      </w:r>
      <w:r>
        <w:rPr>
          <w:rFonts w:ascii="Times New Roman" w:eastAsia="Times New Roman" w:hAnsi="Times New Roman" w:cs="Times New Roman"/>
          <w:noProof/>
          <w:sz w:val="24"/>
          <w:szCs w:val="24"/>
        </w:rPr>
        <w:drawing>
          <wp:inline distT="0" distB="0" distL="0" distR="0">
            <wp:extent cx="151130" cy="142875"/>
            <wp:effectExtent l="19050" t="0" r="1270" b="0"/>
            <wp:docPr id="1490" name="Imagen 14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the intensification of efforts to eliminate all forms of violence against women, the UN General Assembly urged States to take action to eliminate all forms of violence against women and to this end:</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To protect women and girls in situations of armed conflict, post-conflict settings and refugee and internally displaced persons settings, where women are at greater risk of being targeted for violence and where their ability to seek and receive redress is often restricted, bearing in mind that peace is inextricably linked with equality between women and men and development, that armed and other types of conflicts and terrorism and hostage-taking still persist in many parts of the world and that aggression, foreign occupation and ethnic and other types of conflicts are an ongoing reality affecting women and men in nearly every region, [and] undertake efforts to eliminate impunity for all gender-based violence in situations of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491" name="Imagen 14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2006 on trafficking in women and girls,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Encourages </w:t>
      </w:r>
      <w:r w:rsidRPr="004406D2">
        <w:rPr>
          <w:rFonts w:ascii="Times New Roman" w:eastAsia="Times New Roman" w:hAnsi="Times New Roman" w:cs="Times New Roman"/>
          <w:sz w:val="24"/>
          <w:szCs w:val="24"/>
          <w:lang w:val="en-US"/>
        </w:rPr>
        <w:t>Governments, relevant intergovernmental bodies and international organizations to ensure that military, peacekeeping and humanitarian personnel deployed in conflict, post-conflict and other emergency situations are provided training on conduct that does not promote, facilitate or exploit trafficking in women and girls, including for sexual exploitation, and to raise the awareness of such personnel of the potential risks to victims of conflict and other emergency situations, including natural disasters, of being trafficked.</w:t>
      </w:r>
      <w:r>
        <w:rPr>
          <w:rFonts w:ascii="Times New Roman" w:eastAsia="Times New Roman" w:hAnsi="Times New Roman" w:cs="Times New Roman"/>
          <w:noProof/>
          <w:sz w:val="24"/>
          <w:szCs w:val="24"/>
        </w:rPr>
        <w:drawing>
          <wp:inline distT="0" distB="0" distL="0" distR="0">
            <wp:extent cx="151130" cy="142875"/>
            <wp:effectExtent l="19050" t="0" r="1270" b="0"/>
            <wp:docPr id="1492" name="Imagen 14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2006 on the rights of the child,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15. </w:t>
      </w:r>
      <w:r w:rsidRPr="004406D2">
        <w:rPr>
          <w:rFonts w:ascii="Times New Roman" w:eastAsia="Times New Roman" w:hAnsi="Times New Roman" w:cs="Times New Roman"/>
          <w:i/>
          <w:iCs/>
          <w:sz w:val="24"/>
          <w:szCs w:val="24"/>
          <w:lang w:val="en-US"/>
        </w:rPr>
        <w:t xml:space="preserve">Condemns </w:t>
      </w:r>
      <w:r w:rsidRPr="004406D2">
        <w:rPr>
          <w:rFonts w:ascii="Times New Roman" w:eastAsia="Times New Roman" w:hAnsi="Times New Roman" w:cs="Times New Roman"/>
          <w:sz w:val="24"/>
          <w:szCs w:val="24"/>
          <w:lang w:val="en-US"/>
        </w:rPr>
        <w:t xml:space="preserve">all forms of violence against children, and urges States to take effective legislative and other measures to prevent and eliminate all such violence, including physical, mental, psychological and sexual violence, torture, child abuse and exploitation, hostage-taking, domestic violence, trafficking in or sale of children and their organs, paedophilia, child prostitution, child pornography, child sex tourism, gang-related violence and harmful traditional practices in all settings;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lastRenderedPageBreak/>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22. </w:t>
      </w:r>
      <w:r w:rsidRPr="004406D2">
        <w:rPr>
          <w:rFonts w:ascii="Times New Roman" w:eastAsia="Times New Roman" w:hAnsi="Times New Roman" w:cs="Times New Roman"/>
          <w:i/>
          <w:iCs/>
          <w:sz w:val="24"/>
          <w:szCs w:val="24"/>
          <w:lang w:val="en-US"/>
        </w:rPr>
        <w:t xml:space="preserve">Calls upon </w:t>
      </w:r>
      <w:r w:rsidRPr="004406D2">
        <w:rPr>
          <w:rFonts w:ascii="Times New Roman" w:eastAsia="Times New Roman" w:hAnsi="Times New Roman" w:cs="Times New Roman"/>
          <w:sz w:val="24"/>
          <w:szCs w:val="24"/>
          <w:lang w:val="en-US"/>
        </w:rPr>
        <w:t>States to take all necessary measures, including legal reforms where appropriate, to eliminate all forms of discrimination against girls and all forms of violence, including female infanticide and prenatal sex selection, rape, sexual abuse and harmful traditional or customary practices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25. </w:t>
      </w:r>
      <w:r w:rsidRPr="004406D2">
        <w:rPr>
          <w:rFonts w:ascii="Times New Roman" w:eastAsia="Times New Roman" w:hAnsi="Times New Roman" w:cs="Times New Roman"/>
          <w:i/>
          <w:iCs/>
          <w:sz w:val="24"/>
          <w:szCs w:val="24"/>
          <w:lang w:val="en-US"/>
        </w:rPr>
        <w:t xml:space="preserve">Also calls upon </w:t>
      </w:r>
      <w:r w:rsidRPr="004406D2">
        <w:rPr>
          <w:rFonts w:ascii="Times New Roman" w:eastAsia="Times New Roman" w:hAnsi="Times New Roman" w:cs="Times New Roman"/>
          <w:sz w:val="24"/>
          <w:szCs w:val="24"/>
          <w:lang w:val="en-US"/>
        </w:rPr>
        <w:t>all States to protect refugee, asylum-seeking and internally displaced children, in particular those who are unaccompanied, who are particularly exposed to violence and risks in connection with armed conflict, such as recruitment, sexual violence and exploitation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34. </w:t>
      </w:r>
      <w:r w:rsidRPr="004406D2">
        <w:rPr>
          <w:rFonts w:ascii="Times New Roman" w:eastAsia="Times New Roman" w:hAnsi="Times New Roman" w:cs="Times New Roman"/>
          <w:i/>
          <w:iCs/>
          <w:sz w:val="24"/>
          <w:szCs w:val="24"/>
          <w:lang w:val="en-US"/>
        </w:rPr>
        <w:t xml:space="preserve">Calls upon </w:t>
      </w:r>
      <w:r w:rsidRPr="004406D2">
        <w:rPr>
          <w:rFonts w:ascii="Times New Roman" w:eastAsia="Times New Roman" w:hAnsi="Times New Roman" w:cs="Times New Roman"/>
          <w:sz w:val="24"/>
          <w:szCs w:val="24"/>
          <w:lang w:val="en-US"/>
        </w:rPr>
        <w:t>all 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To criminalize and penalize effectively all forms of sexual exploitation and sexual abuse of children, including all acts of paedophilia, including within the family or for commercial purposes, child pornography and child prostitution, child sex tourism, trafficking in children, the sale of children and the use of the Internet for these purposes, and to take effective measures against the criminalization of children who are victims of exploitation.</w:t>
      </w:r>
      <w:r>
        <w:rPr>
          <w:rFonts w:ascii="Times New Roman" w:eastAsia="Times New Roman" w:hAnsi="Times New Roman" w:cs="Times New Roman"/>
          <w:noProof/>
          <w:sz w:val="24"/>
          <w:szCs w:val="24"/>
        </w:rPr>
        <w:drawing>
          <wp:inline distT="0" distB="0" distL="0" distR="0">
            <wp:extent cx="151130" cy="142875"/>
            <wp:effectExtent l="19050" t="0" r="1270" b="0"/>
            <wp:docPr id="1493" name="Imagen 14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2006 on the situation of human rights in Myanmar,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2. Expresses grave concern at: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 violations suffered by persons belonging to ethnic nationalities of Myanmar, including extrajudicial killings, rape and other forms of sexual violence persistently carried out by members of the armed forces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3. </w:t>
      </w:r>
      <w:r w:rsidRPr="004406D2">
        <w:rPr>
          <w:rFonts w:ascii="Times New Roman" w:eastAsia="Times New Roman" w:hAnsi="Times New Roman" w:cs="Times New Roman"/>
          <w:i/>
          <w:iCs/>
          <w:sz w:val="24"/>
          <w:szCs w:val="24"/>
          <w:lang w:val="en-US"/>
        </w:rPr>
        <w:t>Strongly calls upon</w:t>
      </w:r>
      <w:r w:rsidRPr="004406D2">
        <w:rPr>
          <w:rFonts w:ascii="Times New Roman" w:eastAsia="Times New Roman" w:hAnsi="Times New Roman" w:cs="Times New Roman"/>
          <w:sz w:val="24"/>
          <w:szCs w:val="24"/>
          <w:lang w:val="en-US"/>
        </w:rPr>
        <w:t xml:space="preserve"> the Government of Myanmar:</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(b)</w:t>
      </w:r>
      <w:r w:rsidRPr="004406D2">
        <w:rPr>
          <w:rFonts w:ascii="Times New Roman" w:eastAsia="Times New Roman" w:hAnsi="Times New Roman" w:cs="Times New Roman"/>
          <w:sz w:val="24"/>
          <w:szCs w:val="24"/>
          <w:lang w:val="en-US"/>
        </w:rPr>
        <w:t xml:space="preserve"> To take urgent measures to put an end to the military operations targeting civilians in the ethnic areas, and the associated violations of human rights and humanitarian law against persons belonging to ethnic nationalities, including widespread rape and other forms of sexual violence persistently carried out by members of the armed forces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e</w:t>
      </w:r>
      <w:r w:rsidRPr="004406D2">
        <w:rPr>
          <w:rFonts w:ascii="Times New Roman" w:eastAsia="Times New Roman" w:hAnsi="Times New Roman" w:cs="Times New Roman"/>
          <w:sz w:val="24"/>
          <w:szCs w:val="24"/>
          <w:lang w:val="en-US"/>
        </w:rPr>
        <w:t>) To end impunity, and to this end: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 To facilitate a genuinely independent investigation of continuing reports of sexual violence, in particular against women belonging to ethnic nationalities, and other abuse of civilians carried out by members of the armed forces in Shan, Karen, Mon and other States.</w:t>
      </w:r>
      <w:r>
        <w:rPr>
          <w:rFonts w:ascii="Times New Roman" w:eastAsia="Times New Roman" w:hAnsi="Times New Roman" w:cs="Times New Roman"/>
          <w:noProof/>
          <w:sz w:val="24"/>
          <w:szCs w:val="24"/>
        </w:rPr>
        <w:drawing>
          <wp:inline distT="0" distB="0" distL="0" distR="0">
            <wp:extent cx="151130" cy="142875"/>
            <wp:effectExtent l="19050" t="0" r="1270" b="0"/>
            <wp:docPr id="1494" name="Imagen 14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2007 on a comprehensive review of a strategy to eliminate future sexual exploitation and abuse in United Nations peacekeeping operations,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Reaffirming</w:t>
      </w:r>
      <w:r w:rsidRPr="004406D2">
        <w:rPr>
          <w:rFonts w:ascii="Times New Roman" w:eastAsia="Times New Roman" w:hAnsi="Times New Roman" w:cs="Times New Roman"/>
          <w:sz w:val="24"/>
          <w:szCs w:val="24"/>
          <w:lang w:val="en-US"/>
        </w:rPr>
        <w:t xml:space="preserve"> the need for the United Nations to implement its policy of zero tolerance of sexual exploitation and abuse in its peacekeeping operations, as recommended by the Special Committee on Peacekeeping Operations,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Reaffirming</w:t>
      </w:r>
      <w:r w:rsidRPr="004406D2">
        <w:rPr>
          <w:rFonts w:ascii="Times New Roman" w:eastAsia="Times New Roman" w:hAnsi="Times New Roman" w:cs="Times New Roman"/>
          <w:sz w:val="24"/>
          <w:szCs w:val="24"/>
          <w:lang w:val="en-US"/>
        </w:rPr>
        <w:t xml:space="preserve"> </w:t>
      </w:r>
      <w:r w:rsidRPr="004406D2">
        <w:rPr>
          <w:rFonts w:ascii="Times New Roman" w:eastAsia="Times New Roman" w:hAnsi="Times New Roman" w:cs="Times New Roman"/>
          <w:i/>
          <w:iCs/>
          <w:sz w:val="24"/>
          <w:szCs w:val="24"/>
          <w:lang w:val="en-US"/>
        </w:rPr>
        <w:t>also</w:t>
      </w:r>
      <w:r w:rsidRPr="004406D2">
        <w:rPr>
          <w:rFonts w:ascii="Times New Roman" w:eastAsia="Times New Roman" w:hAnsi="Times New Roman" w:cs="Times New Roman"/>
          <w:sz w:val="24"/>
          <w:szCs w:val="24"/>
          <w:lang w:val="en-US"/>
        </w:rPr>
        <w:t xml:space="preserve"> the need for a comprehensive strategy of assistance to victims of sexual exploitation and abuse by United Nations staff or related personnel.</w:t>
      </w:r>
      <w:r>
        <w:rPr>
          <w:rFonts w:ascii="Times New Roman" w:eastAsia="Times New Roman" w:hAnsi="Times New Roman" w:cs="Times New Roman"/>
          <w:noProof/>
          <w:sz w:val="24"/>
          <w:szCs w:val="24"/>
        </w:rPr>
        <w:drawing>
          <wp:inline distT="0" distB="0" distL="0" distR="0">
            <wp:extent cx="151130" cy="142875"/>
            <wp:effectExtent l="19050" t="0" r="1270" b="0"/>
            <wp:docPr id="1495" name="Imagen 14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 xml:space="preserve">In a resolution adopted in 2007 entitled “Administrative and budgetary aspects of the financing of the United Nations peacekeeping operations: cross-cutting issues”, the UN General Assembly: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Reaffirming</w:t>
      </w:r>
      <w:r w:rsidRPr="004406D2">
        <w:rPr>
          <w:rFonts w:ascii="Times New Roman" w:eastAsia="Times New Roman" w:hAnsi="Times New Roman" w:cs="Times New Roman"/>
          <w:sz w:val="24"/>
          <w:szCs w:val="24"/>
          <w:lang w:val="en-US"/>
        </w:rPr>
        <w:t xml:space="preserve"> resolution 59/300 of 22 June 2005,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lastRenderedPageBreak/>
        <w:t xml:space="preserve">1. </w:t>
      </w:r>
      <w:r w:rsidRPr="004406D2">
        <w:rPr>
          <w:rFonts w:ascii="Times New Roman" w:eastAsia="Times New Roman" w:hAnsi="Times New Roman" w:cs="Times New Roman"/>
          <w:i/>
          <w:iCs/>
          <w:sz w:val="24"/>
          <w:szCs w:val="24"/>
          <w:lang w:val="en-US"/>
        </w:rPr>
        <w:t>Underlines</w:t>
      </w:r>
      <w:r w:rsidRPr="004406D2">
        <w:rPr>
          <w:rFonts w:ascii="Times New Roman" w:eastAsia="Times New Roman" w:hAnsi="Times New Roman" w:cs="Times New Roman"/>
          <w:sz w:val="24"/>
          <w:szCs w:val="24"/>
          <w:lang w:val="en-US"/>
        </w:rPr>
        <w:t xml:space="preserve"> the great importance it attaches to the elimination of misconduct, including sexual exploitation and sexual abuse, and calls for full implementation of the United Nations zero-tolerance policy.</w:t>
      </w:r>
      <w:r>
        <w:rPr>
          <w:rFonts w:ascii="Times New Roman" w:eastAsia="Times New Roman" w:hAnsi="Times New Roman" w:cs="Times New Roman"/>
          <w:noProof/>
          <w:sz w:val="24"/>
          <w:szCs w:val="24"/>
        </w:rPr>
        <w:drawing>
          <wp:inline distT="0" distB="0" distL="0" distR="0">
            <wp:extent cx="151130" cy="142875"/>
            <wp:effectExtent l="19050" t="0" r="1270" b="0"/>
            <wp:docPr id="1496" name="Imagen 14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criminal accountability of UN officials and experts on mission,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w:t>
      </w:r>
      <w:r w:rsidRPr="004406D2">
        <w:rPr>
          <w:rFonts w:ascii="Times New Roman" w:eastAsia="Times New Roman" w:hAnsi="Times New Roman" w:cs="Times New Roman"/>
          <w:sz w:val="24"/>
          <w:szCs w:val="24"/>
          <w:lang w:val="en-US"/>
        </w:rPr>
        <w:t xml:space="preserve">its resolution 59/281 of 29 March 2005, in which it endorsed the recommendation in paragraph 56 of the report of the Special Committee on Peacekeeping Operations that the Secretary-General make available to the United Nations membership a comprehensive report on the issue of sexual exploitation and abuse in United Nations peacekeeping operations,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Noting </w:t>
      </w:r>
      <w:r w:rsidRPr="004406D2">
        <w:rPr>
          <w:rFonts w:ascii="Times New Roman" w:eastAsia="Times New Roman" w:hAnsi="Times New Roman" w:cs="Times New Roman"/>
          <w:sz w:val="24"/>
          <w:szCs w:val="24"/>
          <w:lang w:val="en-US"/>
        </w:rPr>
        <w:t>that the Secretary-General, on 24 March 2005, transmitted to the President of the General Assembly a report of his Adviser concerning sexual exploitation and abuse by United Nations peacekeeping personnel,</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w:t>
      </w:r>
      <w:r w:rsidRPr="004406D2">
        <w:rPr>
          <w:rFonts w:ascii="Times New Roman" w:eastAsia="Times New Roman" w:hAnsi="Times New Roman" w:cs="Times New Roman"/>
          <w:sz w:val="24"/>
          <w:szCs w:val="24"/>
          <w:lang w:val="en-US"/>
        </w:rPr>
        <w:t xml:space="preserve">its resolution 59/300 of 22 June 2005 endorsing the recommendation of the Special Committee on Peacekeeping Operations that a group of legal experts be established to provide advice on the best way to proceed so as to ensure that the original intent of the Charter of the United Nations can be achieved, namely that United Nations staff and experts on mission would never be effectively exempt from the consequences of criminal acts committed at their duty station, nor unjustly penalized without due process,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Reaffirming also </w:t>
      </w:r>
      <w:r w:rsidRPr="004406D2">
        <w:rPr>
          <w:rFonts w:ascii="Times New Roman" w:eastAsia="Times New Roman" w:hAnsi="Times New Roman" w:cs="Times New Roman"/>
          <w:sz w:val="24"/>
          <w:szCs w:val="24"/>
          <w:lang w:val="en-US"/>
        </w:rPr>
        <w:t xml:space="preserve">that the present resolution is without prejudice to the privileges and immunities of United Nations officials and experts on mission and the United Nations under international law,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Reaffirming further </w:t>
      </w:r>
      <w:r w:rsidRPr="004406D2">
        <w:rPr>
          <w:rFonts w:ascii="Times New Roman" w:eastAsia="Times New Roman" w:hAnsi="Times New Roman" w:cs="Times New Roman"/>
          <w:sz w:val="24"/>
          <w:szCs w:val="24"/>
          <w:lang w:val="en-US"/>
        </w:rPr>
        <w:t>the obligation of United Nations officials and experts on mission to respect the national laws of the host State, as well as the right of the host State to exercise, where applicable, its criminal jurisdiction, in accordance with the relevant rules of international law and agreements governing operations of United Nations missions,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Deeply concerned </w:t>
      </w:r>
      <w:r w:rsidRPr="004406D2">
        <w:rPr>
          <w:rFonts w:ascii="Times New Roman" w:eastAsia="Times New Roman" w:hAnsi="Times New Roman" w:cs="Times New Roman"/>
          <w:sz w:val="24"/>
          <w:szCs w:val="24"/>
          <w:lang w:val="en-US"/>
        </w:rPr>
        <w:t xml:space="preserve">by reports of criminal conduct, and conscious that such conduct, if not investigated and, as appropriate, prosecuted, would create the negative impression that United Nations officials and experts on mission operate with impunity,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Convinced </w:t>
      </w:r>
      <w:r w:rsidRPr="004406D2">
        <w:rPr>
          <w:rFonts w:ascii="Times New Roman" w:eastAsia="Times New Roman" w:hAnsi="Times New Roman" w:cs="Times New Roman"/>
          <w:sz w:val="24"/>
          <w:szCs w:val="24"/>
          <w:lang w:val="en-US"/>
        </w:rPr>
        <w:t xml:space="preserve">of the need for the United Nations and its Member States to urgently take strong and effective steps to ensure criminal accountability of United Nations officials and experts on mission,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2. </w:t>
      </w:r>
      <w:r w:rsidRPr="004406D2">
        <w:rPr>
          <w:rFonts w:ascii="Times New Roman" w:eastAsia="Times New Roman" w:hAnsi="Times New Roman" w:cs="Times New Roman"/>
          <w:i/>
          <w:iCs/>
          <w:sz w:val="24"/>
          <w:szCs w:val="24"/>
          <w:lang w:val="en-US"/>
        </w:rPr>
        <w:t xml:space="preserve">Strongly urges </w:t>
      </w:r>
      <w:r w:rsidRPr="004406D2">
        <w:rPr>
          <w:rFonts w:ascii="Times New Roman" w:eastAsia="Times New Roman" w:hAnsi="Times New Roman" w:cs="Times New Roman"/>
          <w:sz w:val="24"/>
          <w:szCs w:val="24"/>
          <w:lang w:val="en-US"/>
        </w:rPr>
        <w:t xml:space="preserve">States to take all appropriate measures to ensure that crimes by United Nations officials and experts on mission do not go unpunished and that the perpetrators of such crimes are brought to justice, without prejudice to the privileges and immunities of such persons and the United Nations under international law, and in accordance with international human rights standards, including due process;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3. </w:t>
      </w:r>
      <w:r w:rsidRPr="004406D2">
        <w:rPr>
          <w:rFonts w:ascii="Times New Roman" w:eastAsia="Times New Roman" w:hAnsi="Times New Roman" w:cs="Times New Roman"/>
          <w:i/>
          <w:iCs/>
          <w:sz w:val="24"/>
          <w:szCs w:val="24"/>
          <w:lang w:val="en-US"/>
        </w:rPr>
        <w:t xml:space="preserve">Strongly urges </w:t>
      </w:r>
      <w:r w:rsidRPr="004406D2">
        <w:rPr>
          <w:rFonts w:ascii="Times New Roman" w:eastAsia="Times New Roman" w:hAnsi="Times New Roman" w:cs="Times New Roman"/>
          <w:sz w:val="24"/>
          <w:szCs w:val="24"/>
          <w:lang w:val="en-US"/>
        </w:rPr>
        <w:t xml:space="preserve">all States to consider establishing to the extent that they have not yet done so jurisdiction, particularly over crimes of a serious nature, as known in their existing domestic criminal laws, committed by their nationals while serving as United Nations officials or experts on mission, at least where the conduct as defined in the law of the State establishing jurisdiction also constitutes a crime under the laws of the host State;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4. </w:t>
      </w:r>
      <w:r w:rsidRPr="004406D2">
        <w:rPr>
          <w:rFonts w:ascii="Times New Roman" w:eastAsia="Times New Roman" w:hAnsi="Times New Roman" w:cs="Times New Roman"/>
          <w:i/>
          <w:iCs/>
          <w:sz w:val="24"/>
          <w:szCs w:val="24"/>
          <w:lang w:val="en-US"/>
        </w:rPr>
        <w:t xml:space="preserve">Encourages </w:t>
      </w:r>
      <w:r w:rsidRPr="004406D2">
        <w:rPr>
          <w:rFonts w:ascii="Times New Roman" w:eastAsia="Times New Roman" w:hAnsi="Times New Roman" w:cs="Times New Roman"/>
          <w:sz w:val="24"/>
          <w:szCs w:val="24"/>
          <w:lang w:val="en-US"/>
        </w:rPr>
        <w:t xml:space="preserve">all States to cooperate with each other and with the United Nations in the exchange of information and in facilitating the conduct of investigations and, as </w:t>
      </w:r>
      <w:r w:rsidRPr="004406D2">
        <w:rPr>
          <w:rFonts w:ascii="Times New Roman" w:eastAsia="Times New Roman" w:hAnsi="Times New Roman" w:cs="Times New Roman"/>
          <w:sz w:val="24"/>
          <w:szCs w:val="24"/>
          <w:lang w:val="en-US"/>
        </w:rPr>
        <w:lastRenderedPageBreak/>
        <w:t xml:space="preserve">appropriate, prosecution of United Nations officials and experts on mission who are alleged to have committed crimes of a serious nature, in accordance with their domestic laws and applicable United Nations rules and regulations, fully respecting due process rights, as well as to consider strengthening the capacities of their national authorities to investigate and prosecute such crimes;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5.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 xml:space="preserve">the Secretariat to ensure that requests to Member States seeking personnel to serve as experts on mission make States aware of the expectation that persons who serve in that capacity should meet high standards in their conduct and behaviour and are aware that certain conduct may amount to a crime for which they may be held accountable;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9. </w:t>
      </w:r>
      <w:r w:rsidRPr="004406D2">
        <w:rPr>
          <w:rFonts w:ascii="Times New Roman" w:eastAsia="Times New Roman" w:hAnsi="Times New Roman" w:cs="Times New Roman"/>
          <w:i/>
          <w:iCs/>
          <w:sz w:val="24"/>
          <w:szCs w:val="24"/>
          <w:lang w:val="en-US"/>
        </w:rPr>
        <w:t xml:space="preserve">Requests </w:t>
      </w:r>
      <w:r w:rsidRPr="004406D2">
        <w:rPr>
          <w:rFonts w:ascii="Times New Roman" w:eastAsia="Times New Roman" w:hAnsi="Times New Roman" w:cs="Times New Roman"/>
          <w:sz w:val="24"/>
          <w:szCs w:val="24"/>
          <w:lang w:val="en-US"/>
        </w:rPr>
        <w:t>the Secretary-General to bring credible allegations that reveal that a crime may have been committed by United Nations officials and experts on mission to the attention of the States against whose nationals such allegations are made, and to request from those States an indication of the status of their efforts to investigate and, as appropriate, prosecute crimes of a serious nature, as well as the types of appropriate assistance States may wish to receive from the Secretariat for the purposes of such investigations and prosecutions.</w:t>
      </w:r>
      <w:r>
        <w:rPr>
          <w:rFonts w:ascii="Times New Roman" w:eastAsia="Times New Roman" w:hAnsi="Times New Roman" w:cs="Times New Roman"/>
          <w:noProof/>
          <w:sz w:val="24"/>
          <w:szCs w:val="24"/>
        </w:rPr>
        <w:drawing>
          <wp:inline distT="0" distB="0" distL="0" distR="0">
            <wp:extent cx="151130" cy="142875"/>
            <wp:effectExtent l="19050" t="0" r="1270" b="0"/>
            <wp:docPr id="1497" name="Imagen 14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entitled “Policies and programmes involving youth: youth in the global economy – promoting youth participation in social and economic development”, the UN General Assembly adopted the “Supplement to the World Programme of Action for Youth to the Year 2000 and Beyond”.</w:t>
      </w:r>
      <w:r>
        <w:rPr>
          <w:rFonts w:ascii="Times New Roman" w:eastAsia="Times New Roman" w:hAnsi="Times New Roman" w:cs="Times New Roman"/>
          <w:noProof/>
          <w:sz w:val="24"/>
          <w:szCs w:val="24"/>
        </w:rPr>
        <w:drawing>
          <wp:inline distT="0" distB="0" distL="0" distR="0">
            <wp:extent cx="151130" cy="142875"/>
            <wp:effectExtent l="19050" t="0" r="1270" b="0"/>
            <wp:docPr id="1498" name="Imagen 14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Governments should strengthen legal, policy, administrative and other measures for the promotion and protection of the full enjoyment of all human rights by youth, the protection of their dignity and the reduction of their vulnerability to HIV/AIDS through the elimination of all forms of discrimination and all types of sexual exploitation of young girls and boys, including for commercial reasons, as well as all forms of violence against women and girls, including harmful traditional and customary practices, abuse, rape and other forms of sexual violence, battering and trafficking in women and girls.</w:t>
      </w:r>
      <w:r>
        <w:rPr>
          <w:rFonts w:ascii="Times New Roman" w:eastAsia="Times New Roman" w:hAnsi="Times New Roman" w:cs="Times New Roman"/>
          <w:noProof/>
          <w:sz w:val="24"/>
          <w:szCs w:val="24"/>
        </w:rPr>
        <w:drawing>
          <wp:inline distT="0" distB="0" distL="0" distR="0">
            <wp:extent cx="151130" cy="142875"/>
            <wp:effectExtent l="19050" t="0" r="1270" b="0"/>
            <wp:docPr id="1499" name="Imagen 14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elimination of rape and other forms of sexual violence in all their manifestations, including in conflict,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Reaffirming </w:t>
      </w:r>
      <w:r w:rsidRPr="004406D2">
        <w:rPr>
          <w:rFonts w:ascii="Times New Roman" w:eastAsia="Times New Roman" w:hAnsi="Times New Roman" w:cs="Times New Roman"/>
          <w:sz w:val="24"/>
          <w:szCs w:val="24"/>
          <w:lang w:val="en-US"/>
        </w:rPr>
        <w:t>… the obligations of States parties to the Convention on the Rights of the Child, the Geneva Conventions of 1949 and the Additional Protocols thereto, of 1977 and the International Convention on the Elimination of All Forms of Racial Discrimination,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also </w:t>
      </w:r>
      <w:r w:rsidRPr="004406D2">
        <w:rPr>
          <w:rFonts w:ascii="Times New Roman" w:eastAsia="Times New Roman" w:hAnsi="Times New Roman" w:cs="Times New Roman"/>
          <w:sz w:val="24"/>
          <w:szCs w:val="24"/>
          <w:lang w:val="en-US"/>
        </w:rPr>
        <w:t>the inclusion of rape and other forms of gender-related crimes and crimes of sexual violence in the Rome Statute of the International Criminal Court,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Recalling further </w:t>
      </w:r>
      <w:r w:rsidRPr="004406D2">
        <w:rPr>
          <w:rFonts w:ascii="Times New Roman" w:eastAsia="Times New Roman" w:hAnsi="Times New Roman" w:cs="Times New Roman"/>
          <w:sz w:val="24"/>
          <w:szCs w:val="24"/>
          <w:lang w:val="en-US"/>
        </w:rPr>
        <w:t>the recognition by the ad hoc international criminal tribunals that rape can constitute a war crime, a crime against humanity, or a constitutive act with respect to genocide,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Stressing </w:t>
      </w:r>
      <w:r w:rsidRPr="004406D2">
        <w:rPr>
          <w:rFonts w:ascii="Times New Roman" w:eastAsia="Times New Roman" w:hAnsi="Times New Roman" w:cs="Times New Roman"/>
          <w:sz w:val="24"/>
          <w:szCs w:val="24"/>
          <w:lang w:val="en-US"/>
        </w:rPr>
        <w:t>that States have the obligation to promote and protect all human rights and fundamental freedoms of women and girls, and must exercise due diligence to prevent, investigate and punish the perpetrators of violence against women and girls, and to provide protection to the victims, and that failure to do so violates and impairs or nullifies the enjoyment of the human rights and fundamental freedoms of the victims,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Strongly condemning </w:t>
      </w:r>
      <w:r w:rsidRPr="004406D2">
        <w:rPr>
          <w:rFonts w:ascii="Times New Roman" w:eastAsia="Times New Roman" w:hAnsi="Times New Roman" w:cs="Times New Roman"/>
          <w:sz w:val="24"/>
          <w:szCs w:val="24"/>
          <w:lang w:val="en-US"/>
        </w:rPr>
        <w:t xml:space="preserve">all acts of violence against women and girls, whether these acts are perpetrated by the State, by private persons or by non-State actors, calling for the </w:t>
      </w:r>
      <w:r w:rsidRPr="004406D2">
        <w:rPr>
          <w:rFonts w:ascii="Times New Roman" w:eastAsia="Times New Roman" w:hAnsi="Times New Roman" w:cs="Times New Roman"/>
          <w:sz w:val="24"/>
          <w:szCs w:val="24"/>
          <w:lang w:val="en-US"/>
        </w:rPr>
        <w:lastRenderedPageBreak/>
        <w:t>elimination of all forms of gender-based violence in the family, within the general community, and where perpetrated or condoned by the State, and stressing the need to treat all forms of violence against women and girls as a criminal offence, punishable by law,</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Stressing </w:t>
      </w:r>
      <w:r w:rsidRPr="004406D2">
        <w:rPr>
          <w:rFonts w:ascii="Times New Roman" w:eastAsia="Times New Roman" w:hAnsi="Times New Roman" w:cs="Times New Roman"/>
          <w:sz w:val="24"/>
          <w:szCs w:val="24"/>
          <w:lang w:val="en-US"/>
        </w:rPr>
        <w:t>that rape or other forms of sexual violence must not be used or condoned in any circumstance by any individual, State or non-State actor,</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Recognizing </w:t>
      </w:r>
      <w:r w:rsidRPr="004406D2">
        <w:rPr>
          <w:rFonts w:ascii="Times New Roman" w:eastAsia="Times New Roman" w:hAnsi="Times New Roman" w:cs="Times New Roman"/>
          <w:sz w:val="24"/>
          <w:szCs w:val="24"/>
          <w:lang w:val="en-US"/>
        </w:rPr>
        <w:t>that rape or any other form of sexual violence is unlawful in all circumstances and in all places, regardless of the sex or age of the victim, including in detention and in jails, whether or not committed by State or non-State actors in the course of achieving political or military objectives, whether or not in the course of an international or non-international armed conflict, or in areas under foreign occupation,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Affirming </w:t>
      </w:r>
      <w:r w:rsidRPr="004406D2">
        <w:rPr>
          <w:rFonts w:ascii="Times New Roman" w:eastAsia="Times New Roman" w:hAnsi="Times New Roman" w:cs="Times New Roman"/>
          <w:sz w:val="24"/>
          <w:szCs w:val="24"/>
          <w:lang w:val="en-US"/>
        </w:rPr>
        <w:t>the need for States to ensure that perpetrators of rape or other forms of sexual violence committed on their territory do not operate with impunity and that the perpetrators of such acts are brought to justice as provided for by national law and obligations under international law, and also affirming the need to penalize persons in authority found guilty of sexually assaulting victims,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i/>
          <w:iCs/>
          <w:sz w:val="24"/>
          <w:szCs w:val="24"/>
          <w:lang w:val="en-US"/>
        </w:rPr>
        <w:t xml:space="preserve">Determined </w:t>
      </w:r>
      <w:r w:rsidRPr="004406D2">
        <w:rPr>
          <w:rFonts w:ascii="Times New Roman" w:eastAsia="Times New Roman" w:hAnsi="Times New Roman" w:cs="Times New Roman"/>
          <w:sz w:val="24"/>
          <w:szCs w:val="24"/>
          <w:lang w:val="en-US"/>
        </w:rPr>
        <w:t>to eliminate rape and other forms of sexual violence in all their manifestations, including in conflict and related situations,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States: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xml:space="preserve">) To take special measures to protect women and girls from gender-based violence, in particular rape and other forms of sexual violence;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b</w:t>
      </w:r>
      <w:r w:rsidRPr="004406D2">
        <w:rPr>
          <w:rFonts w:ascii="Times New Roman" w:eastAsia="Times New Roman" w:hAnsi="Times New Roman" w:cs="Times New Roman"/>
          <w:sz w:val="24"/>
          <w:szCs w:val="24"/>
          <w:lang w:val="en-US"/>
        </w:rPr>
        <w:t>) To end impunity by ensuring that all rape victims, particularly women and girls, have equal protection under the law and equal access to justice and by investigating, prosecuting and punishing any person responsible for rape and other forms of sexual violence, whether or not committed by State or non-State actors in the course of achieving political or military objectives, wherever they occur, whether or not in the course of an international or non-international armed conflict, including in detention and in jails, and regardless of the sex or age of the victim;</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c</w:t>
      </w:r>
      <w:r w:rsidRPr="004406D2">
        <w:rPr>
          <w:rFonts w:ascii="Times New Roman" w:eastAsia="Times New Roman" w:hAnsi="Times New Roman" w:cs="Times New Roman"/>
          <w:sz w:val="24"/>
          <w:szCs w:val="24"/>
          <w:lang w:val="en-US"/>
        </w:rPr>
        <w:t>) To provide victims with access to appropriate health care, including sexual and reproductive health care, psychological care and trauma counselling, as well as to rehabilitation, social reintegration and, as appropriate, effective and sufficient compensation, in accordance with relevant international and national law;</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d</w:t>
      </w:r>
      <w:r w:rsidRPr="004406D2">
        <w:rPr>
          <w:rFonts w:ascii="Times New Roman" w:eastAsia="Times New Roman" w:hAnsi="Times New Roman" w:cs="Times New Roman"/>
          <w:sz w:val="24"/>
          <w:szCs w:val="24"/>
          <w:lang w:val="en-US"/>
        </w:rPr>
        <w:t>) To develop and implement at all levels, as required, a comprehensive and integrated strategy of prevention and prosecution of rape, and monitor the implementation of such a strategy, which should include the training of, inter alia, all relevant government and military personnel, in particular military commanders, law enforcement officials, judicial system personnel, health workers, teachers and social workers, as well as community leaders and the news media, in all appropriate aspects of the prevention and prosecution of rape and other forms of sexual violence and of protection and support for victims of such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3.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States, in cooperation with the private sector, non-governmental organizations and other civil society actors, as appropriate: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a</w:t>
      </w:r>
      <w:r w:rsidRPr="004406D2">
        <w:rPr>
          <w:rFonts w:ascii="Times New Roman" w:eastAsia="Times New Roman" w:hAnsi="Times New Roman" w:cs="Times New Roman"/>
          <w:sz w:val="24"/>
          <w:szCs w:val="24"/>
          <w:lang w:val="en-US"/>
        </w:rPr>
        <w:t>) To conduct public education and awareness campaigns at the national and grass-roots levels in order to raise awareness about the causes and consequences of rape and other forms of sexual violence;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b</w:t>
      </w:r>
      <w:r w:rsidRPr="004406D2">
        <w:rPr>
          <w:rFonts w:ascii="Times New Roman" w:eastAsia="Times New Roman" w:hAnsi="Times New Roman" w:cs="Times New Roman"/>
          <w:sz w:val="24"/>
          <w:szCs w:val="24"/>
          <w:lang w:val="en-US"/>
        </w:rPr>
        <w:t xml:space="preserve">) To establish reception centres and shelters for victims, take other appropriate measures to promote and protect women’s rights, and provide protection, safe shelter, </w:t>
      </w:r>
      <w:r w:rsidRPr="004406D2">
        <w:rPr>
          <w:rFonts w:ascii="Times New Roman" w:eastAsia="Times New Roman" w:hAnsi="Times New Roman" w:cs="Times New Roman"/>
          <w:sz w:val="24"/>
          <w:szCs w:val="24"/>
          <w:lang w:val="en-US"/>
        </w:rPr>
        <w:lastRenderedPageBreak/>
        <w:t>medical assistance, including sexual and reproductive health care, all necessary medications, including antiretroviral drugs and antibiotics, counselling for victims and their families, comprehensive information and education, legal aid, rehabilitation, and reintegration of victims and their offspring into society, in cooperation with State efforts towards protecting and supporting victims, in particular appropriate compensation that is effective and sufficient, maintaining due confidentiality and privacy of the victims and their families;</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c</w:t>
      </w:r>
      <w:r w:rsidRPr="004406D2">
        <w:rPr>
          <w:rFonts w:ascii="Times New Roman" w:eastAsia="Times New Roman" w:hAnsi="Times New Roman" w:cs="Times New Roman"/>
          <w:sz w:val="24"/>
          <w:szCs w:val="24"/>
          <w:lang w:val="en-US"/>
        </w:rPr>
        <w:t>) To support programmes to eliminate rape and other forms of sexual violence in all their manifestations, and design programmes to provide assistance to all victims of rape;</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4406D2">
        <w:rPr>
          <w:rFonts w:ascii="Times New Roman" w:eastAsia="Times New Roman" w:hAnsi="Times New Roman" w:cs="Times New Roman"/>
          <w:i/>
          <w:iCs/>
          <w:sz w:val="24"/>
          <w:szCs w:val="24"/>
          <w:lang w:val="en-US"/>
        </w:rPr>
        <w:t>d</w:t>
      </w:r>
      <w:r w:rsidRPr="004406D2">
        <w:rPr>
          <w:rFonts w:ascii="Times New Roman" w:eastAsia="Times New Roman" w:hAnsi="Times New Roman" w:cs="Times New Roman"/>
          <w:sz w:val="24"/>
          <w:szCs w:val="24"/>
          <w:lang w:val="en-US"/>
        </w:rPr>
        <w:t>) To address the long-term consequences faced by victims of rape and other forms of sexual violence, including legal discrimination and social stigmatization, as well as the effects on children born as a result of rape.</w:t>
      </w:r>
      <w:r>
        <w:rPr>
          <w:rFonts w:ascii="Times New Roman" w:eastAsia="Times New Roman" w:hAnsi="Times New Roman" w:cs="Times New Roman"/>
          <w:noProof/>
          <w:sz w:val="24"/>
          <w:szCs w:val="24"/>
        </w:rPr>
        <w:drawing>
          <wp:inline distT="0" distB="0" distL="0" distR="0">
            <wp:extent cx="151130" cy="142875"/>
            <wp:effectExtent l="19050" t="0" r="1270" b="0"/>
            <wp:docPr id="1500" name="Imagen 15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406D2">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4406D2">
        <w:rPr>
          <w:rFonts w:ascii="Times New Roman" w:eastAsia="Times New Roman" w:hAnsi="Times New Roman" w:cs="Times New Roman"/>
          <w:sz w:val="24"/>
          <w:szCs w:val="24"/>
          <w:lang w:val="en-US"/>
        </w:rPr>
        <w:t>In a resolution adopted in 2007 on the girl child, the UN General Assembly:</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13. …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all States to enact and enforce legislation to protect girls from all forms of violence and exploitation, including female infanticide and prenatal sex selection, female genital mutilation, rape, domestic violence, incest, sexual abuse, sexual exploitation, child prostitution and child pornography, trafficking and forced migration, forced labour and early and forced marriage, and to develop age-appropriate safe and confidential programmes and medical, social and psychological support services to assist girls who are subjected to violence and discrimination;</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4406D2">
        <w:rPr>
          <w:rFonts w:ascii="Times New Roman" w:eastAsia="Times New Roman" w:hAnsi="Times New Roman" w:cs="Times New Roman"/>
          <w:sz w:val="24"/>
          <w:szCs w:val="24"/>
          <w:lang w:val="en-US"/>
        </w:rPr>
        <w:t xml:space="preserve">19. </w:t>
      </w:r>
      <w:r w:rsidRPr="004406D2">
        <w:rPr>
          <w:rFonts w:ascii="Times New Roman" w:eastAsia="Times New Roman" w:hAnsi="Times New Roman" w:cs="Times New Roman"/>
          <w:i/>
          <w:iCs/>
          <w:sz w:val="24"/>
          <w:szCs w:val="24"/>
          <w:lang w:val="en-US"/>
        </w:rPr>
        <w:t xml:space="preserve">Urges </w:t>
      </w:r>
      <w:r w:rsidRPr="004406D2">
        <w:rPr>
          <w:rFonts w:ascii="Times New Roman" w:eastAsia="Times New Roman" w:hAnsi="Times New Roman" w:cs="Times New Roman"/>
          <w:sz w:val="24"/>
          <w:szCs w:val="24"/>
          <w:lang w:val="en-US"/>
        </w:rPr>
        <w:t xml:space="preserve">all States and the international community to respect, promote and protect the rights of the girl child, taking into account the particular vulnerabilities of the girl child in pre-conflict, conflict and post-conflict situations, and further urges States to take special measures for the protection of girls, in particular to protect them from sexually transmitted diseases, such as HIV/AIDS, gender-based violence, including rape, sexual abuse and sexual exploitation, torture, abduction and forced labour, paying special attention to refugee and displaced girls …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20. </w:t>
      </w:r>
      <w:r w:rsidRPr="00FB00FF">
        <w:rPr>
          <w:rFonts w:ascii="Times New Roman" w:eastAsia="Times New Roman" w:hAnsi="Times New Roman" w:cs="Times New Roman"/>
          <w:i/>
          <w:iCs/>
          <w:sz w:val="24"/>
          <w:szCs w:val="24"/>
          <w:lang w:val="en-US"/>
        </w:rPr>
        <w:t xml:space="preserve">Deplores </w:t>
      </w:r>
      <w:r w:rsidRPr="00FB00FF">
        <w:rPr>
          <w:rFonts w:ascii="Times New Roman" w:eastAsia="Times New Roman" w:hAnsi="Times New Roman" w:cs="Times New Roman"/>
          <w:sz w:val="24"/>
          <w:szCs w:val="24"/>
          <w:lang w:val="en-US"/>
        </w:rPr>
        <w:t>all cases of sexual exploitation and abuse of women and children, especially girls, in humanitarian crises, including those cases involving humanitarian workers and peacekeepers, and urges States to take effective measures to address gender-based violence in humanitarian emergencies and to make all possible efforts to ensure that their laws and institutions are adequate to prevent, promptly investigate and prosecute acts of gender-based violence;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21. </w:t>
      </w:r>
      <w:r w:rsidRPr="00FB00FF">
        <w:rPr>
          <w:rFonts w:ascii="Times New Roman" w:eastAsia="Times New Roman" w:hAnsi="Times New Roman" w:cs="Times New Roman"/>
          <w:i/>
          <w:iCs/>
          <w:sz w:val="24"/>
          <w:szCs w:val="24"/>
          <w:lang w:val="en-US"/>
        </w:rPr>
        <w:t xml:space="preserve">Deplores further </w:t>
      </w:r>
      <w:r w:rsidRPr="00FB00FF">
        <w:rPr>
          <w:rFonts w:ascii="Times New Roman" w:eastAsia="Times New Roman" w:hAnsi="Times New Roman" w:cs="Times New Roman"/>
          <w:sz w:val="24"/>
          <w:szCs w:val="24"/>
          <w:lang w:val="en-US"/>
        </w:rPr>
        <w:t>all acts of sexual exploitation, abuse of and trafficking in women and children by military, police and civilian personnel involved in United Nations operations, welcomes the efforts undertaken by United Nations agencies and peacekeeping operations to implement a zero-tolerance policy in this regard, and requests the Secretary-General and personnel-contributing countries to continue to take all appropriate action necessary to combat these abuses by such personnel, including through the full implementation without delay of those measures adopted in the relevant General Assembly resolutions based on recommendations of the Special Committee on Peacekeeping Operations.</w:t>
      </w:r>
      <w:r>
        <w:rPr>
          <w:rFonts w:ascii="Times New Roman" w:eastAsia="Times New Roman" w:hAnsi="Times New Roman" w:cs="Times New Roman"/>
          <w:noProof/>
          <w:sz w:val="24"/>
          <w:szCs w:val="24"/>
        </w:rPr>
        <w:drawing>
          <wp:inline distT="0" distB="0" distL="0" distR="0">
            <wp:extent cx="151130" cy="142875"/>
            <wp:effectExtent l="19050" t="0" r="1270" b="0"/>
            <wp:docPr id="1501" name="Imagen 15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2007 on the rights of the child, the UN General Assembly: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11. </w:t>
      </w:r>
      <w:r w:rsidRPr="00FB00FF">
        <w:rPr>
          <w:rFonts w:ascii="Times New Roman" w:eastAsia="Times New Roman" w:hAnsi="Times New Roman" w:cs="Times New Roman"/>
          <w:i/>
          <w:iCs/>
          <w:sz w:val="24"/>
          <w:szCs w:val="24"/>
          <w:lang w:val="en-US"/>
        </w:rPr>
        <w:t xml:space="preserve">Calls upon </w:t>
      </w:r>
      <w:r w:rsidRPr="00FB00FF">
        <w:rPr>
          <w:rFonts w:ascii="Times New Roman" w:eastAsia="Times New Roman" w:hAnsi="Times New Roman" w:cs="Times New Roman"/>
          <w:sz w:val="24"/>
          <w:szCs w:val="24"/>
          <w:lang w:val="en-US"/>
        </w:rPr>
        <w:t>States to take all necessary and effective measures, including legal reforms where appropriate, to eliminate all forms of discrimination against girls and all forms of violence, including female infanticide and prenatal sex selection, rape, sexual abuse and harmful traditional or customary practices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29. </w:t>
      </w:r>
      <w:r w:rsidRPr="00FB00FF">
        <w:rPr>
          <w:rFonts w:ascii="Times New Roman" w:eastAsia="Times New Roman" w:hAnsi="Times New Roman" w:cs="Times New Roman"/>
          <w:i/>
          <w:iCs/>
          <w:sz w:val="24"/>
          <w:szCs w:val="24"/>
          <w:lang w:val="en-US"/>
        </w:rPr>
        <w:t xml:space="preserve">Also calls upon </w:t>
      </w:r>
      <w:r w:rsidRPr="00FB00FF">
        <w:rPr>
          <w:rFonts w:ascii="Times New Roman" w:eastAsia="Times New Roman" w:hAnsi="Times New Roman" w:cs="Times New Roman"/>
          <w:sz w:val="24"/>
          <w:szCs w:val="24"/>
          <w:lang w:val="en-US"/>
        </w:rPr>
        <w:t xml:space="preserve">all States to protect refugee, asylum-seeking and internally </w:t>
      </w:r>
      <w:r w:rsidRPr="00FB00FF">
        <w:rPr>
          <w:rFonts w:ascii="Times New Roman" w:eastAsia="Times New Roman" w:hAnsi="Times New Roman" w:cs="Times New Roman"/>
          <w:sz w:val="24"/>
          <w:szCs w:val="24"/>
          <w:lang w:val="en-US"/>
        </w:rPr>
        <w:lastRenderedPageBreak/>
        <w:t>displaced children, taking into account their gender-specific needs, in particular those who are unaccompanied, who are particularly exposed to violence and risks in connection with armed conflict, such as recruitment, sexual violence and exploitation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38. </w:t>
      </w:r>
      <w:r w:rsidRPr="00FB00FF">
        <w:rPr>
          <w:rFonts w:ascii="Times New Roman" w:eastAsia="Times New Roman" w:hAnsi="Times New Roman" w:cs="Times New Roman"/>
          <w:i/>
          <w:iCs/>
          <w:sz w:val="24"/>
          <w:szCs w:val="24"/>
          <w:lang w:val="en-US"/>
        </w:rPr>
        <w:t xml:space="preserve">Calls upon </w:t>
      </w:r>
      <w:r w:rsidRPr="00FB00FF">
        <w:rPr>
          <w:rFonts w:ascii="Times New Roman" w:eastAsia="Times New Roman" w:hAnsi="Times New Roman" w:cs="Times New Roman"/>
          <w:sz w:val="24"/>
          <w:szCs w:val="24"/>
          <w:lang w:val="en-US"/>
        </w:rPr>
        <w:t>all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To criminalize and penalize effectively all forms of sexual exploitation and sexual abuse of children, including all acts of paedophilia, including within the family or for commercial purposes, child pornography and child prostitution, child sex tourism, trafficking in children, the sale of children and the use of the Internet and other information and communications technologies for these purposes, and to take effective measures against the criminalization of children who are victims of exploitation;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52. </w:t>
      </w:r>
      <w:r w:rsidRPr="00FB00FF">
        <w:rPr>
          <w:rFonts w:ascii="Times New Roman" w:eastAsia="Times New Roman" w:hAnsi="Times New Roman" w:cs="Times New Roman"/>
          <w:i/>
          <w:iCs/>
          <w:sz w:val="24"/>
          <w:szCs w:val="24"/>
          <w:lang w:val="en-US"/>
        </w:rPr>
        <w:t xml:space="preserve">Condemns </w:t>
      </w:r>
      <w:r w:rsidRPr="00FB00FF">
        <w:rPr>
          <w:rFonts w:ascii="Times New Roman" w:eastAsia="Times New Roman" w:hAnsi="Times New Roman" w:cs="Times New Roman"/>
          <w:sz w:val="24"/>
          <w:szCs w:val="24"/>
          <w:lang w:val="en-US"/>
        </w:rPr>
        <w:t>all forms of violence against children, including physical, mental, psychological and sexual violence, torture and other cruel, inhuman or degrading treatment, child abuse and exploitation, hostage-taking, domestic violence, trafficking in or sale of children and their organs, paedophilia, child prostitution, child pornography, child sex tourism, gang-related violence, bullying and harmful traditional practices, and urges States to strengthen efforts to prevent and protect children from all such violence through a comprehensive approach and to develop a multifaceted and systematic framework, which is integrated into national planning processes, to respond to violence against children.</w:t>
      </w:r>
      <w:r>
        <w:rPr>
          <w:rFonts w:ascii="Times New Roman" w:eastAsia="Times New Roman" w:hAnsi="Times New Roman" w:cs="Times New Roman"/>
          <w:noProof/>
          <w:sz w:val="24"/>
          <w:szCs w:val="24"/>
        </w:rPr>
        <w:drawing>
          <wp:inline distT="0" distB="0" distL="0" distR="0">
            <wp:extent cx="151130" cy="142875"/>
            <wp:effectExtent l="19050" t="0" r="1270" b="0"/>
            <wp:docPr id="1502" name="Imagen 15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2007 entitled “United Nations Comprehensive Strategy on Assistance and Support to Victims of Sexual Exploitation and Abuse by United Nations Staff and Related Personnel”, the UN General Assembly: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 xml:space="preserve">Deeply concerned by and strongly condemning </w:t>
      </w:r>
      <w:r w:rsidRPr="00FB00FF">
        <w:rPr>
          <w:rFonts w:ascii="Times New Roman" w:eastAsia="Times New Roman" w:hAnsi="Times New Roman" w:cs="Times New Roman"/>
          <w:sz w:val="24"/>
          <w:szCs w:val="24"/>
          <w:lang w:val="en-US"/>
        </w:rPr>
        <w:t xml:space="preserve">all acts of sexual exploitation and abuse committed by United Nations staff and related personnel,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 xml:space="preserve">Reiterating its support </w:t>
      </w:r>
      <w:r w:rsidRPr="00FB00FF">
        <w:rPr>
          <w:rFonts w:ascii="Times New Roman" w:eastAsia="Times New Roman" w:hAnsi="Times New Roman" w:cs="Times New Roman"/>
          <w:sz w:val="24"/>
          <w:szCs w:val="24"/>
          <w:lang w:val="en-US"/>
        </w:rPr>
        <w:t>to the Secretary-General’s zero-tolerance policy on sexual exploitation and abuse, and recalling all relevant United Nations standards of conduct and regulations, including the Secretary-General’s bulletin on the special measures for protection from sexual exploitation and sexual abuse.</w:t>
      </w:r>
      <w:r>
        <w:rPr>
          <w:rFonts w:ascii="Times New Roman" w:eastAsia="Times New Roman" w:hAnsi="Times New Roman" w:cs="Times New Roman"/>
          <w:noProof/>
          <w:sz w:val="24"/>
          <w:szCs w:val="24"/>
        </w:rPr>
        <w:drawing>
          <wp:inline distT="0" distB="0" distL="0" distR="0">
            <wp:extent cx="151130" cy="142875"/>
            <wp:effectExtent l="19050" t="0" r="1270" b="0"/>
            <wp:docPr id="1503" name="Imagen 15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Economic and Social Council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strengthening of the coordination of emergency humanitarian assistance of the United Nations, ECOSOC:</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11. </w:t>
      </w:r>
      <w:r w:rsidRPr="00FB00FF">
        <w:rPr>
          <w:rFonts w:ascii="Times New Roman" w:eastAsia="Times New Roman" w:hAnsi="Times New Roman" w:cs="Times New Roman"/>
          <w:i/>
          <w:iCs/>
          <w:sz w:val="24"/>
          <w:szCs w:val="24"/>
          <w:lang w:val="en-US"/>
        </w:rPr>
        <w:t xml:space="preserve">Welcomes </w:t>
      </w:r>
      <w:r w:rsidRPr="00FB00FF">
        <w:rPr>
          <w:rFonts w:ascii="Times New Roman" w:eastAsia="Times New Roman" w:hAnsi="Times New Roman" w:cs="Times New Roman"/>
          <w:sz w:val="24"/>
          <w:szCs w:val="24"/>
          <w:lang w:val="en-US"/>
        </w:rPr>
        <w:t>the establishment by the Inter-Agency Standing Committee of the six core principles in the Plan of Action on Protection from Sexual Exploitation and Abuse in Humanitarian Crises, representing minimum standards of behaviour required of all United Nations civilian staff members, and urges the United Nations to take appropriate follow-up action in response to allegations of sexual violence and exploitation by humanitarian workers;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12. </w:t>
      </w:r>
      <w:r w:rsidRPr="00FB00FF">
        <w:rPr>
          <w:rFonts w:ascii="Times New Roman" w:eastAsia="Times New Roman" w:hAnsi="Times New Roman" w:cs="Times New Roman"/>
          <w:i/>
          <w:iCs/>
          <w:sz w:val="24"/>
          <w:szCs w:val="24"/>
          <w:lang w:val="en-US"/>
        </w:rPr>
        <w:t xml:space="preserve">Encourages </w:t>
      </w:r>
      <w:r w:rsidRPr="00FB00FF">
        <w:rPr>
          <w:rFonts w:ascii="Times New Roman" w:eastAsia="Times New Roman" w:hAnsi="Times New Roman" w:cs="Times New Roman"/>
          <w:sz w:val="24"/>
          <w:szCs w:val="24"/>
          <w:lang w:val="en-US"/>
        </w:rPr>
        <w:t>Governments as well as international humanitarian organizations, as appropriate, to take further initiatives to prevent, address and follow up on allegations of sexual exploitation and abuse in humanitarian emergencies, and emphasizes that the highest standards of conduct and accountability are required of all personnel serving in humanitarian and peacekeeping operations.</w:t>
      </w:r>
      <w:r>
        <w:rPr>
          <w:rFonts w:ascii="Times New Roman" w:eastAsia="Times New Roman" w:hAnsi="Times New Roman" w:cs="Times New Roman"/>
          <w:noProof/>
          <w:sz w:val="24"/>
          <w:szCs w:val="24"/>
        </w:rPr>
        <w:drawing>
          <wp:inline distT="0" distB="0" distL="0" distR="0">
            <wp:extent cx="151130" cy="142875"/>
            <wp:effectExtent l="19050" t="0" r="1270" b="0"/>
            <wp:docPr id="1504" name="Imagen 15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strengthening international cooperation in preventing and combating trafficking in persons and protecting victims of such trafficking, ECOSOC:</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 xml:space="preserve">Profoundly alarmed </w:t>
      </w:r>
      <w:r w:rsidRPr="00FB00FF">
        <w:rPr>
          <w:rFonts w:ascii="Times New Roman" w:eastAsia="Times New Roman" w:hAnsi="Times New Roman" w:cs="Times New Roman"/>
          <w:sz w:val="24"/>
          <w:szCs w:val="24"/>
          <w:lang w:val="en-US"/>
        </w:rPr>
        <w:t xml:space="preserve">at the fact that trafficking in persons is a growing and profitable trade in most parts of the world, aggravated by, inter alia, poverty, armed conflict, inadequate social and economic conditions and demand in the illicit labour and sex </w:t>
      </w:r>
      <w:r w:rsidRPr="00FB00FF">
        <w:rPr>
          <w:rFonts w:ascii="Times New Roman" w:eastAsia="Times New Roman" w:hAnsi="Times New Roman" w:cs="Times New Roman"/>
          <w:sz w:val="24"/>
          <w:szCs w:val="24"/>
          <w:lang w:val="en-US"/>
        </w:rPr>
        <w:lastRenderedPageBreak/>
        <w:t>markets,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 </w:t>
      </w:r>
      <w:r w:rsidRPr="00FB00FF">
        <w:rPr>
          <w:rFonts w:ascii="Times New Roman" w:eastAsia="Times New Roman" w:hAnsi="Times New Roman" w:cs="Times New Roman"/>
          <w:i/>
          <w:iCs/>
          <w:sz w:val="24"/>
          <w:szCs w:val="24"/>
          <w:lang w:val="en-US"/>
        </w:rPr>
        <w:t xml:space="preserve">Urges </w:t>
      </w:r>
      <w:r w:rsidRPr="00FB00FF">
        <w:rPr>
          <w:rFonts w:ascii="Times New Roman" w:eastAsia="Times New Roman" w:hAnsi="Times New Roman" w:cs="Times New Roman"/>
          <w:sz w:val="24"/>
          <w:szCs w:val="24"/>
          <w:lang w:val="en-US"/>
        </w:rPr>
        <w:t>Member States to employ a comprehensive approach to combating trafficking in persons, incorporating law enforcement efforts and, where appropriate, the confiscation and seizure of the proceeds of trafficking, protection of victims and preventive measures, including measures against activities that draw profit from the exploitation of victims of trafficking;</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 </w:t>
      </w:r>
      <w:r w:rsidRPr="00FB00FF">
        <w:rPr>
          <w:rFonts w:ascii="Times New Roman" w:eastAsia="Times New Roman" w:hAnsi="Times New Roman" w:cs="Times New Roman"/>
          <w:i/>
          <w:iCs/>
          <w:sz w:val="24"/>
          <w:szCs w:val="24"/>
          <w:lang w:val="en-US"/>
        </w:rPr>
        <w:t xml:space="preserve">Calls upon </w:t>
      </w:r>
      <w:r w:rsidRPr="00FB00FF">
        <w:rPr>
          <w:rFonts w:ascii="Times New Roman" w:eastAsia="Times New Roman" w:hAnsi="Times New Roman" w:cs="Times New Roman"/>
          <w:sz w:val="24"/>
          <w:szCs w:val="24"/>
          <w:lang w:val="en-US"/>
        </w:rPr>
        <w:t>Member States to collaborate with a view to preventing trafficking in persons, especially for the purpose of sexual exploitation, through:</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Improved technical cooperation to strengthen local and national institutions aimed at preventing trafficking in persons, especially women and children, in countries of origin;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(b) Information campaigns on the techniques and methods of traffickers, programmes of education aimed at prospective targets, as well as vocational training in social skills and assistance in the re-integration of victims of trafficking into society;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(c) Focusing on post-conflict regions where patterns of human trafficking are emerging as a new phenomenon and incorporating anti-trafficking measures into early intervention;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 </w:t>
      </w:r>
      <w:r w:rsidRPr="00FB00FF">
        <w:rPr>
          <w:rFonts w:ascii="Times New Roman" w:eastAsia="Times New Roman" w:hAnsi="Times New Roman" w:cs="Times New Roman"/>
          <w:i/>
          <w:iCs/>
          <w:sz w:val="24"/>
          <w:szCs w:val="24"/>
          <w:lang w:val="en-US"/>
        </w:rPr>
        <w:t xml:space="preserve">Recognizes </w:t>
      </w:r>
      <w:r w:rsidRPr="00FB00FF">
        <w:rPr>
          <w:rFonts w:ascii="Times New Roman" w:eastAsia="Times New Roman" w:hAnsi="Times New Roman" w:cs="Times New Roman"/>
          <w:sz w:val="24"/>
          <w:szCs w:val="24"/>
          <w:lang w:val="en-US"/>
        </w:rPr>
        <w:t>that broad international cooperation between Member States and relevant intergovernmental and nongovernmental organizations is essential to effectively counter the threat of trafficking in persons;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4. </w:t>
      </w:r>
      <w:r w:rsidRPr="00FB00FF">
        <w:rPr>
          <w:rFonts w:ascii="Times New Roman" w:eastAsia="Times New Roman" w:hAnsi="Times New Roman" w:cs="Times New Roman"/>
          <w:i/>
          <w:iCs/>
          <w:sz w:val="24"/>
          <w:szCs w:val="24"/>
          <w:lang w:val="en-US"/>
        </w:rPr>
        <w:t xml:space="preserve">Urges </w:t>
      </w:r>
      <w:r w:rsidRPr="00FB00FF">
        <w:rPr>
          <w:rFonts w:ascii="Times New Roman" w:eastAsia="Times New Roman" w:hAnsi="Times New Roman" w:cs="Times New Roman"/>
          <w:sz w:val="24"/>
          <w:szCs w:val="24"/>
          <w:lang w:val="en-US"/>
        </w:rPr>
        <w:t>Member States to take measures to ratify or accede to the United Nations Convention against Transnational Organized Crime, the Protocol to Prevent, Suppress and Punish Trafficking in Persons, Especially Women and Children, supplementing the United Nations Convention against Transnational Organized Crime, and the Optional Protocol to the Convention on the Rights of the Child on the sale of children, child prostitution and child pornography, and to implement those instruments by, inter alia:</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Criminalizing trafficking in persons;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(b) Promoting cooperation among law enforcement authorities in combating trafficking in persons;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(c) Establishing the offence of trafficking in persons as a predicate offence for money-laundering offences;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 xml:space="preserve">Invites </w:t>
      </w:r>
      <w:r w:rsidRPr="00FB00FF">
        <w:rPr>
          <w:rFonts w:ascii="Times New Roman" w:eastAsia="Times New Roman" w:hAnsi="Times New Roman" w:cs="Times New Roman"/>
          <w:sz w:val="24"/>
          <w:szCs w:val="24"/>
          <w:lang w:val="en-US"/>
        </w:rPr>
        <w:t>Member States to adopt measures, in accordance with their domestic law and capacity, inter alia:</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To fight sexual exploitation with a view to abolishing it, by prosecuting and punishing those who engage in that activity.</w:t>
      </w:r>
      <w:r>
        <w:rPr>
          <w:rFonts w:ascii="Times New Roman" w:eastAsia="Times New Roman" w:hAnsi="Times New Roman" w:cs="Times New Roman"/>
          <w:noProof/>
          <w:sz w:val="24"/>
          <w:szCs w:val="24"/>
        </w:rPr>
        <w:drawing>
          <wp:inline distT="0" distB="0" distL="0" distR="0">
            <wp:extent cx="151130" cy="142875"/>
            <wp:effectExtent l="19050" t="0" r="1270" b="0"/>
            <wp:docPr id="1505" name="Imagen 15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2004 on agreed conclusions of the Commission on the Status of Women on women’s equal participation in conflict prevention, management and resolution and in post-conflict peace-building, ECOSOC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The Commission recognizes that while both men and women suffer from the consequences of armed conflict, there is a differential impact on women and girls, who are often subject to, and affected by, particular forms of violence and deprivation. The Commission calls for measures to prevent gender-based violence, including sexual violence against women and girls, as well as trafficking in human beings, especially trafficking in women and girls, arising from armed conflict and in post-conflict situations and to prosecute perpetrators of such crimes.</w:t>
      </w:r>
      <w:r>
        <w:rPr>
          <w:rFonts w:ascii="Times New Roman" w:eastAsia="Times New Roman" w:hAnsi="Times New Roman" w:cs="Times New Roman"/>
          <w:noProof/>
          <w:sz w:val="24"/>
          <w:szCs w:val="24"/>
        </w:rPr>
        <w:drawing>
          <wp:inline distT="0" distB="0" distL="0" distR="0">
            <wp:extent cx="151130" cy="142875"/>
            <wp:effectExtent l="19050" t="0" r="1270" b="0"/>
            <wp:docPr id="1506" name="Imagen 15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2006 on strengthening international cooperation in preventing and combating trafficking in persons and protecting victims of such trafficking, ECOSOC:</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 xml:space="preserve">Profoundly alarmed </w:t>
      </w:r>
      <w:r w:rsidRPr="00FB00FF">
        <w:rPr>
          <w:rFonts w:ascii="Times New Roman" w:eastAsia="Times New Roman" w:hAnsi="Times New Roman" w:cs="Times New Roman"/>
          <w:sz w:val="24"/>
          <w:szCs w:val="24"/>
          <w:lang w:val="en-US"/>
        </w:rPr>
        <w:t xml:space="preserve">by the fact that trafficking in persons is a growing and profitable trade in most parts of the world, aggravated by, inter alia, poverty, armed conflict, </w:t>
      </w:r>
      <w:r w:rsidRPr="00FB00FF">
        <w:rPr>
          <w:rFonts w:ascii="Times New Roman" w:eastAsia="Times New Roman" w:hAnsi="Times New Roman" w:cs="Times New Roman"/>
          <w:sz w:val="24"/>
          <w:szCs w:val="24"/>
          <w:lang w:val="en-US"/>
        </w:rPr>
        <w:lastRenderedPageBreak/>
        <w:t>inadequate social and economic conditions and demand in the illicit labour and sex markets,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 </w:t>
      </w:r>
      <w:r w:rsidRPr="00FB00FF">
        <w:rPr>
          <w:rFonts w:ascii="Times New Roman" w:eastAsia="Times New Roman" w:hAnsi="Times New Roman" w:cs="Times New Roman"/>
          <w:i/>
          <w:iCs/>
          <w:sz w:val="24"/>
          <w:szCs w:val="24"/>
          <w:lang w:val="en-US"/>
        </w:rPr>
        <w:t xml:space="preserve">Urges </w:t>
      </w:r>
      <w:r w:rsidRPr="00FB00FF">
        <w:rPr>
          <w:rFonts w:ascii="Times New Roman" w:eastAsia="Times New Roman" w:hAnsi="Times New Roman" w:cs="Times New Roman"/>
          <w:sz w:val="24"/>
          <w:szCs w:val="24"/>
          <w:lang w:val="en-US"/>
        </w:rPr>
        <w:t>Member States that have not done so to consider taking measures to ratify or accede to the United Nations Convention against Transnational Organized Crime, the Protocol to Prevent, Suppress and Punish Trafficking in Persons, Especially Women and Children, supplementing that Convention, and the Optional Protocol to the Convention on the Rights of the Child on the sale of children, child prostitution and child pornography;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 </w:t>
      </w:r>
      <w:r w:rsidRPr="00FB00FF">
        <w:rPr>
          <w:rFonts w:ascii="Times New Roman" w:eastAsia="Times New Roman" w:hAnsi="Times New Roman" w:cs="Times New Roman"/>
          <w:i/>
          <w:iCs/>
          <w:sz w:val="24"/>
          <w:szCs w:val="24"/>
          <w:lang w:val="en-US"/>
        </w:rPr>
        <w:t xml:space="preserve">Urges </w:t>
      </w:r>
      <w:r w:rsidRPr="00FB00FF">
        <w:rPr>
          <w:rFonts w:ascii="Times New Roman" w:eastAsia="Times New Roman" w:hAnsi="Times New Roman" w:cs="Times New Roman"/>
          <w:sz w:val="24"/>
          <w:szCs w:val="24"/>
          <w:lang w:val="en-US"/>
        </w:rPr>
        <w:t>all Member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To criminalize trafficking in persons;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(b) To promote cooperation among law enforcement authorities in combating trafficking in persons;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(c) To ensure the security and control of travel or identity documents;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(d) To establish the offence of trafficking in persons as a predicate offence for money-laundering offences;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 </w:t>
      </w:r>
      <w:r w:rsidRPr="00FB00FF">
        <w:rPr>
          <w:rFonts w:ascii="Times New Roman" w:eastAsia="Times New Roman" w:hAnsi="Times New Roman" w:cs="Times New Roman"/>
          <w:i/>
          <w:iCs/>
          <w:sz w:val="24"/>
          <w:szCs w:val="24"/>
          <w:lang w:val="en-US"/>
        </w:rPr>
        <w:t xml:space="preserve">Invites </w:t>
      </w:r>
      <w:r w:rsidRPr="00FB00FF">
        <w:rPr>
          <w:rFonts w:ascii="Times New Roman" w:eastAsia="Times New Roman" w:hAnsi="Times New Roman" w:cs="Times New Roman"/>
          <w:sz w:val="24"/>
          <w:szCs w:val="24"/>
          <w:lang w:val="en-US"/>
        </w:rPr>
        <w:t>Member States to adopt measures, in accordance with their domestic law, inter alia:</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To fight sexual exploitation with a view to abolishing it, by prosecuting and punishing those who engage in that activity, not including the victims of trafficking for the purpose of sexual exploitation;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6. </w:t>
      </w:r>
      <w:r w:rsidRPr="00FB00FF">
        <w:rPr>
          <w:rFonts w:ascii="Times New Roman" w:eastAsia="Times New Roman" w:hAnsi="Times New Roman" w:cs="Times New Roman"/>
          <w:i/>
          <w:iCs/>
          <w:sz w:val="24"/>
          <w:szCs w:val="24"/>
          <w:lang w:val="en-US"/>
        </w:rPr>
        <w:t xml:space="preserve">Calls upon </w:t>
      </w:r>
      <w:r w:rsidRPr="00FB00FF">
        <w:rPr>
          <w:rFonts w:ascii="Times New Roman" w:eastAsia="Times New Roman" w:hAnsi="Times New Roman" w:cs="Times New Roman"/>
          <w:sz w:val="24"/>
          <w:szCs w:val="24"/>
          <w:lang w:val="en-US"/>
        </w:rPr>
        <w:t>Member States to collaborate with a view to preventing trafficking in persons, including for the purpose of sexual exploitation.</w:t>
      </w:r>
      <w:r>
        <w:rPr>
          <w:rFonts w:ascii="Times New Roman" w:eastAsia="Times New Roman" w:hAnsi="Times New Roman" w:cs="Times New Roman"/>
          <w:noProof/>
          <w:sz w:val="24"/>
          <w:szCs w:val="24"/>
        </w:rPr>
        <w:drawing>
          <wp:inline distT="0" distB="0" distL="0" distR="0">
            <wp:extent cx="151130" cy="142875"/>
            <wp:effectExtent l="19050" t="0" r="1270" b="0"/>
            <wp:docPr id="1507" name="Imagen 15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Commission on Human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1994 on the situation of human rights in the territory of the former Yugoslavia, the UN Commission on Human Rights expressed its outrage that “the systematic practice of rape continues to be used as a weapon of war against women and children and as an instrument of ‘ethnic cleansing’” and recognized that “rape in these circumstances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1508" name="Imagen 15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a resolution adopted in 1996 on the situation of human rights in the territory of the former Yugoslavia,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 </w:t>
      </w:r>
      <w:r w:rsidRPr="00FB00FF">
        <w:rPr>
          <w:rFonts w:ascii="Times New Roman" w:eastAsia="Times New Roman" w:hAnsi="Times New Roman" w:cs="Times New Roman"/>
          <w:i/>
          <w:iCs/>
          <w:sz w:val="24"/>
          <w:szCs w:val="24"/>
          <w:lang w:val="en-US"/>
        </w:rPr>
        <w:t>Condemns</w:t>
      </w:r>
      <w:r w:rsidRPr="00FB00FF">
        <w:rPr>
          <w:rFonts w:ascii="Times New Roman" w:eastAsia="Times New Roman" w:hAnsi="Times New Roman" w:cs="Times New Roman"/>
          <w:sz w:val="24"/>
          <w:szCs w:val="24"/>
          <w:lang w:val="en-US"/>
        </w:rPr>
        <w:t xml:space="preserve"> </w:t>
      </w:r>
      <w:r w:rsidRPr="00FB00FF">
        <w:rPr>
          <w:rFonts w:ascii="Times New Roman" w:eastAsia="Times New Roman" w:hAnsi="Times New Roman" w:cs="Times New Roman"/>
          <w:i/>
          <w:iCs/>
          <w:sz w:val="24"/>
          <w:szCs w:val="24"/>
          <w:lang w:val="en-US"/>
        </w:rPr>
        <w:t>in the strongest terms</w:t>
      </w:r>
      <w:r w:rsidRPr="00FB00FF">
        <w:rPr>
          <w:rFonts w:ascii="Times New Roman" w:eastAsia="Times New Roman" w:hAnsi="Times New Roman" w:cs="Times New Roman"/>
          <w:sz w:val="24"/>
          <w:szCs w:val="24"/>
          <w:lang w:val="en-US"/>
        </w:rPr>
        <w:t xml:space="preserve"> all violations of human rights and international humanitarian law during the conflict … in particular massive and systematic violations, including … rape …, and reaffirms that all persons who plan, commit or authorize such acts will be held personally responsible and accountable;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 </w:t>
      </w:r>
      <w:r w:rsidRPr="00FB00FF">
        <w:rPr>
          <w:rFonts w:ascii="Times New Roman" w:eastAsia="Times New Roman" w:hAnsi="Times New Roman" w:cs="Times New Roman"/>
          <w:i/>
          <w:iCs/>
          <w:sz w:val="24"/>
          <w:szCs w:val="24"/>
          <w:lang w:val="en-US"/>
        </w:rPr>
        <w:t>Expresses its outrage</w:t>
      </w:r>
      <w:r w:rsidRPr="00FB00FF">
        <w:rPr>
          <w:rFonts w:ascii="Times New Roman" w:eastAsia="Times New Roman" w:hAnsi="Times New Roman" w:cs="Times New Roman"/>
          <w:sz w:val="24"/>
          <w:szCs w:val="24"/>
          <w:lang w:val="en-US"/>
        </w:rPr>
        <w:t xml:space="preserve"> that the abominable, deliberate and systematic practice of rape has been used as a weapon of war in the Republic of Bosnia and Herzegovina, recognizes that rape in this context constitutes a war crime, and calls for protection and care of rape victims, respect for the special needs of victims of sexual violence in the investigation and prosecution of alleged violations, and punishment of those responsible.</w:t>
      </w:r>
      <w:r>
        <w:rPr>
          <w:rFonts w:ascii="Times New Roman" w:eastAsia="Times New Roman" w:hAnsi="Times New Roman" w:cs="Times New Roman"/>
          <w:noProof/>
          <w:sz w:val="24"/>
          <w:szCs w:val="24"/>
        </w:rPr>
        <w:drawing>
          <wp:inline distT="0" distB="0" distL="0" distR="0">
            <wp:extent cx="151130" cy="142875"/>
            <wp:effectExtent l="19050" t="0" r="1270" b="0"/>
            <wp:docPr id="1509" name="Imagen 15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a resolution adopted in 1998 on abduction of children from northern Uganda, the UN Commission on Human Rights condemned in the strongest terms all parties involved in the rape of children.</w:t>
      </w:r>
      <w:r>
        <w:rPr>
          <w:rFonts w:ascii="Times New Roman" w:eastAsia="Times New Roman" w:hAnsi="Times New Roman" w:cs="Times New Roman"/>
          <w:noProof/>
          <w:sz w:val="24"/>
          <w:szCs w:val="24"/>
        </w:rPr>
        <w:drawing>
          <wp:inline distT="0" distB="0" distL="0" distR="0">
            <wp:extent cx="151130" cy="142875"/>
            <wp:effectExtent l="19050" t="0" r="1270" b="0"/>
            <wp:docPr id="1510" name="Imagen 15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a resolution adopted in 1998 on the rights of the child, the UN Commission on Human Rights reaffirmed: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That rape in the conduct of armed conflict constitutes a war crime and that under certain circumstances it constitutes a crime against humanity and an act of genocide, and calls upon all States to take all measures required for the protection of children and women </w:t>
      </w:r>
      <w:r w:rsidRPr="00FB00FF">
        <w:rPr>
          <w:rFonts w:ascii="Times New Roman" w:eastAsia="Times New Roman" w:hAnsi="Times New Roman" w:cs="Times New Roman"/>
          <w:sz w:val="24"/>
          <w:szCs w:val="24"/>
          <w:lang w:val="en-US"/>
        </w:rPr>
        <w:lastRenderedPageBreak/>
        <w:t>from all acts of gender-based violence, including rape, sexual exploitation and forced pregnancy.</w:t>
      </w:r>
      <w:r>
        <w:rPr>
          <w:rFonts w:ascii="Times New Roman" w:eastAsia="Times New Roman" w:hAnsi="Times New Roman" w:cs="Times New Roman"/>
          <w:noProof/>
          <w:sz w:val="24"/>
          <w:szCs w:val="24"/>
        </w:rPr>
        <w:drawing>
          <wp:inline distT="0" distB="0" distL="0" distR="0">
            <wp:extent cx="151130" cy="142875"/>
            <wp:effectExtent l="19050" t="0" r="1270" b="0"/>
            <wp:docPr id="1511" name="Imagen 15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2003 on the situation of human rights in Myanmar,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 Expresses its grave concern 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c</w:t>
      </w:r>
      <w:r w:rsidRPr="00FB00FF">
        <w:rPr>
          <w:rFonts w:ascii="Times New Roman" w:eastAsia="Times New Roman" w:hAnsi="Times New Roman" w:cs="Times New Roman"/>
          <w:sz w:val="24"/>
          <w:szCs w:val="24"/>
          <w:lang w:val="en-US"/>
        </w:rPr>
        <w:t>) … reports of rape and other forms of sexual violence persistently carried out by members of the armed forces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Strongly urges</w:t>
      </w:r>
      <w:r w:rsidRPr="00FB00FF">
        <w:rPr>
          <w:rFonts w:ascii="Times New Roman" w:eastAsia="Times New Roman" w:hAnsi="Times New Roman" w:cs="Times New Roman"/>
          <w:sz w:val="24"/>
          <w:szCs w:val="24"/>
          <w:lang w:val="en-US"/>
        </w:rPr>
        <w:t xml:space="preserve"> the Government of Myanmar: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c</w:t>
      </w:r>
      <w:r w:rsidRPr="00FB00FF">
        <w:rPr>
          <w:rFonts w:ascii="Times New Roman" w:eastAsia="Times New Roman" w:hAnsi="Times New Roman" w:cs="Times New Roman"/>
          <w:sz w:val="24"/>
          <w:szCs w:val="24"/>
          <w:lang w:val="en-US"/>
        </w:rPr>
        <w:t>) Without further delay to cooperate fully with the Special Rapporteur of the Commission on Human Rights to facilitate an independent international investigation of continuing reports of sexual violence and other abuse of civilians carried out by members of the armed forces in Shan and other States.</w:t>
      </w:r>
      <w:r>
        <w:rPr>
          <w:rFonts w:ascii="Times New Roman" w:eastAsia="Times New Roman" w:hAnsi="Times New Roman" w:cs="Times New Roman"/>
          <w:noProof/>
          <w:sz w:val="24"/>
          <w:szCs w:val="24"/>
        </w:rPr>
        <w:drawing>
          <wp:inline distT="0" distB="0" distL="0" distR="0">
            <wp:extent cx="151130" cy="142875"/>
            <wp:effectExtent l="19050" t="0" r="1270" b="0"/>
            <wp:docPr id="1512" name="Imagen 15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the situation of human rights in the Democratic Republic of the Congo, the UN Commission on Human Rights condemned the “widespread recourse to sexual violence against women and children, including as a means of warfare” and urged all parties to the conflict to “respect the rights of women and to take special measures to protect women and children from sexual and all other forms of violence”.</w:t>
      </w:r>
      <w:r>
        <w:rPr>
          <w:rFonts w:ascii="Times New Roman" w:eastAsia="Times New Roman" w:hAnsi="Times New Roman" w:cs="Times New Roman"/>
          <w:noProof/>
          <w:sz w:val="24"/>
          <w:szCs w:val="24"/>
        </w:rPr>
        <w:drawing>
          <wp:inline distT="0" distB="0" distL="0" distR="0">
            <wp:extent cx="151130" cy="142875"/>
            <wp:effectExtent l="19050" t="0" r="1270" b="0"/>
            <wp:docPr id="1513" name="Imagen 15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the situation of human rights in Burundi, the UN Commission on Human Rights: condemned “the intensifying violence, especially acts of rape committed against women” and urged all parties to the conflict “to end the cycle of violence and killings, especially blind violence against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1514" name="Imagen 15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2003 on the elimination of violence against women,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Recalling</w:t>
      </w:r>
      <w:r w:rsidRPr="00FB00FF">
        <w:rPr>
          <w:rFonts w:ascii="Times New Roman" w:eastAsia="Times New Roman" w:hAnsi="Times New Roman" w:cs="Times New Roman"/>
          <w:sz w:val="24"/>
          <w:szCs w:val="24"/>
          <w:lang w:val="en-US"/>
        </w:rPr>
        <w:t xml:space="preserve"> the inclusion of gender-related crimes and crimes of sexual violence in the Rome Statute of the International Criminal Court (A/CONF.183/9), which affirms that rape, sexual slavery, enforced prostitution, forced pregnancy, enforced sterilization and other forms of sexual violence constitute, in defined circumstances, a crime against humanity and/or a war crime, and reiterating that acts of sexual violence in situations of armed conflict can constitute serious violations or grave breaches of international humanitarian law,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Strongly condemns</w:t>
      </w:r>
      <w:r w:rsidRPr="00FB00FF">
        <w:rPr>
          <w:rFonts w:ascii="Times New Roman" w:eastAsia="Times New Roman" w:hAnsi="Times New Roman" w:cs="Times New Roman"/>
          <w:sz w:val="24"/>
          <w:szCs w:val="24"/>
          <w:lang w:val="en-US"/>
        </w:rPr>
        <w:t xml:space="preserve"> all acts of violence against women and girls and … emphasizes the duty of Governments to refrain from engaging in violence against women and to exercise due diligence to prevent, investigate and, in accordance with national legislation, punish acts of violence against women and to take appropriate and effective action concerning acts of violence against women, whether those acts are perpetrated by the State, by private persons or by armed groups or warring factions, and to provide access to just and effective remedies and specialized, including medical, assistance to victims;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14. </w:t>
      </w:r>
      <w:r w:rsidRPr="00FB00FF">
        <w:rPr>
          <w:rFonts w:ascii="Times New Roman" w:eastAsia="Times New Roman" w:hAnsi="Times New Roman" w:cs="Times New Roman"/>
          <w:i/>
          <w:iCs/>
          <w:sz w:val="24"/>
          <w:szCs w:val="24"/>
          <w:lang w:val="en-US"/>
        </w:rPr>
        <w:t>Stresses</w:t>
      </w:r>
      <w:r w:rsidRPr="00FB00FF">
        <w:rPr>
          <w:rFonts w:ascii="Times New Roman" w:eastAsia="Times New Roman" w:hAnsi="Times New Roman" w:cs="Times New Roman"/>
          <w:sz w:val="24"/>
          <w:szCs w:val="24"/>
          <w:lang w:val="en-US"/>
        </w:rPr>
        <w:t xml:space="preserve"> that States have an affirmative duty to promote and protect the human rights of women and girls and must exercise due diligence to prevent, investigate and punish acts of all forms of violence against women and girls, and calls upon States: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g</w:t>
      </w:r>
      <w:r w:rsidRPr="00FB00FF">
        <w:rPr>
          <w:rFonts w:ascii="Times New Roman" w:eastAsia="Times New Roman" w:hAnsi="Times New Roman" w:cs="Times New Roman"/>
          <w:sz w:val="24"/>
          <w:szCs w:val="24"/>
          <w:lang w:val="en-US"/>
        </w:rPr>
        <w:t xml:space="preserve">) To enact and, where necessary, reinforce or amend domestic legislation, including measures to enhance the protection of victims, to investigate, prosecute, punish and </w:t>
      </w:r>
      <w:r w:rsidRPr="00FB00FF">
        <w:rPr>
          <w:rFonts w:ascii="Times New Roman" w:eastAsia="Times New Roman" w:hAnsi="Times New Roman" w:cs="Times New Roman"/>
          <w:sz w:val="24"/>
          <w:szCs w:val="24"/>
          <w:lang w:val="en-US"/>
        </w:rPr>
        <w:lastRenderedPageBreak/>
        <w:t>redress the wrongs done to women and girls subjected to any form of violence, whether in the home, the workplace, the community or society, in custody or in situations of armed conflict, to ensure that such legislation conforms with relevant international human rights instruments and humanitarian law, and to take action to investigate and punish persons who perpetrate acts of violence against women;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15. </w:t>
      </w:r>
      <w:r w:rsidRPr="00FB00FF">
        <w:rPr>
          <w:rFonts w:ascii="Times New Roman" w:eastAsia="Times New Roman" w:hAnsi="Times New Roman" w:cs="Times New Roman"/>
          <w:i/>
          <w:iCs/>
          <w:sz w:val="24"/>
          <w:szCs w:val="24"/>
          <w:lang w:val="en-US"/>
        </w:rPr>
        <w:t>Strongly condemns</w:t>
      </w:r>
      <w:r w:rsidRPr="00FB00FF">
        <w:rPr>
          <w:rFonts w:ascii="Times New Roman" w:eastAsia="Times New Roman" w:hAnsi="Times New Roman" w:cs="Times New Roman"/>
          <w:sz w:val="24"/>
          <w:szCs w:val="24"/>
          <w:lang w:val="en-US"/>
        </w:rPr>
        <w:t xml:space="preserve"> violence against women committed in situations of armed conflict, such as murder, rape, including systematic rape, sexual slavery and forced pregnancy, and calls for effective responses to these violations of international human rights and humanitarian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16. </w:t>
      </w:r>
      <w:r w:rsidRPr="00FB00FF">
        <w:rPr>
          <w:rFonts w:ascii="Times New Roman" w:eastAsia="Times New Roman" w:hAnsi="Times New Roman" w:cs="Times New Roman"/>
          <w:i/>
          <w:iCs/>
          <w:sz w:val="24"/>
          <w:szCs w:val="24"/>
          <w:lang w:val="en-US"/>
        </w:rPr>
        <w:t>Acknowledges</w:t>
      </w:r>
      <w:r w:rsidRPr="00FB00FF">
        <w:rPr>
          <w:rFonts w:ascii="Times New Roman" w:eastAsia="Times New Roman" w:hAnsi="Times New Roman" w:cs="Times New Roman"/>
          <w:sz w:val="24"/>
          <w:szCs w:val="24"/>
          <w:lang w:val="en-US"/>
        </w:rPr>
        <w:t xml:space="preserve"> the inclusion of gender-related crimes in the Rome Statute of the International Criminal Court and in the Elements of Crimes, and urges States to ratify or accede to the Rome Statute, which entered into force on 1 July 2002;</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17. </w:t>
      </w:r>
      <w:r w:rsidRPr="00FB00FF">
        <w:rPr>
          <w:rFonts w:ascii="Times New Roman" w:eastAsia="Times New Roman" w:hAnsi="Times New Roman" w:cs="Times New Roman"/>
          <w:i/>
          <w:iCs/>
          <w:sz w:val="24"/>
          <w:szCs w:val="24"/>
          <w:lang w:val="en-US"/>
        </w:rPr>
        <w:t>Stresses the importance of</w:t>
      </w:r>
      <w:r w:rsidRPr="00FB00FF">
        <w:rPr>
          <w:rFonts w:ascii="Times New Roman" w:eastAsia="Times New Roman" w:hAnsi="Times New Roman" w:cs="Times New Roman"/>
          <w:sz w:val="24"/>
          <w:szCs w:val="24"/>
          <w:lang w:val="en-US"/>
        </w:rPr>
        <w:t xml:space="preserve"> efforts to eliminate impunity for violence against women in situations of armed conflict, including by prosecuting gender-related crimes and crimes of sexual violence in the International Criminal Tribunal for the Former Yugoslavia and the International Tribunal for Rwanda.</w:t>
      </w:r>
      <w:r>
        <w:rPr>
          <w:rFonts w:ascii="Times New Roman" w:eastAsia="Times New Roman" w:hAnsi="Times New Roman" w:cs="Times New Roman"/>
          <w:noProof/>
          <w:sz w:val="24"/>
          <w:szCs w:val="24"/>
        </w:rPr>
        <w:drawing>
          <wp:inline distT="0" distB="0" distL="0" distR="0">
            <wp:extent cx="151130" cy="142875"/>
            <wp:effectExtent l="19050" t="0" r="1270" b="0"/>
            <wp:docPr id="1515" name="Imagen 15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human rights and mass exoduses,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Expresses its grave concern</w:t>
      </w:r>
      <w:r w:rsidRPr="00FB00FF">
        <w:rPr>
          <w:rFonts w:ascii="Times New Roman" w:eastAsia="Times New Roman" w:hAnsi="Times New Roman" w:cs="Times New Roman"/>
          <w:sz w:val="24"/>
          <w:szCs w:val="24"/>
          <w:lang w:val="en-US"/>
        </w:rPr>
        <w:t xml:space="preserve"> at allegations of sexual exploitation of and violence against refugees and internally displaced persons, condemns all instances of abuse and exploitation of such persons, and calls on all relevant agencies to ensure the effective implementation and monitoring of the United Nations Inter-Agency Standing Committee Plan of Action on “Protection from Sexual Exploitation and Abuse in Humanitarian Crises” and other relevant codes of conduct.</w:t>
      </w:r>
      <w:r>
        <w:rPr>
          <w:rFonts w:ascii="Times New Roman" w:eastAsia="Times New Roman" w:hAnsi="Times New Roman" w:cs="Times New Roman"/>
          <w:noProof/>
          <w:sz w:val="24"/>
          <w:szCs w:val="24"/>
        </w:rPr>
        <w:drawing>
          <wp:inline distT="0" distB="0" distL="0" distR="0">
            <wp:extent cx="151130" cy="142875"/>
            <wp:effectExtent l="19050" t="0" r="1270" b="0"/>
            <wp:docPr id="1516" name="Imagen 15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impunity,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Stresses</w:t>
      </w:r>
      <w:r w:rsidRPr="00FB00FF">
        <w:rPr>
          <w:rFonts w:ascii="Times New Roman" w:eastAsia="Times New Roman" w:hAnsi="Times New Roman" w:cs="Times New Roman"/>
          <w:sz w:val="24"/>
          <w:szCs w:val="24"/>
          <w:lang w:val="en-US"/>
        </w:rPr>
        <w:t xml:space="preserve"> the importance of bringing to justice those responsible for gender-related crimes and crimes of sexual violence that constitute in defined circumstances crimes against humanity and/or war crimes and/or serious violations or grave breaches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517" name="Imagen 15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2003 on assistance to Somalia in the field of human rights, the UN Commission on Human Rights expressed its deep concern “at reported cases of rape, arbitrary and summary executions, torture and other cruel, inhuman or degrading treatment or punishment and violence, in particular against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1518" name="Imagen 15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2003 on the rights of the child,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22. </w:t>
      </w:r>
      <w:r w:rsidRPr="00FB00FF">
        <w:rPr>
          <w:rFonts w:ascii="Times New Roman" w:eastAsia="Times New Roman" w:hAnsi="Times New Roman" w:cs="Times New Roman"/>
          <w:i/>
          <w:iCs/>
          <w:sz w:val="24"/>
          <w:szCs w:val="24"/>
          <w:lang w:val="en-US"/>
        </w:rPr>
        <w:t>Calls upo</w:t>
      </w:r>
      <w:r w:rsidRPr="00FB00FF">
        <w:rPr>
          <w:rFonts w:ascii="Times New Roman" w:eastAsia="Times New Roman" w:hAnsi="Times New Roman" w:cs="Times New Roman"/>
          <w:sz w:val="24"/>
          <w:szCs w:val="24"/>
          <w:lang w:val="en-US"/>
        </w:rPr>
        <w:t>n all States to take all appropriate national, bilateral and multilateral measures to prevent, and to protect children from, all forms of physical, sexual and psychological violence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27.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To eliminate all forms of discrimination against girls and all forms of violence, including … rape, sexual abuse and harmful traditional or customary practices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32.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 to protect refugee, asylum-seeking and internally displaced children, in particular those who are unaccompanied, [and those] who are particularly exposed to risks in connection with armed conflict, such as … sexual violence and exploitation.</w:t>
      </w:r>
      <w:r>
        <w:rPr>
          <w:rFonts w:ascii="Times New Roman" w:eastAsia="Times New Roman" w:hAnsi="Times New Roman" w:cs="Times New Roman"/>
          <w:noProof/>
          <w:sz w:val="24"/>
          <w:szCs w:val="24"/>
        </w:rPr>
        <w:drawing>
          <wp:inline distT="0" distB="0" distL="0" distR="0">
            <wp:extent cx="151130" cy="142875"/>
            <wp:effectExtent l="19050" t="0" r="1270" b="0"/>
            <wp:docPr id="1519" name="Imagen 15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lastRenderedPageBreak/>
        <w:t xml:space="preserve">In a resolution adopted in 2004 on the elimination of violence against women,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Recalling</w:t>
      </w:r>
      <w:r w:rsidRPr="00FB00FF">
        <w:rPr>
          <w:rFonts w:ascii="Times New Roman" w:eastAsia="Times New Roman" w:hAnsi="Times New Roman" w:cs="Times New Roman"/>
          <w:sz w:val="24"/>
          <w:szCs w:val="24"/>
          <w:lang w:val="en-US"/>
        </w:rPr>
        <w:t xml:space="preserve"> the inclusion of gender</w:t>
      </w:r>
      <w:r w:rsidRPr="00FB00FF">
        <w:rPr>
          <w:rFonts w:ascii="Times New Roman" w:eastAsia="Times New Roman" w:hAnsi="Times New Roman" w:cs="Times New Roman"/>
          <w:sz w:val="24"/>
          <w:szCs w:val="24"/>
          <w:lang w:val="en-US"/>
        </w:rPr>
        <w:noBreakHyphen/>
        <w:t>related crimes and crimes of sexual violence in the Rome Statute of the International Criminal Court (A/CONF.183/9), which affirms that rape, sexual slavery, enforced prostitution, forced pregnancy, enforced sterilization and other forms of sexual violence constitute, in defined circumstances, a crime against humanity and/or a war crime, and reiterating that acts of sexual violence in situations of armed conflict can constitute serious violations or grave breaches of international humanitarian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 </w:t>
      </w:r>
      <w:r w:rsidRPr="00FB00FF">
        <w:rPr>
          <w:rFonts w:ascii="Times New Roman" w:eastAsia="Times New Roman" w:hAnsi="Times New Roman" w:cs="Times New Roman"/>
          <w:i/>
          <w:iCs/>
          <w:sz w:val="24"/>
          <w:szCs w:val="24"/>
          <w:lang w:val="en-US"/>
        </w:rPr>
        <w:t>Strongly condemns</w:t>
      </w:r>
      <w:r w:rsidRPr="00FB00FF">
        <w:rPr>
          <w:rFonts w:ascii="Times New Roman" w:eastAsia="Times New Roman" w:hAnsi="Times New Roman" w:cs="Times New Roman"/>
          <w:sz w:val="24"/>
          <w:szCs w:val="24"/>
          <w:lang w:val="en-US"/>
        </w:rPr>
        <w:t xml:space="preserve"> all acts of violence against women and girls and in this regard calls, in accordance with the Declaration on the Elimination of Violence against Women, for the elimination of all forms of gender</w:t>
      </w:r>
      <w:r w:rsidRPr="00FB00FF">
        <w:rPr>
          <w:rFonts w:ascii="Times New Roman" w:eastAsia="Times New Roman" w:hAnsi="Times New Roman" w:cs="Times New Roman"/>
          <w:sz w:val="24"/>
          <w:szCs w:val="24"/>
          <w:lang w:val="en-US"/>
        </w:rPr>
        <w:noBreakHyphen/>
        <w:t>based violence in the family, within the general community and where perpetrated or condoned by the State, and emphasizes the duty of Governments to refrain from engaging in violence against women and to take appropriate and effective action concerning acts of violence against women, whether those acts are perpetrated by the State, by private persons or non</w:t>
      </w:r>
      <w:r w:rsidRPr="00FB00FF">
        <w:rPr>
          <w:rFonts w:ascii="Times New Roman" w:eastAsia="Times New Roman" w:hAnsi="Times New Roman" w:cs="Times New Roman"/>
          <w:sz w:val="24"/>
          <w:szCs w:val="24"/>
          <w:lang w:val="en-US"/>
        </w:rPr>
        <w:noBreakHyphen/>
        <w:t>State actors, and to provide access to just and effective remedies and specialized, including medical, assistance to victims;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15. </w:t>
      </w:r>
      <w:r w:rsidRPr="00FB00FF">
        <w:rPr>
          <w:rFonts w:ascii="Times New Roman" w:eastAsia="Times New Roman" w:hAnsi="Times New Roman" w:cs="Times New Roman"/>
          <w:i/>
          <w:iCs/>
          <w:sz w:val="24"/>
          <w:szCs w:val="24"/>
          <w:lang w:val="en-US"/>
        </w:rPr>
        <w:t>Stresses</w:t>
      </w:r>
      <w:r w:rsidRPr="00FB00FF">
        <w:rPr>
          <w:rFonts w:ascii="Times New Roman" w:eastAsia="Times New Roman" w:hAnsi="Times New Roman" w:cs="Times New Roman"/>
          <w:sz w:val="24"/>
          <w:szCs w:val="24"/>
          <w:lang w:val="en-US"/>
        </w:rPr>
        <w:t xml:space="preserve"> that States have an affirmative duty to promote and protect the human rights and fundamental freedoms of women and girls and must exercise due diligence to prevent, investigate and punish all acts of violence against women and girls, and calls upon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h</w:t>
      </w:r>
      <w:r w:rsidRPr="00FB00FF">
        <w:rPr>
          <w:rFonts w:ascii="Times New Roman" w:eastAsia="Times New Roman" w:hAnsi="Times New Roman" w:cs="Times New Roman"/>
          <w:sz w:val="24"/>
          <w:szCs w:val="24"/>
          <w:lang w:val="en-US"/>
        </w:rPr>
        <w:t>) To enact and, where necessary, reinforce or amend domestic legislation, including measures to enhance the protection of victims, to investigate, prosecute, punish and redress the wrongs done to women and girls subjected to any form of violence, whether in the home, the workplace, the community or society, in custody or in situations of armed conflict, to ensure that such legislation conforms with relevant international human rights instruments and international humanitarian law, and to take action to investigate and punish persons who perpetrate acts of violence against women;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16. </w:t>
      </w:r>
      <w:r w:rsidRPr="00FB00FF">
        <w:rPr>
          <w:rFonts w:ascii="Times New Roman" w:eastAsia="Times New Roman" w:hAnsi="Times New Roman" w:cs="Times New Roman"/>
          <w:i/>
          <w:iCs/>
          <w:sz w:val="24"/>
          <w:szCs w:val="24"/>
          <w:lang w:val="en-US"/>
        </w:rPr>
        <w:t>Strongly condemns</w:t>
      </w:r>
      <w:r w:rsidRPr="00FB00FF">
        <w:rPr>
          <w:rFonts w:ascii="Times New Roman" w:eastAsia="Times New Roman" w:hAnsi="Times New Roman" w:cs="Times New Roman"/>
          <w:sz w:val="24"/>
          <w:szCs w:val="24"/>
          <w:lang w:val="en-US"/>
        </w:rPr>
        <w:t xml:space="preserve"> violence against women committed in situations of armed conflict, such as murder, rape, including systematic rape, sexual slavery and forced pregnancy, and calls for effective responses to these violations of human rights and international humanitarian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 </w:t>
      </w:r>
      <w:r w:rsidRPr="00FB00FF">
        <w:rPr>
          <w:rFonts w:ascii="Times New Roman" w:eastAsia="Times New Roman" w:hAnsi="Times New Roman" w:cs="Times New Roman"/>
          <w:i/>
          <w:iCs/>
          <w:sz w:val="24"/>
          <w:szCs w:val="24"/>
          <w:lang w:val="en-US"/>
        </w:rPr>
        <w:t>Acknowledges</w:t>
      </w:r>
      <w:r w:rsidRPr="00FB00FF">
        <w:rPr>
          <w:rFonts w:ascii="Times New Roman" w:eastAsia="Times New Roman" w:hAnsi="Times New Roman" w:cs="Times New Roman"/>
          <w:sz w:val="24"/>
          <w:szCs w:val="24"/>
          <w:lang w:val="en-US"/>
        </w:rPr>
        <w:t xml:space="preserve"> the inclusion of gender</w:t>
      </w:r>
      <w:r w:rsidRPr="00FB00FF">
        <w:rPr>
          <w:rFonts w:ascii="Times New Roman" w:eastAsia="Times New Roman" w:hAnsi="Times New Roman" w:cs="Times New Roman"/>
          <w:sz w:val="24"/>
          <w:szCs w:val="24"/>
          <w:lang w:val="en-US"/>
        </w:rPr>
        <w:noBreakHyphen/>
        <w:t>related crimes in the Rome Statute of the International Criminal Court and in the Elements of Crimes, adopted by the Assembly of State Parties to the Rome Statute in September 2002, and urges States to ratify or accede to the Rome Statute, which entered into force on 1 July 2002;</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 </w:t>
      </w:r>
      <w:r w:rsidRPr="00FB00FF">
        <w:rPr>
          <w:rFonts w:ascii="Times New Roman" w:eastAsia="Times New Roman" w:hAnsi="Times New Roman" w:cs="Times New Roman"/>
          <w:i/>
          <w:iCs/>
          <w:sz w:val="24"/>
          <w:szCs w:val="24"/>
          <w:lang w:val="en-US"/>
        </w:rPr>
        <w:t xml:space="preserve">Stresses the importance </w:t>
      </w:r>
      <w:r w:rsidRPr="00FB00FF">
        <w:rPr>
          <w:rFonts w:ascii="Times New Roman" w:eastAsia="Times New Roman" w:hAnsi="Times New Roman" w:cs="Times New Roman"/>
          <w:sz w:val="24"/>
          <w:szCs w:val="24"/>
          <w:lang w:val="en-US"/>
        </w:rPr>
        <w:t>of efforts to eliminate impunity for violence against women and girls in situations of armed conflict, including by prosecuting gender</w:t>
      </w:r>
      <w:r w:rsidRPr="00FB00FF">
        <w:rPr>
          <w:rFonts w:ascii="Times New Roman" w:eastAsia="Times New Roman" w:hAnsi="Times New Roman" w:cs="Times New Roman"/>
          <w:sz w:val="24"/>
          <w:szCs w:val="24"/>
          <w:lang w:val="en-US"/>
        </w:rPr>
        <w:noBreakHyphen/>
        <w:t>related crimes and crimes of sexual violence</w:t>
      </w:r>
      <w:r w:rsidRPr="00FB00FF">
        <w:rPr>
          <w:rFonts w:ascii="Times New Roman" w:eastAsia="Times New Roman" w:hAnsi="Times New Roman" w:cs="Times New Roman"/>
          <w:b/>
          <w:bCs/>
          <w:sz w:val="24"/>
          <w:szCs w:val="24"/>
          <w:lang w:val="en-US"/>
        </w:rPr>
        <w:t xml:space="preserve"> </w:t>
      </w:r>
      <w:r w:rsidRPr="00FB00FF">
        <w:rPr>
          <w:rFonts w:ascii="Times New Roman" w:eastAsia="Times New Roman" w:hAnsi="Times New Roman" w:cs="Times New Roman"/>
          <w:sz w:val="24"/>
          <w:szCs w:val="24"/>
          <w:lang w:val="en-US"/>
        </w:rPr>
        <w:t>by providing protective measures, counselling and other appropriate assistance, to victims and witnesses in international and internationally</w:t>
      </w:r>
      <w:r w:rsidRPr="00FB00FF">
        <w:rPr>
          <w:rFonts w:ascii="Times New Roman" w:eastAsia="Times New Roman" w:hAnsi="Times New Roman" w:cs="Times New Roman"/>
          <w:sz w:val="24"/>
          <w:szCs w:val="24"/>
          <w:lang w:val="en-US"/>
        </w:rPr>
        <w:noBreakHyphen/>
        <w:t>supported courts and tribunals.</w:t>
      </w:r>
      <w:r>
        <w:rPr>
          <w:rFonts w:ascii="Times New Roman" w:eastAsia="Times New Roman" w:hAnsi="Times New Roman" w:cs="Times New Roman"/>
          <w:noProof/>
          <w:sz w:val="24"/>
          <w:szCs w:val="24"/>
        </w:rPr>
        <w:drawing>
          <wp:inline distT="0" distB="0" distL="0" distR="0">
            <wp:extent cx="151130" cy="142875"/>
            <wp:effectExtent l="19050" t="0" r="1270" b="0"/>
            <wp:docPr id="1520" name="Imagen 15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2004 on the rights of the child,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22.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 to take all appropriate national, bilateral and multilateral </w:t>
      </w:r>
      <w:r w:rsidRPr="00FB00FF">
        <w:rPr>
          <w:rFonts w:ascii="Times New Roman" w:eastAsia="Times New Roman" w:hAnsi="Times New Roman" w:cs="Times New Roman"/>
          <w:sz w:val="24"/>
          <w:szCs w:val="24"/>
          <w:lang w:val="en-US"/>
        </w:rPr>
        <w:lastRenderedPageBreak/>
        <w:t>measures to prevent, and to protect children from, all forms of physical, sexual and psychological violence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27.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To eliminate all forms of discrimination against girls and all forms of violence, including … rape, sexual abuse and harmful traditional or customary practices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32.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 to protect refugee, asylum</w:t>
      </w:r>
      <w:r w:rsidRPr="00FB00FF">
        <w:rPr>
          <w:rFonts w:ascii="Times New Roman" w:eastAsia="Times New Roman" w:hAnsi="Times New Roman" w:cs="Times New Roman"/>
          <w:sz w:val="24"/>
          <w:szCs w:val="24"/>
          <w:lang w:val="en-US"/>
        </w:rPr>
        <w:noBreakHyphen/>
        <w:t>seeking and internally displaced children, in particular those who are unaccompanied, [and those] who are particularly exposed to risks in connection with armed conflict, such as … sexual violence and exploitation;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37.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d</w:t>
      </w:r>
      <w:r w:rsidRPr="00FB00FF">
        <w:rPr>
          <w:rFonts w:ascii="Times New Roman" w:eastAsia="Times New Roman" w:hAnsi="Times New Roman" w:cs="Times New Roman"/>
          <w:sz w:val="24"/>
          <w:szCs w:val="24"/>
          <w:lang w:val="en-US"/>
        </w:rPr>
        <w:t xml:space="preserve">) To criminalize and effectively penalize all forms of sexual exploitation and sexual abuse of children …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41. </w:t>
      </w:r>
      <w:r w:rsidRPr="00FB00FF">
        <w:rPr>
          <w:rFonts w:ascii="Times New Roman" w:eastAsia="Times New Roman" w:hAnsi="Times New Roman" w:cs="Times New Roman"/>
          <w:i/>
          <w:iCs/>
          <w:sz w:val="24"/>
          <w:szCs w:val="24"/>
          <w:lang w:val="en-US"/>
        </w:rPr>
        <w:t>Recognizes</w:t>
      </w:r>
      <w:r w:rsidRPr="00FB00FF">
        <w:rPr>
          <w:rFonts w:ascii="Times New Roman" w:eastAsia="Times New Roman" w:hAnsi="Times New Roman" w:cs="Times New Roman"/>
          <w:sz w:val="24"/>
          <w:szCs w:val="24"/>
          <w:lang w:val="en-US"/>
        </w:rPr>
        <w:t xml:space="preserve"> the inclusion in the Rome Statute of the International Criminal Court (A/CONF.183/9), as a war crime, of crimes involving sexual violence.</w:t>
      </w:r>
      <w:r>
        <w:rPr>
          <w:rFonts w:ascii="Times New Roman" w:eastAsia="Times New Roman" w:hAnsi="Times New Roman" w:cs="Times New Roman"/>
          <w:noProof/>
          <w:sz w:val="24"/>
          <w:szCs w:val="24"/>
        </w:rPr>
        <w:drawing>
          <wp:inline distT="0" distB="0" distL="0" distR="0">
            <wp:extent cx="151130" cy="142875"/>
            <wp:effectExtent l="19050" t="0" r="1270" b="0"/>
            <wp:docPr id="1521" name="Imagen 15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2004 on the situation of human rights in Myanmar, the UN Commission on Human Rights: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 Expresses its grave concern at: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d</w:t>
      </w:r>
      <w:r w:rsidRPr="00FB00FF">
        <w:rPr>
          <w:rFonts w:ascii="Times New Roman" w:eastAsia="Times New Roman" w:hAnsi="Times New Roman" w:cs="Times New Roman"/>
          <w:sz w:val="24"/>
          <w:szCs w:val="24"/>
          <w:lang w:val="en-US"/>
        </w:rPr>
        <w:t xml:space="preserve">) … rape and other forms of sexual violence persistently carried out by members of the armed forces …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Strongly urges</w:t>
      </w:r>
      <w:r w:rsidRPr="00FB00FF">
        <w:rPr>
          <w:rFonts w:ascii="Times New Roman" w:eastAsia="Times New Roman" w:hAnsi="Times New Roman" w:cs="Times New Roman"/>
          <w:sz w:val="24"/>
          <w:szCs w:val="24"/>
          <w:lang w:val="en-US"/>
        </w:rPr>
        <w:t xml:space="preserve"> the Government of Myanmar: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g</w:t>
      </w:r>
      <w:r w:rsidRPr="00FB00FF">
        <w:rPr>
          <w:rFonts w:ascii="Times New Roman" w:eastAsia="Times New Roman" w:hAnsi="Times New Roman" w:cs="Times New Roman"/>
          <w:sz w:val="24"/>
          <w:szCs w:val="24"/>
          <w:lang w:val="en-US"/>
        </w:rPr>
        <w:t>) Without further delay to cooperate fully with the Special Rapporteur to facilitate an independent international investigation of continuing reports of sexual violence and other abuse of civilians carried out by members of the armed forces in Shan and other states.</w:t>
      </w:r>
      <w:r>
        <w:rPr>
          <w:rFonts w:ascii="Times New Roman" w:eastAsia="Times New Roman" w:hAnsi="Times New Roman" w:cs="Times New Roman"/>
          <w:noProof/>
          <w:sz w:val="24"/>
          <w:szCs w:val="24"/>
        </w:rPr>
        <w:drawing>
          <wp:inline distT="0" distB="0" distL="0" distR="0">
            <wp:extent cx="151130" cy="142875"/>
            <wp:effectExtent l="19050" t="0" r="1270" b="0"/>
            <wp:docPr id="1522" name="Imagen 15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2004 on impunity, the UN Commission on Human Rights urged States “to bring to justice those responsible for gender-related crimes and crimes of sexual violence that constitute, in defined circumstances, genocide, crimes against humanity, or war crimes”.</w:t>
      </w:r>
      <w:r>
        <w:rPr>
          <w:rFonts w:ascii="Times New Roman" w:eastAsia="Times New Roman" w:hAnsi="Times New Roman" w:cs="Times New Roman"/>
          <w:noProof/>
          <w:sz w:val="24"/>
          <w:szCs w:val="24"/>
        </w:rPr>
        <w:drawing>
          <wp:inline distT="0" distB="0" distL="0" distR="0">
            <wp:extent cx="151130" cy="142875"/>
            <wp:effectExtent l="19050" t="0" r="1270" b="0"/>
            <wp:docPr id="1523" name="Imagen 15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2004 on the protection of UN personnel, the UN Commission on Human Rights strongly condemned “rape and sexual assault … and other hostile acts against United Nations and associated personnel and other personnel acting under the authority of United Nations operations, as well as personnel of international humanitarian organizations”.</w:t>
      </w:r>
      <w:r>
        <w:rPr>
          <w:rFonts w:ascii="Times New Roman" w:eastAsia="Times New Roman" w:hAnsi="Times New Roman" w:cs="Times New Roman"/>
          <w:noProof/>
          <w:sz w:val="24"/>
          <w:szCs w:val="24"/>
        </w:rPr>
        <w:drawing>
          <wp:inline distT="0" distB="0" distL="0" distR="0">
            <wp:extent cx="151130" cy="142875"/>
            <wp:effectExtent l="19050" t="0" r="1270" b="0"/>
            <wp:docPr id="1524" name="Imagen 15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2004 on assistance to Somalia in the field of human rights,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Expresses deep concern</w:t>
      </w:r>
      <w:r w:rsidRPr="00FB00FF">
        <w:rPr>
          <w:rFonts w:ascii="Times New Roman" w:eastAsia="Times New Roman" w:hAnsi="Times New Roman" w:cs="Times New Roman"/>
          <w:sz w:val="24"/>
          <w:szCs w:val="24"/>
          <w:lang w:val="en-US"/>
        </w:rPr>
        <w:t xml:space="preserve"> at reported cases of rape, arbitrary and summary executions, torture and other cruel, inhuman or degrading treatment or punishment and violence, in particular against women and children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7. </w:t>
      </w:r>
      <w:r w:rsidRPr="00FB00FF">
        <w:rPr>
          <w:rFonts w:ascii="Times New Roman" w:eastAsia="Times New Roman" w:hAnsi="Times New Roman" w:cs="Times New Roman"/>
          <w:i/>
          <w:iCs/>
          <w:sz w:val="24"/>
          <w:szCs w:val="24"/>
          <w:lang w:val="en-US"/>
        </w:rPr>
        <w:t>Expresses deep concern</w:t>
      </w:r>
      <w:r w:rsidRPr="00FB00FF">
        <w:rPr>
          <w:rFonts w:ascii="Times New Roman" w:eastAsia="Times New Roman" w:hAnsi="Times New Roman" w:cs="Times New Roman"/>
          <w:sz w:val="24"/>
          <w:szCs w:val="24"/>
          <w:lang w:val="en-US"/>
        </w:rPr>
        <w:t xml:space="preserve"> at the prevalence of sexual violence, in particular among </w:t>
      </w:r>
      <w:r w:rsidRPr="00FB00FF">
        <w:rPr>
          <w:rFonts w:ascii="Times New Roman" w:eastAsia="Times New Roman" w:hAnsi="Times New Roman" w:cs="Times New Roman"/>
          <w:sz w:val="24"/>
          <w:szCs w:val="24"/>
          <w:lang w:val="en-US"/>
        </w:rPr>
        <w:lastRenderedPageBreak/>
        <w:t>displaced children, imprisoned children and children engaged in exploitative and hazardous labour.</w:t>
      </w:r>
      <w:r>
        <w:rPr>
          <w:rFonts w:ascii="Times New Roman" w:eastAsia="Times New Roman" w:hAnsi="Times New Roman" w:cs="Times New Roman"/>
          <w:noProof/>
          <w:sz w:val="24"/>
          <w:szCs w:val="24"/>
        </w:rPr>
        <w:drawing>
          <wp:inline distT="0" distB="0" distL="0" distR="0">
            <wp:extent cx="151130" cy="142875"/>
            <wp:effectExtent l="19050" t="0" r="1270" b="0"/>
            <wp:docPr id="1525" name="Imagen 15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2004 on technical cooperation and advisory services in Liberia, the UN Commission on Human Rights expressed its deep concern at “[t]he extent of sexual violence perpetrated against women and girls”.</w:t>
      </w:r>
      <w:r>
        <w:rPr>
          <w:rFonts w:ascii="Times New Roman" w:eastAsia="Times New Roman" w:hAnsi="Times New Roman" w:cs="Times New Roman"/>
          <w:noProof/>
          <w:sz w:val="24"/>
          <w:szCs w:val="24"/>
        </w:rPr>
        <w:drawing>
          <wp:inline distT="0" distB="0" distL="0" distR="0">
            <wp:extent cx="151130" cy="142875"/>
            <wp:effectExtent l="19050" t="0" r="1270" b="0"/>
            <wp:docPr id="1526" name="Imagen 15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2004 on technical cooperation and advisory services in the Democratic Republic of the Congo, the UN Commission on Human Rights condemned “[t]he widespread recourse to sexual violence against women and children, as a means of subduing the civilian population” and urged all parties “[t]o respect and promote the full exercise of all human rights by women and to take special measures to protect women and children from all sexual and other forms of violence”.</w:t>
      </w:r>
      <w:r>
        <w:rPr>
          <w:rFonts w:ascii="Times New Roman" w:eastAsia="Times New Roman" w:hAnsi="Times New Roman" w:cs="Times New Roman"/>
          <w:noProof/>
          <w:sz w:val="24"/>
          <w:szCs w:val="24"/>
        </w:rPr>
        <w:drawing>
          <wp:inline distT="0" distB="0" distL="0" distR="0">
            <wp:extent cx="151130" cy="142875"/>
            <wp:effectExtent l="19050" t="0" r="1270" b="0"/>
            <wp:docPr id="1527" name="Imagen 15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the situation of human rights in Myanmar,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 Expresses its grave concern 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f</w:t>
      </w:r>
      <w:r w:rsidRPr="00FB00FF">
        <w:rPr>
          <w:rFonts w:ascii="Times New Roman" w:eastAsia="Times New Roman" w:hAnsi="Times New Roman" w:cs="Times New Roman"/>
          <w:sz w:val="24"/>
          <w:szCs w:val="24"/>
          <w:lang w:val="en-US"/>
        </w:rPr>
        <w:t>) … rape and other forms of sexual violence persistently carried out by members of the armed forces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Also calls upon</w:t>
      </w:r>
      <w:r w:rsidRPr="00FB00FF">
        <w:rPr>
          <w:rFonts w:ascii="Times New Roman" w:eastAsia="Times New Roman" w:hAnsi="Times New Roman" w:cs="Times New Roman"/>
          <w:sz w:val="24"/>
          <w:szCs w:val="24"/>
          <w:lang w:val="en-US"/>
        </w:rPr>
        <w:t xml:space="preserve"> the Government of Myanmar:</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d</w:t>
      </w:r>
      <w:r w:rsidRPr="00FB00FF">
        <w:rPr>
          <w:rFonts w:ascii="Times New Roman" w:eastAsia="Times New Roman" w:hAnsi="Times New Roman" w:cs="Times New Roman"/>
          <w:sz w:val="24"/>
          <w:szCs w:val="24"/>
          <w:lang w:val="en-US"/>
        </w:rPr>
        <w:t>) To end widespread rape and other forms of sexual violence persistently carried out by members of the armed forces, in particular against women belonging to ethnic minorities, and to investigate and bring to justice any perpetrators in order to end impunity for these acts;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6. </w:t>
      </w:r>
      <w:r w:rsidRPr="00FB00FF">
        <w:rPr>
          <w:rFonts w:ascii="Times New Roman" w:eastAsia="Times New Roman" w:hAnsi="Times New Roman" w:cs="Times New Roman"/>
          <w:i/>
          <w:iCs/>
          <w:sz w:val="24"/>
          <w:szCs w:val="24"/>
          <w:lang w:val="en-US"/>
        </w:rPr>
        <w:t>Further calls upon</w:t>
      </w:r>
      <w:r w:rsidRPr="00FB00FF">
        <w:rPr>
          <w:rFonts w:ascii="Times New Roman" w:eastAsia="Times New Roman" w:hAnsi="Times New Roman" w:cs="Times New Roman"/>
          <w:sz w:val="24"/>
          <w:szCs w:val="24"/>
          <w:lang w:val="en-US"/>
        </w:rPr>
        <w:t xml:space="preserve"> the Government of Myanmar:</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Without further delay to cooperate fully with the Special Rapporteur to facilitate an independent international investigation of continuing reports of sexual violence and other abuse of civilians carried out by members of the armed forces in Shan and other states.</w:t>
      </w:r>
      <w:r>
        <w:rPr>
          <w:rFonts w:ascii="Times New Roman" w:eastAsia="Times New Roman" w:hAnsi="Times New Roman" w:cs="Times New Roman"/>
          <w:noProof/>
          <w:sz w:val="24"/>
          <w:szCs w:val="24"/>
        </w:rPr>
        <w:drawing>
          <wp:inline distT="0" distB="0" distL="0" distR="0">
            <wp:extent cx="151130" cy="142875"/>
            <wp:effectExtent l="19050" t="0" r="1270" b="0"/>
            <wp:docPr id="1528" name="Imagen 15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the elimination of violence against women,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Recalling</w:t>
      </w:r>
      <w:r w:rsidRPr="00FB00FF">
        <w:rPr>
          <w:rFonts w:ascii="Times New Roman" w:eastAsia="Times New Roman" w:hAnsi="Times New Roman" w:cs="Times New Roman"/>
          <w:sz w:val="24"/>
          <w:szCs w:val="24"/>
          <w:lang w:val="en-US"/>
        </w:rPr>
        <w:t xml:space="preserve"> the inclusion of gender</w:t>
      </w:r>
      <w:r w:rsidRPr="00FB00FF">
        <w:rPr>
          <w:rFonts w:ascii="Times New Roman" w:eastAsia="Times New Roman" w:hAnsi="Times New Roman" w:cs="Times New Roman"/>
          <w:sz w:val="24"/>
          <w:szCs w:val="24"/>
          <w:lang w:val="en-US"/>
        </w:rPr>
        <w:noBreakHyphen/>
        <w:t>related crimes and crimes of sexual violence in the Rome Statute of the International Criminal Court, which affirms that rape, sexual slavery, enforced prostitution, forced pregnancy, enforced sterilization and other forms of sexual violence of comparable gravity constitute, in defined circumstances, a crime against humanity and/or a war crime, and reiterating that acts of sexual violence in situations of armed conflict can constitute serious violations or grave breaches of international humanitarian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 </w:t>
      </w:r>
      <w:r w:rsidRPr="00FB00FF">
        <w:rPr>
          <w:rFonts w:ascii="Times New Roman" w:eastAsia="Times New Roman" w:hAnsi="Times New Roman" w:cs="Times New Roman"/>
          <w:i/>
          <w:iCs/>
          <w:sz w:val="24"/>
          <w:szCs w:val="24"/>
          <w:lang w:val="en-US"/>
        </w:rPr>
        <w:t>Reaffirms</w:t>
      </w:r>
      <w:r w:rsidRPr="00FB00FF">
        <w:rPr>
          <w:rFonts w:ascii="Times New Roman" w:eastAsia="Times New Roman" w:hAnsi="Times New Roman" w:cs="Times New Roman"/>
          <w:sz w:val="24"/>
          <w:szCs w:val="24"/>
          <w:lang w:val="en-US"/>
        </w:rPr>
        <w:t xml:space="preserve"> that the term “violence against women” means any act of gender</w:t>
      </w:r>
      <w:r w:rsidRPr="00FB00FF">
        <w:rPr>
          <w:rFonts w:ascii="Times New Roman" w:eastAsia="Times New Roman" w:hAnsi="Times New Roman" w:cs="Times New Roman"/>
          <w:sz w:val="24"/>
          <w:szCs w:val="24"/>
          <w:lang w:val="en-US"/>
        </w:rPr>
        <w:noBreakHyphen/>
        <w:t xml:space="preserve">based violence that results in, or is likely to result in, physical, sexual or psychological harm or suffering to women …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 </w:t>
      </w:r>
      <w:r w:rsidRPr="00FB00FF">
        <w:rPr>
          <w:rFonts w:ascii="Times New Roman" w:eastAsia="Times New Roman" w:hAnsi="Times New Roman" w:cs="Times New Roman"/>
          <w:i/>
          <w:iCs/>
          <w:sz w:val="24"/>
          <w:szCs w:val="24"/>
          <w:lang w:val="en-US"/>
        </w:rPr>
        <w:t>Strongly condemns</w:t>
      </w:r>
      <w:r w:rsidRPr="00FB00FF">
        <w:rPr>
          <w:rFonts w:ascii="Times New Roman" w:eastAsia="Times New Roman" w:hAnsi="Times New Roman" w:cs="Times New Roman"/>
          <w:sz w:val="24"/>
          <w:szCs w:val="24"/>
          <w:lang w:val="en-US"/>
        </w:rPr>
        <w:t xml:space="preserve"> all acts of violence against women and girls, whether these acts are perpetrated by the State, by private persons or non-State actors, and calls for the elimination of all forms of gender</w:t>
      </w:r>
      <w:r w:rsidRPr="00FB00FF">
        <w:rPr>
          <w:rFonts w:ascii="Times New Roman" w:eastAsia="Times New Roman" w:hAnsi="Times New Roman" w:cs="Times New Roman"/>
          <w:sz w:val="24"/>
          <w:szCs w:val="24"/>
          <w:lang w:val="en-US"/>
        </w:rPr>
        <w:noBreakHyphen/>
        <w:t xml:space="preserve">based violence in the family, within the general community and where perpetrated or condoned by the State, in accordance with the Declaration on the Elimination of Violence against Women, and stresses the need to treat all forms of violence against women and girls as a criminal offence, punishable by </w:t>
      </w:r>
      <w:r w:rsidRPr="00FB00FF">
        <w:rPr>
          <w:rFonts w:ascii="Times New Roman" w:eastAsia="Times New Roman" w:hAnsi="Times New Roman" w:cs="Times New Roman"/>
          <w:sz w:val="24"/>
          <w:szCs w:val="24"/>
          <w:lang w:val="en-US"/>
        </w:rPr>
        <w:lastRenderedPageBreak/>
        <w:t>law, as well as the duty to provide access to just and effective remedies and specialized assistance to victims, including medical and psychological assistance, as well as effective counselling;</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17. </w:t>
      </w:r>
      <w:r w:rsidRPr="00FB00FF">
        <w:rPr>
          <w:rFonts w:ascii="Times New Roman" w:eastAsia="Times New Roman" w:hAnsi="Times New Roman" w:cs="Times New Roman"/>
          <w:i/>
          <w:iCs/>
          <w:sz w:val="24"/>
          <w:szCs w:val="24"/>
          <w:lang w:val="en-US"/>
        </w:rPr>
        <w:t>Stresses</w:t>
      </w:r>
      <w:r w:rsidRPr="00FB00FF">
        <w:rPr>
          <w:rFonts w:ascii="Times New Roman" w:eastAsia="Times New Roman" w:hAnsi="Times New Roman" w:cs="Times New Roman"/>
          <w:sz w:val="24"/>
          <w:szCs w:val="24"/>
          <w:lang w:val="en-US"/>
        </w:rPr>
        <w:t xml:space="preserve"> that States have an affirmative duty to promote and protect the human rights and fundamental freedoms of women and girls and must exercise due diligence to prevent, investigate and punish all acts of violence against women and girls, and calls upon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k</w:t>
      </w:r>
      <w:r w:rsidRPr="00FB00FF">
        <w:rPr>
          <w:rFonts w:ascii="Times New Roman" w:eastAsia="Times New Roman" w:hAnsi="Times New Roman" w:cs="Times New Roman"/>
          <w:sz w:val="24"/>
          <w:szCs w:val="24"/>
          <w:lang w:val="en-US"/>
        </w:rPr>
        <w:t>) To enact and, where necessary, reinforce or amend domestic legislation, including measures to enhance the protection of victims, to investigate, prosecute, punish and redress the wrongs done to women and girls subjected to any form of violence, whether in the home, the workplace, the community or society, in custody or in situations of armed conflict, to ensure that such legislation conforms with relevant international human rights instruments and international humanitarian law, to abolish existing laws, regulations, customs and practices which constitute discrimination against women, to remove gender bias in the administration of justice, and to take action to investigate and punish persons who perpetrate acts of violence against women and girls;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q</w:t>
      </w:r>
      <w:r w:rsidRPr="00FB00FF">
        <w:rPr>
          <w:rFonts w:ascii="Times New Roman" w:eastAsia="Times New Roman" w:hAnsi="Times New Roman" w:cs="Times New Roman"/>
          <w:sz w:val="24"/>
          <w:szCs w:val="24"/>
          <w:lang w:val="en-US"/>
        </w:rPr>
        <w:t>) To develop and/or enhance, including through funding, training programmes for judicial, legal, medical, social, educational, police, correctional service, military, peacekeeping, humanitarian relief and immigration personnel, in order to prevent the abuse of power leading to violence against women and girls and to sensitize such personnel to the nature of gender</w:t>
      </w:r>
      <w:r w:rsidRPr="00FB00FF">
        <w:rPr>
          <w:rFonts w:ascii="Times New Roman" w:eastAsia="Times New Roman" w:hAnsi="Times New Roman" w:cs="Times New Roman"/>
          <w:sz w:val="24"/>
          <w:szCs w:val="24"/>
          <w:lang w:val="en-US"/>
        </w:rPr>
        <w:noBreakHyphen/>
        <w:t xml:space="preserve">based acts and threats of violence;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r</w:t>
      </w:r>
      <w:r w:rsidRPr="00FB00FF">
        <w:rPr>
          <w:rFonts w:ascii="Times New Roman" w:eastAsia="Times New Roman" w:hAnsi="Times New Roman" w:cs="Times New Roman"/>
          <w:sz w:val="24"/>
          <w:szCs w:val="24"/>
          <w:lang w:val="en-US"/>
        </w:rPr>
        <w:t>) To provide gender</w:t>
      </w:r>
      <w:r w:rsidRPr="00FB00FF">
        <w:rPr>
          <w:rFonts w:ascii="Times New Roman" w:eastAsia="Times New Roman" w:hAnsi="Times New Roman" w:cs="Times New Roman"/>
          <w:sz w:val="24"/>
          <w:szCs w:val="24"/>
          <w:lang w:val="en-US"/>
        </w:rPr>
        <w:noBreakHyphen/>
        <w:t>sensitive training to all actors, as appropriate, in peacekeeping missions in dealing with female victims of violence, including sexual violence and, in this regard, acknowledges the important role of peace support operations personnel in eliminating violence against women and girls, and calls upon States to promote, and relevant agencies of the United Nations system and regional organizations to ensure full and effective implementation of the Ten Rules Code of Personal Conduct for Blue Helmets;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 </w:t>
      </w:r>
      <w:r w:rsidRPr="00FB00FF">
        <w:rPr>
          <w:rFonts w:ascii="Times New Roman" w:eastAsia="Times New Roman" w:hAnsi="Times New Roman" w:cs="Times New Roman"/>
          <w:i/>
          <w:iCs/>
          <w:sz w:val="24"/>
          <w:szCs w:val="24"/>
          <w:lang w:val="en-US"/>
        </w:rPr>
        <w:t>Strongly condemns</w:t>
      </w:r>
      <w:r w:rsidRPr="00FB00FF">
        <w:rPr>
          <w:rFonts w:ascii="Times New Roman" w:eastAsia="Times New Roman" w:hAnsi="Times New Roman" w:cs="Times New Roman"/>
          <w:sz w:val="24"/>
          <w:szCs w:val="24"/>
          <w:lang w:val="en-US"/>
        </w:rPr>
        <w:t xml:space="preserve"> violence against women and girls committed in situations of armed conflict, such as murder, rape, including widespread and systematic rape, sexual slavery and forced pregnancy, and calls for effective responses to these violations of human rights and international humanitarian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20. </w:t>
      </w:r>
      <w:r w:rsidRPr="00FB00FF">
        <w:rPr>
          <w:rFonts w:ascii="Times New Roman" w:eastAsia="Times New Roman" w:hAnsi="Times New Roman" w:cs="Times New Roman"/>
          <w:i/>
          <w:iCs/>
          <w:sz w:val="24"/>
          <w:szCs w:val="24"/>
          <w:lang w:val="en-US"/>
        </w:rPr>
        <w:t>Acknowledges</w:t>
      </w:r>
      <w:r w:rsidRPr="00FB00FF">
        <w:rPr>
          <w:rFonts w:ascii="Times New Roman" w:eastAsia="Times New Roman" w:hAnsi="Times New Roman" w:cs="Times New Roman"/>
          <w:sz w:val="24"/>
          <w:szCs w:val="24"/>
          <w:lang w:val="en-US"/>
        </w:rPr>
        <w:t xml:space="preserve"> the inclusion of gender</w:t>
      </w:r>
      <w:r w:rsidRPr="00FB00FF">
        <w:rPr>
          <w:rFonts w:ascii="Times New Roman" w:eastAsia="Times New Roman" w:hAnsi="Times New Roman" w:cs="Times New Roman"/>
          <w:sz w:val="24"/>
          <w:szCs w:val="24"/>
          <w:lang w:val="en-US"/>
        </w:rPr>
        <w:noBreakHyphen/>
        <w:t>related crimes in the Rome Statute of the International Criminal Court and in the Elements of Crimes, adopted by the Assembly of State Parties to the Rome Statute in September 2002, and urges States to ratify or accede to the Rome Statute, which entered into force on 1 July 2002;</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21. </w:t>
      </w:r>
      <w:r w:rsidRPr="00FB00FF">
        <w:rPr>
          <w:rFonts w:ascii="Times New Roman" w:eastAsia="Times New Roman" w:hAnsi="Times New Roman" w:cs="Times New Roman"/>
          <w:i/>
          <w:iCs/>
          <w:sz w:val="24"/>
          <w:szCs w:val="24"/>
          <w:lang w:val="en-US"/>
        </w:rPr>
        <w:t xml:space="preserve">Stresses </w:t>
      </w:r>
      <w:r w:rsidRPr="00FB00FF">
        <w:rPr>
          <w:rFonts w:ascii="Times New Roman" w:eastAsia="Times New Roman" w:hAnsi="Times New Roman" w:cs="Times New Roman"/>
          <w:sz w:val="24"/>
          <w:szCs w:val="24"/>
          <w:lang w:val="en-US"/>
        </w:rPr>
        <w:t>the importance of, and critical need for, concerted efforts to eliminate impunity for violence against women and girls in situations of armed conflict, including by prosecuting gender</w:t>
      </w:r>
      <w:r w:rsidRPr="00FB00FF">
        <w:rPr>
          <w:rFonts w:ascii="Times New Roman" w:eastAsia="Times New Roman" w:hAnsi="Times New Roman" w:cs="Times New Roman"/>
          <w:sz w:val="24"/>
          <w:szCs w:val="24"/>
          <w:lang w:val="en-US"/>
        </w:rPr>
        <w:noBreakHyphen/>
        <w:t>related crimes and crimes of sexual violence, by providing protective measures, counselling and other appropriate assistance to victims and witnesses, by integrating a gender perspective into all efforts to eliminate impunity, including in international, internationally supported and domestic courts and other tribunals, commissions of inquiry and commissions for achieving truth and reconciliation, and invites the Special Rapporteur to report, as appropriate, on these mechanisms.</w:t>
      </w:r>
      <w:r>
        <w:rPr>
          <w:rFonts w:ascii="Times New Roman" w:eastAsia="Times New Roman" w:hAnsi="Times New Roman" w:cs="Times New Roman"/>
          <w:noProof/>
          <w:sz w:val="24"/>
          <w:szCs w:val="24"/>
        </w:rPr>
        <w:drawing>
          <wp:inline distT="0" distB="0" distL="0" distR="0">
            <wp:extent cx="151130" cy="142875"/>
            <wp:effectExtent l="19050" t="0" r="1270" b="0"/>
            <wp:docPr id="1529" name="Imagen 15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lastRenderedPageBreak/>
        <w:t>In a resolution adopted in 2005 on the abduction of children in Africa,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 </w:t>
      </w:r>
      <w:r w:rsidRPr="00FB00FF">
        <w:rPr>
          <w:rFonts w:ascii="Times New Roman" w:eastAsia="Times New Roman" w:hAnsi="Times New Roman" w:cs="Times New Roman"/>
          <w:i/>
          <w:iCs/>
          <w:sz w:val="24"/>
          <w:szCs w:val="24"/>
          <w:lang w:val="en-US"/>
        </w:rPr>
        <w:t>Condemns</w:t>
      </w:r>
      <w:r w:rsidRPr="00FB00FF">
        <w:rPr>
          <w:rFonts w:ascii="Times New Roman" w:eastAsia="Times New Roman" w:hAnsi="Times New Roman" w:cs="Times New Roman"/>
          <w:sz w:val="24"/>
          <w:szCs w:val="24"/>
          <w:lang w:val="en-US"/>
        </w:rPr>
        <w:t xml:space="preserve"> the practice of abduction of children for various purposes, inter alia, for involvement in armed forces or armed groups, for participation in hostilities, for sexual exploitation and forced labour;</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 </w:t>
      </w:r>
      <w:r w:rsidRPr="00FB00FF">
        <w:rPr>
          <w:rFonts w:ascii="Times New Roman" w:eastAsia="Times New Roman" w:hAnsi="Times New Roman" w:cs="Times New Roman"/>
          <w:i/>
          <w:iCs/>
          <w:sz w:val="24"/>
          <w:szCs w:val="24"/>
          <w:lang w:val="en-US"/>
        </w:rPr>
        <w:t>Also condemns</w:t>
      </w:r>
      <w:r w:rsidRPr="00FB00FF">
        <w:rPr>
          <w:rFonts w:ascii="Times New Roman" w:eastAsia="Times New Roman" w:hAnsi="Times New Roman" w:cs="Times New Roman"/>
          <w:sz w:val="24"/>
          <w:szCs w:val="24"/>
          <w:lang w:val="en-US"/>
        </w:rPr>
        <w:t xml:space="preserve"> the abduction of children from camps of refugees and internally displaced persons by armed forces and armed groups, and their subjection of children to participation in fighting, torture, killing and rape as victims and as perpetrators.</w:t>
      </w:r>
      <w:r>
        <w:rPr>
          <w:rFonts w:ascii="Times New Roman" w:eastAsia="Times New Roman" w:hAnsi="Times New Roman" w:cs="Times New Roman"/>
          <w:noProof/>
          <w:sz w:val="24"/>
          <w:szCs w:val="24"/>
        </w:rPr>
        <w:drawing>
          <wp:inline distT="0" distB="0" distL="0" distR="0">
            <wp:extent cx="151130" cy="142875"/>
            <wp:effectExtent l="19050" t="0" r="1270" b="0"/>
            <wp:docPr id="1530" name="Imagen 15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the rights of the child,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14.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To take all appropriate measures to prevent, and to protect children from, all forms of violence, including physical, mental and sexual violence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21.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 to take all necessary measures, including legal reforms where appropriate: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To eliminate all forms of discrimination and violence against girls, including … rape, sexual abuse … , including addressing their root causes, by enacting and enforcing legislation and, where appropriate, formulating comprehensive, multidisciplinary and coordinated national plans, programmes or strategies protecting girls;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26. Calls upon all States to protect refugee, asylum</w:t>
      </w:r>
      <w:r w:rsidRPr="00FB00FF">
        <w:rPr>
          <w:rFonts w:ascii="Times New Roman" w:eastAsia="Times New Roman" w:hAnsi="Times New Roman" w:cs="Times New Roman"/>
          <w:sz w:val="24"/>
          <w:szCs w:val="24"/>
          <w:lang w:val="en-US"/>
        </w:rPr>
        <w:noBreakHyphen/>
        <w:t>seeking and internally displaced children, in particular those who are unaccompanied, who are particularly exposed to risks in connection with armed conflict and post-conflict situations, such as recruitment, sexual violence and exploitation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32.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all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To criminalize and effectively penalize all forms of sexual exploitation and sexual abuse of children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34. </w:t>
      </w:r>
      <w:r w:rsidRPr="00FB00FF">
        <w:rPr>
          <w:rFonts w:ascii="Times New Roman" w:eastAsia="Times New Roman" w:hAnsi="Times New Roman" w:cs="Times New Roman"/>
          <w:i/>
          <w:iCs/>
          <w:sz w:val="24"/>
          <w:szCs w:val="24"/>
          <w:lang w:val="en-US"/>
        </w:rPr>
        <w:t>Recognizes</w:t>
      </w:r>
      <w:r w:rsidRPr="00FB00FF">
        <w:rPr>
          <w:rFonts w:ascii="Times New Roman" w:eastAsia="Times New Roman" w:hAnsi="Times New Roman" w:cs="Times New Roman"/>
          <w:sz w:val="24"/>
          <w:szCs w:val="24"/>
          <w:lang w:val="en-US"/>
        </w:rPr>
        <w:t xml:space="preserve"> the inclusion in the Rome Statute of the International Criminal Court, as a war crime, of crimes involving sexual violence and crimes of conscripting or enlisting children under the age of 15 years or using them to participate actively in hostilities in both international and non-international armed conflicts;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36. … urges all parties to armed conflict to end … violations against children, including … rape or other sexual violence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38. </w:t>
      </w:r>
      <w:r w:rsidRPr="00FB00FF">
        <w:rPr>
          <w:rFonts w:ascii="Times New Roman" w:eastAsia="Times New Roman" w:hAnsi="Times New Roman" w:cs="Times New Roman"/>
          <w:i/>
          <w:iCs/>
          <w:sz w:val="24"/>
          <w:szCs w:val="24"/>
          <w:lang w:val="en-US"/>
        </w:rPr>
        <w:t>Calls upon</w:t>
      </w:r>
      <w:r w:rsidRPr="00FB00FF">
        <w:rPr>
          <w:rFonts w:ascii="Times New Roman" w:eastAsia="Times New Roman" w:hAnsi="Times New Roman" w:cs="Times New Roman"/>
          <w:sz w:val="24"/>
          <w:szCs w:val="24"/>
          <w:lang w:val="en-US"/>
        </w:rPr>
        <w:t xml:space="preserve"> States: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d</w:t>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b/>
          <w:bCs/>
          <w:sz w:val="24"/>
          <w:szCs w:val="24"/>
          <w:lang w:val="en-US"/>
        </w:rPr>
        <w:t xml:space="preserve"> </w:t>
      </w:r>
      <w:r w:rsidRPr="00FB00FF">
        <w:rPr>
          <w:rFonts w:ascii="Times New Roman" w:eastAsia="Times New Roman" w:hAnsi="Times New Roman" w:cs="Times New Roman"/>
          <w:sz w:val="24"/>
          <w:szCs w:val="24"/>
          <w:lang w:val="en-US"/>
        </w:rPr>
        <w:t>To take effective preventive measures against sexual exploitation and abuse by their military and civilian peacekeepers and hold them to account;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39. Calls upon: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c</w:t>
      </w:r>
      <w:r w:rsidRPr="00FB00FF">
        <w:rPr>
          <w:rFonts w:ascii="Times New Roman" w:eastAsia="Times New Roman" w:hAnsi="Times New Roman" w:cs="Times New Roman"/>
          <w:sz w:val="24"/>
          <w:szCs w:val="24"/>
          <w:lang w:val="en-US"/>
        </w:rPr>
        <w:t>) All States and relevant United Nations bodies and agencies and regional organizations to integrate the rights of the child into all activities in conflict and post</w:t>
      </w:r>
      <w:r w:rsidRPr="00FB00FF">
        <w:rPr>
          <w:rFonts w:ascii="Times New Roman" w:eastAsia="Times New Roman" w:hAnsi="Times New Roman" w:cs="Times New Roman"/>
          <w:sz w:val="24"/>
          <w:szCs w:val="24"/>
          <w:lang w:val="en-US"/>
        </w:rPr>
        <w:noBreakHyphen/>
        <w:t xml:space="preserve">conflict situations, to ensure adequate child protection training of their staff and personnel, including through the drafting and dissemination of codes of conduct addressing the issue of sexual exploitation and abuse of children, to ensure that States </w:t>
      </w:r>
      <w:r w:rsidRPr="00FB00FF">
        <w:rPr>
          <w:rFonts w:ascii="Times New Roman" w:eastAsia="Times New Roman" w:hAnsi="Times New Roman" w:cs="Times New Roman"/>
          <w:sz w:val="24"/>
          <w:szCs w:val="24"/>
          <w:lang w:val="en-US"/>
        </w:rPr>
        <w:lastRenderedPageBreak/>
        <w:t>take effective preventive measures against sexual exploitation and abuse by their military and civilian peacekeepers and hold them to account, and to facilitate the participation of children in the development of strategies in this regard, making sure that there are opportunities for children’s voices to be heard and given due weight in accordance with the age and maturity of the child.</w:t>
      </w:r>
      <w:r>
        <w:rPr>
          <w:rFonts w:ascii="Times New Roman" w:eastAsia="Times New Roman" w:hAnsi="Times New Roman" w:cs="Times New Roman"/>
          <w:noProof/>
          <w:sz w:val="24"/>
          <w:szCs w:val="24"/>
        </w:rPr>
        <w:drawing>
          <wp:inline distT="0" distB="0" distL="0" distR="0">
            <wp:extent cx="151130" cy="142875"/>
            <wp:effectExtent l="19050" t="0" r="1270" b="0"/>
            <wp:docPr id="1531" name="Imagen 15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human rights and mass exoduses,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Expresses its grave concern</w:t>
      </w:r>
      <w:r w:rsidRPr="00FB00FF">
        <w:rPr>
          <w:rFonts w:ascii="Times New Roman" w:eastAsia="Times New Roman" w:hAnsi="Times New Roman" w:cs="Times New Roman"/>
          <w:sz w:val="24"/>
          <w:szCs w:val="24"/>
          <w:lang w:val="en-US"/>
        </w:rPr>
        <w:t xml:space="preserve"> at allegations of sexual exploitation of and violence against refugees and internally displaced persons, condemns all instances of abuse and exploitation of such persons, and calls on all relevant agencies to ensure the effective implementation and monitoring of the Plan of Action on Protection from Sexual Exploitation and Abuse in Humanitarian Crises drawn up by the Inter-Agency Standing Committee, other relevant codes of conduct and the Secretary-General’s Bulletin on special measures for protection from sexual exploitation and sexual abuse (ST/SGB/2003/13).</w:t>
      </w:r>
      <w:r>
        <w:rPr>
          <w:rFonts w:ascii="Times New Roman" w:eastAsia="Times New Roman" w:hAnsi="Times New Roman" w:cs="Times New Roman"/>
          <w:noProof/>
          <w:sz w:val="24"/>
          <w:szCs w:val="24"/>
        </w:rPr>
        <w:drawing>
          <wp:inline distT="0" distB="0" distL="0" distR="0">
            <wp:extent cx="151130" cy="142875"/>
            <wp:effectExtent l="19050" t="0" r="1270" b="0"/>
            <wp:docPr id="1532" name="Imagen 15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advisory services and technical assistance in Burundi, the UN Commission on Human Rights declared its profound concern at “the sexual violence against women and children” and requested “the Transitional Government to take, in cooperation with civil society, special measures to protect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1533" name="Imagen 15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technical cooperation and advisory services in Nepal,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 xml:space="preserve">Deeply concerned </w:t>
      </w:r>
      <w:r w:rsidRPr="00FB00FF">
        <w:rPr>
          <w:rFonts w:ascii="Times New Roman" w:eastAsia="Times New Roman" w:hAnsi="Times New Roman" w:cs="Times New Roman"/>
          <w:sz w:val="24"/>
          <w:szCs w:val="24"/>
          <w:lang w:val="en-US"/>
        </w:rPr>
        <w:t>about the situation of human rights in Nepal, including violations attributed to the security forces, in particular … all forms of sexual violence … and also deeply concerned about the prevailing situation of impunity,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Strongly condemning</w:t>
      </w:r>
      <w:r w:rsidRPr="00FB00FF">
        <w:rPr>
          <w:rFonts w:ascii="Times New Roman" w:eastAsia="Times New Roman" w:hAnsi="Times New Roman" w:cs="Times New Roman"/>
          <w:sz w:val="24"/>
          <w:szCs w:val="24"/>
          <w:lang w:val="en-US"/>
        </w:rPr>
        <w:t xml:space="preserve"> all acts of violence against civilians and other criminal acts such as attacks against life, physical integrity and personal liberty and safety, including … all forms of sexual violence and extortion, committed by members of the Communist Party of Nepal (Maoist),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4. </w:t>
      </w:r>
      <w:r w:rsidRPr="00FB00FF">
        <w:rPr>
          <w:rFonts w:ascii="Times New Roman" w:eastAsia="Times New Roman" w:hAnsi="Times New Roman" w:cs="Times New Roman"/>
          <w:i/>
          <w:iCs/>
          <w:sz w:val="24"/>
          <w:szCs w:val="24"/>
          <w:lang w:val="en-US"/>
        </w:rPr>
        <w:t xml:space="preserve">Strongly condemns </w:t>
      </w:r>
      <w:r w:rsidRPr="00FB00FF">
        <w:rPr>
          <w:rFonts w:ascii="Times New Roman" w:eastAsia="Times New Roman" w:hAnsi="Times New Roman" w:cs="Times New Roman"/>
          <w:sz w:val="24"/>
          <w:szCs w:val="24"/>
          <w:lang w:val="en-US"/>
        </w:rPr>
        <w:t>the repeated practices of members of the Communist Party of Nepal (Maoist), such as: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Unlawful killings, rape, extortions, forced displacement, mass abduction and forced recruitment and labour targeted at civilians;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8. </w:t>
      </w:r>
      <w:r w:rsidRPr="00FB00FF">
        <w:rPr>
          <w:rFonts w:ascii="Times New Roman" w:eastAsia="Times New Roman" w:hAnsi="Times New Roman" w:cs="Times New Roman"/>
          <w:i/>
          <w:iCs/>
          <w:sz w:val="24"/>
          <w:szCs w:val="24"/>
          <w:lang w:val="en-US"/>
        </w:rPr>
        <w:t>Urges</w:t>
      </w:r>
      <w:r w:rsidRPr="00FB00FF">
        <w:rPr>
          <w:rFonts w:ascii="Times New Roman" w:eastAsia="Times New Roman" w:hAnsi="Times New Roman" w:cs="Times New Roman"/>
          <w:sz w:val="24"/>
          <w:szCs w:val="24"/>
          <w:lang w:val="en-US"/>
        </w:rPr>
        <w:t xml:space="preserve"> the Government of Nepal:</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To take all necessary measures to prevent and put an end to … all forms of sexual violence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e</w:t>
      </w:r>
      <w:r w:rsidRPr="00FB00FF">
        <w:rPr>
          <w:rFonts w:ascii="Times New Roman" w:eastAsia="Times New Roman" w:hAnsi="Times New Roman" w:cs="Times New Roman"/>
          <w:sz w:val="24"/>
          <w:szCs w:val="24"/>
          <w:lang w:val="en-US"/>
        </w:rPr>
        <w:t>) To take appropriate measures to protect women and girls from gender-based violence, as emphasized by the Security Council in resolution 1325 (2000), and to prevent and prosecute traffickers in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1534" name="Imagen 15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impunity, the UN Commission on Human Rights urged States “to bring to justice those responsible for gender-related crimes and crimes of sexual violence, including those that constitute, in defined circumstances, genocide, crimes against humanity, or war crimes”.</w:t>
      </w:r>
      <w:r>
        <w:rPr>
          <w:rFonts w:ascii="Times New Roman" w:eastAsia="Times New Roman" w:hAnsi="Times New Roman" w:cs="Times New Roman"/>
          <w:noProof/>
          <w:sz w:val="24"/>
          <w:szCs w:val="24"/>
        </w:rPr>
        <w:drawing>
          <wp:inline distT="0" distB="0" distL="0" distR="0">
            <wp:extent cx="151130" cy="142875"/>
            <wp:effectExtent l="19050" t="0" r="1270" b="0"/>
            <wp:docPr id="1535" name="Imagen 15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a resolution adopted in 2005 on the situation of human rights in the Sudan, the UN Commission on Human Rights condemned “[t]he violence against civilians and sexual violence against women and girls” and called upon all parties to the conflict to “cease </w:t>
      </w:r>
      <w:r w:rsidRPr="00FB00FF">
        <w:rPr>
          <w:rFonts w:ascii="Times New Roman" w:eastAsia="Times New Roman" w:hAnsi="Times New Roman" w:cs="Times New Roman"/>
          <w:sz w:val="24"/>
          <w:szCs w:val="24"/>
          <w:lang w:val="en-US"/>
        </w:rPr>
        <w:lastRenderedPageBreak/>
        <w:t>all acts of violence immediately, and protect women and girls from sexual and other forms of violence”.</w:t>
      </w:r>
      <w:r>
        <w:rPr>
          <w:rFonts w:ascii="Times New Roman" w:eastAsia="Times New Roman" w:hAnsi="Times New Roman" w:cs="Times New Roman"/>
          <w:noProof/>
          <w:sz w:val="24"/>
          <w:szCs w:val="24"/>
        </w:rPr>
        <w:drawing>
          <wp:inline distT="0" distB="0" distL="0" distR="0">
            <wp:extent cx="151130" cy="142875"/>
            <wp:effectExtent l="19050" t="0" r="1270" b="0"/>
            <wp:docPr id="1536" name="Imagen 15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assistance to Somalia in the field of human rights,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 xml:space="preserve">Expresses </w:t>
      </w:r>
      <w:r w:rsidRPr="00FB00FF">
        <w:rPr>
          <w:rFonts w:ascii="Times New Roman" w:eastAsia="Times New Roman" w:hAnsi="Times New Roman" w:cs="Times New Roman"/>
          <w:sz w:val="24"/>
          <w:szCs w:val="24"/>
          <w:lang w:val="en-US"/>
        </w:rPr>
        <w:t>deep concern 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The</w:t>
      </w:r>
      <w:r w:rsidRPr="00FB00FF">
        <w:rPr>
          <w:rFonts w:ascii="Times New Roman" w:eastAsia="Times New Roman" w:hAnsi="Times New Roman" w:cs="Times New Roman"/>
          <w:i/>
          <w:iCs/>
          <w:sz w:val="24"/>
          <w:szCs w:val="24"/>
          <w:lang w:val="en-US"/>
        </w:rPr>
        <w:t xml:space="preserve"> </w:t>
      </w:r>
      <w:r w:rsidRPr="00FB00FF">
        <w:rPr>
          <w:rFonts w:ascii="Times New Roman" w:eastAsia="Times New Roman" w:hAnsi="Times New Roman" w:cs="Times New Roman"/>
          <w:sz w:val="24"/>
          <w:szCs w:val="24"/>
          <w:lang w:val="en-US"/>
        </w:rPr>
        <w:t>reported cases of rape, arbitrary and summary executions, torture and other cruel, inhuman or degrading treatment or punishment and violence … in particular against women and children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The prevalence of sexual violence and abuse, in particular among displaced children, [and] children engaged in exploitative and hazardous labour.</w:t>
      </w:r>
      <w:r>
        <w:rPr>
          <w:rFonts w:ascii="Times New Roman" w:eastAsia="Times New Roman" w:hAnsi="Times New Roman" w:cs="Times New Roman"/>
          <w:noProof/>
          <w:sz w:val="24"/>
          <w:szCs w:val="24"/>
        </w:rPr>
        <w:drawing>
          <wp:inline distT="0" distB="0" distL="0" distR="0">
            <wp:extent cx="151130" cy="142875"/>
            <wp:effectExtent l="19050" t="0" r="1270" b="0"/>
            <wp:docPr id="1537" name="Imagen 15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2005 on technical cooperation and advisory services in the Democratic Republic of the Congo, the UN Commission on Human Rights: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 Welcomes: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e</w:t>
      </w:r>
      <w:r w:rsidRPr="00FB00FF">
        <w:rPr>
          <w:rFonts w:ascii="Times New Roman" w:eastAsia="Times New Roman" w:hAnsi="Times New Roman" w:cs="Times New Roman"/>
          <w:sz w:val="24"/>
          <w:szCs w:val="24"/>
          <w:lang w:val="en-US"/>
        </w:rPr>
        <w:t>) The joint initiative of the Government of the Democratic Republic of the Congo, United Nations agencies and non-governmental organizations to combat sexual violence against women and children;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4. Condemns: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The violations of human rights and international humanitarian law, particularly in Ituri, North Kivu and South Kivu, northern Katanga and other areas in the eastern part of the Democratic Republic of the Congo, including armed violence and reprisals against the civilian population and the recourse to sexual violence against women and children, which is being used as a weapon of war;</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 </w:t>
      </w:r>
      <w:r w:rsidRPr="00FB00FF">
        <w:rPr>
          <w:rFonts w:ascii="Times New Roman" w:eastAsia="Times New Roman" w:hAnsi="Times New Roman" w:cs="Times New Roman"/>
          <w:i/>
          <w:iCs/>
          <w:sz w:val="24"/>
          <w:szCs w:val="24"/>
          <w:lang w:val="en-US"/>
        </w:rPr>
        <w:t>Urges</w:t>
      </w:r>
      <w:r w:rsidRPr="00FB00FF">
        <w:rPr>
          <w:rFonts w:ascii="Times New Roman" w:eastAsia="Times New Roman" w:hAnsi="Times New Roman" w:cs="Times New Roman"/>
          <w:sz w:val="24"/>
          <w:szCs w:val="24"/>
          <w:lang w:val="en-US"/>
        </w:rPr>
        <w:t xml:space="preserve"> all the parties, including non-signatories of the Global and All-Inclusive Agreement on the Transition in the Democratic Republic of the Congo, signed in Pretoria on 17 September 2002:</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FB00FF">
        <w:rPr>
          <w:rFonts w:ascii="Times New Roman" w:eastAsia="Times New Roman" w:hAnsi="Times New Roman" w:cs="Times New Roman"/>
          <w:i/>
          <w:iCs/>
          <w:sz w:val="24"/>
          <w:szCs w:val="24"/>
          <w:lang w:val="en-US"/>
        </w:rPr>
        <w:t>f</w:t>
      </w:r>
      <w:r w:rsidRPr="00FB00FF">
        <w:rPr>
          <w:rFonts w:ascii="Times New Roman" w:eastAsia="Times New Roman" w:hAnsi="Times New Roman" w:cs="Times New Roman"/>
          <w:sz w:val="24"/>
          <w:szCs w:val="24"/>
          <w:lang w:val="en-US"/>
        </w:rPr>
        <w:t>) To respect and promote the full exercise of all human rights by women and to take special measures to protect women and children from all sexual and other forms of violence.</w:t>
      </w:r>
      <w:r>
        <w:rPr>
          <w:rFonts w:ascii="Times New Roman" w:eastAsia="Times New Roman" w:hAnsi="Times New Roman" w:cs="Times New Roman"/>
          <w:noProof/>
          <w:sz w:val="24"/>
          <w:szCs w:val="24"/>
        </w:rPr>
        <w:drawing>
          <wp:inline distT="0" distB="0" distL="0" distR="0">
            <wp:extent cx="151130" cy="142875"/>
            <wp:effectExtent l="19050" t="0" r="1270" b="0"/>
            <wp:docPr id="1538" name="Imagen 15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Human Rights Council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2007 on the situation of human rights in Darfur, the UN Human Rights Council:</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Expresses its deep concern</w:t>
      </w:r>
      <w:r w:rsidRPr="00FB00FF">
        <w:rPr>
          <w:rFonts w:ascii="Times New Roman" w:eastAsia="Times New Roman" w:hAnsi="Times New Roman" w:cs="Times New Roman"/>
          <w:sz w:val="24"/>
          <w:szCs w:val="24"/>
          <w:lang w:val="en-US"/>
        </w:rPr>
        <w:t xml:space="preserve"> regarding the seriousness of the ongoing violations of human rights and international humanitarian law in Darfur, including armed attacks on the civilian population and humanitarian workers, widespread destruction of villages, and continued and widespread violence, in particular gender-based violence against women and girls, as well as the lack of accountability of perpetrators of such crimes.</w:t>
      </w:r>
      <w:r>
        <w:rPr>
          <w:rFonts w:ascii="Times New Roman" w:eastAsia="Times New Roman" w:hAnsi="Times New Roman" w:cs="Times New Roman"/>
          <w:noProof/>
          <w:sz w:val="24"/>
          <w:szCs w:val="24"/>
        </w:rPr>
        <w:drawing>
          <wp:inline distT="0" distB="0" distL="0" distR="0">
            <wp:extent cx="151130" cy="142875"/>
            <wp:effectExtent l="19050" t="0" r="1270" b="0"/>
            <wp:docPr id="1539" name="Imagen 15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Sub-Commission on Human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1995 on the situation in the territory of the former Yugoslavia, the UN Sub-Commission on Human Rights condemned rape as a war crime.</w:t>
      </w:r>
      <w:r>
        <w:rPr>
          <w:rFonts w:ascii="Times New Roman" w:eastAsia="Times New Roman" w:hAnsi="Times New Roman" w:cs="Times New Roman"/>
          <w:noProof/>
          <w:sz w:val="24"/>
          <w:szCs w:val="24"/>
        </w:rPr>
        <w:drawing>
          <wp:inline distT="0" distB="0" distL="0" distR="0">
            <wp:extent cx="151130" cy="142875"/>
            <wp:effectExtent l="19050" t="0" r="1270" b="0"/>
            <wp:docPr id="1540" name="Imagen 15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a resolution adopted in 1998, following a study by the Special Rapporteur on systematic rape, sexual slavery and slavery-like practices during armed conflict, including internal armed conflict, the UN Sub-Commission on Human Rights reiterated the Rapporteur’s view that “the existing international legal frameworks of humanitarian law, human rights law and criminal law clearly prohibit and criminalize sexual violence … in all circumstances”.</w:t>
      </w:r>
      <w:r>
        <w:rPr>
          <w:rFonts w:ascii="Times New Roman" w:eastAsia="Times New Roman" w:hAnsi="Times New Roman" w:cs="Times New Roman"/>
          <w:noProof/>
          <w:sz w:val="24"/>
          <w:szCs w:val="24"/>
        </w:rPr>
        <w:drawing>
          <wp:inline distT="0" distB="0" distL="0" distR="0">
            <wp:extent cx="151130" cy="142875"/>
            <wp:effectExtent l="19050" t="0" r="1270" b="0"/>
            <wp:docPr id="1541" name="Imagen 15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Secretary-General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lastRenderedPageBreak/>
        <w:t>In 1996, in a report on the impact of armed conflict on children, the expert appointed by the UN Secretary-General recommended that “practical protection measures to prevent sexual violence … must be a priority in all assistance programmes in refugee and displaced [persons] camps”. The report further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Acts of gender-based violence, particularly rape, committed during armed conflicts constitute a violation of international humanitarian law. When it occurs on a massive scale or as a matter of orchestrated policy, this added dimension is recognized … as a crime against humanity.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1998, in a report on assistance to unaccompanied refugee minors, which included a section on internally displaced children, the UN Secretary-General noted that UNICEF had been “pressing for an end to the systematic abduction of children from northern Uganda by members of an armed group” to base camps in southern Sudan where they were reportedly “tortured, enslaved, raped and otherwise abused”.</w:t>
      </w:r>
      <w:r>
        <w:rPr>
          <w:rFonts w:ascii="Times New Roman" w:eastAsia="Times New Roman" w:hAnsi="Times New Roman" w:cs="Times New Roman"/>
          <w:noProof/>
          <w:sz w:val="24"/>
          <w:szCs w:val="24"/>
        </w:rPr>
        <w:drawing>
          <wp:inline distT="0" distB="0" distL="0" distR="0">
            <wp:extent cx="151130" cy="142875"/>
            <wp:effectExtent l="19050" t="0" r="1270" b="0"/>
            <wp:docPr id="1542" name="Imagen 15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2000, in his report on the establishment of a Special Court for Sierra Leone, the UN Secretary-General stated that common Article 3 of the 1949 Geneva Conventions and Article 4 of the 1977 Additional Protocol II “have long been considered customary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543" name="Imagen 15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Commission on Human Rights (Special Rapporteur)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1996, in a report on her mission to the Democratic People’s Republic of Korea, the Republic of Korea and Japan on the issue of military sexual slavery in wartime, the Special Rapporteur of the UN Commission on Human Rights on violence against women, its causes and consequences argued that: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Even if it is considered that the 1949 Geneva Conventions are not evidence of customary international law because of </w:t>
      </w:r>
      <w:r w:rsidRPr="00FB00FF">
        <w:rPr>
          <w:rFonts w:ascii="Times New Roman" w:eastAsia="Times New Roman" w:hAnsi="Times New Roman" w:cs="Times New Roman"/>
          <w:i/>
          <w:iCs/>
          <w:sz w:val="24"/>
          <w:szCs w:val="24"/>
          <w:lang w:val="en-US"/>
        </w:rPr>
        <w:t>ratione temporis</w:t>
      </w:r>
      <w:r w:rsidRPr="00FB00FF">
        <w:rPr>
          <w:rFonts w:ascii="Times New Roman" w:eastAsia="Times New Roman" w:hAnsi="Times New Roman" w:cs="Times New Roman"/>
          <w:sz w:val="24"/>
          <w:szCs w:val="24"/>
          <w:lang w:val="en-US"/>
        </w:rPr>
        <w:t xml:space="preserve"> and that the 1929 Geneva Convention is not applicable because Japan was not a signatory, Japan was a party to the Hague Convention and Annexed Regulations concerning the Laws and Customs of War on Land of 1907. The Regulations are not applicable if all belligerents are not parties to the Convention (art. 2) but its provisions would be a clear example of customary international law operating at that time. Article 46 of the Hague Regulations places on States the obligation to protect family honour and rights. Family honour has been interpreted to include the right of women in the family not to be subjected to the humiliating practice of rape.</w:t>
      </w:r>
      <w:r>
        <w:rPr>
          <w:rFonts w:ascii="Times New Roman" w:eastAsia="Times New Roman" w:hAnsi="Times New Roman" w:cs="Times New Roman"/>
          <w:noProof/>
          <w:sz w:val="24"/>
          <w:szCs w:val="24"/>
        </w:rPr>
        <w:drawing>
          <wp:inline distT="0" distB="0" distL="0" distR="0">
            <wp:extent cx="151130" cy="142875"/>
            <wp:effectExtent l="19050" t="0" r="1270" b="0"/>
            <wp:docPr id="1544" name="Imagen 15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1998, in a report on violence against women, its causes and consequences, the Special Rapporteur of the UN Commission on Human Rights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Until recently, violence against women in armed conflict has been couched in terms of “protection” and “honour”. Article 27 of the 1949 Geneva Convention relative to the Protection of Civilian Persons in Time of War treats violence against women as a crime of honour rather than as a crime of violence. By using the honour paradigm, linked as it is to concepts of chastity, purity and virginity, stereotypical concepts of femininity have been formally enshrined in humanitarian law. Thus, criminal sexual assault, in both national and international law, is linked to the morality of the victim. When rape is perceived as a crime against honour or morality, shame commonly ensues for the victim, who is often viewed by the community as “dirty” or “spoiled”. Consequently, many women will neither report nor discuss the violence that has been perpetrated against them. The nature of rape and the silence that tends to surround it makes it a particularly difficult human rights violation to investigate.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Perhaps more than the honour of the victim, it is the perceived honour of the enemy that is targeted in the perpetration of sexual violence against women; it is seen and often experienced as a means of humiliating the opposition. Sexual violence against women is </w:t>
      </w:r>
      <w:r w:rsidRPr="00FB00FF">
        <w:rPr>
          <w:rFonts w:ascii="Times New Roman" w:eastAsia="Times New Roman" w:hAnsi="Times New Roman" w:cs="Times New Roman"/>
          <w:sz w:val="24"/>
          <w:szCs w:val="24"/>
          <w:lang w:val="en-US"/>
        </w:rPr>
        <w:lastRenderedPageBreak/>
        <w:t>meant to demonstrate victory over the men of the other group who have failed to protect their women. It is a message of castration and emasculation of the enemy group. It is a battle among men fought over the bodies of women.</w:t>
      </w:r>
      <w:r>
        <w:rPr>
          <w:rFonts w:ascii="Times New Roman" w:eastAsia="Times New Roman" w:hAnsi="Times New Roman" w:cs="Times New Roman"/>
          <w:noProof/>
          <w:sz w:val="24"/>
          <w:szCs w:val="24"/>
        </w:rPr>
        <w:drawing>
          <wp:inline distT="0" distB="0" distL="0" distR="0">
            <wp:extent cx="151130" cy="142875"/>
            <wp:effectExtent l="19050" t="0" r="1270" b="0"/>
            <wp:docPr id="1545" name="Imagen 15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1998, in her final report on systematic rape, sexual slavery and slavery-like practices during armed conflict, the Special Rapporteur of the UN Commission on Human Rights defined “sexual violence” as: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any violence, physical or psychological, carried out through sexual means or by targeting sexuality. Sexual violence covers both physical and psychological attacks directed at a person’s sexual characteristics, such as forcing a person to strip naked in public, mutilating a person’s genitals, or slicing off a woman’s breasts.</w:t>
      </w:r>
      <w:r>
        <w:rPr>
          <w:rFonts w:ascii="Times New Roman" w:eastAsia="Times New Roman" w:hAnsi="Times New Roman" w:cs="Times New Roman"/>
          <w:noProof/>
          <w:sz w:val="24"/>
          <w:szCs w:val="24"/>
        </w:rPr>
        <w:drawing>
          <wp:inline distT="0" distB="0" distL="0" distR="0">
            <wp:extent cx="151130" cy="142875"/>
            <wp:effectExtent l="19050" t="0" r="1270" b="0"/>
            <wp:docPr id="1546" name="Imagen 15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The insertion, under conditions of force, coercion or duress, of any object, including but not limited to a penis, into a victim’s vagina or anus; or the insertion, under conditions of force, coercion or duress, of a penis into the mouth of the victim. Rape is defined in gender-neutral terms, as both men and women are victims of rape.</w:t>
      </w:r>
      <w:r>
        <w:rPr>
          <w:rFonts w:ascii="Times New Roman" w:eastAsia="Times New Roman" w:hAnsi="Times New Roman" w:cs="Times New Roman"/>
          <w:noProof/>
          <w:sz w:val="24"/>
          <w:szCs w:val="24"/>
        </w:rPr>
        <w:drawing>
          <wp:inline distT="0" distB="0" distL="0" distR="0">
            <wp:extent cx="151130" cy="142875"/>
            <wp:effectExtent l="19050" t="0" r="1270" b="0"/>
            <wp:docPr id="1547" name="Imagen 15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to be the status or condition of a person over whom any or all of the powers attaching to the right of ownership are exercised, including sexual access through rape or other forms of sexual violence.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addition to treaty law, the prohibition of slavery is a </w:t>
      </w:r>
      <w:r w:rsidRPr="00FB00FF">
        <w:rPr>
          <w:rFonts w:ascii="Times New Roman" w:eastAsia="Times New Roman" w:hAnsi="Times New Roman" w:cs="Times New Roman"/>
          <w:i/>
          <w:iCs/>
          <w:sz w:val="24"/>
          <w:szCs w:val="24"/>
          <w:lang w:val="en-US"/>
        </w:rPr>
        <w:t>jus cogens</w:t>
      </w:r>
      <w:r w:rsidRPr="00FB00FF">
        <w:rPr>
          <w:rFonts w:ascii="Times New Roman" w:eastAsia="Times New Roman" w:hAnsi="Times New Roman" w:cs="Times New Roman"/>
          <w:sz w:val="24"/>
          <w:szCs w:val="24"/>
          <w:lang w:val="en-US"/>
        </w:rPr>
        <w:t xml:space="preserve"> norm in customary international law. The crime of slavery does not require government involvement or State action, and constitutes an international crime whether committed by State actors or private individuals.</w:t>
      </w:r>
      <w:r>
        <w:rPr>
          <w:rFonts w:ascii="Times New Roman" w:eastAsia="Times New Roman" w:hAnsi="Times New Roman" w:cs="Times New Roman"/>
          <w:noProof/>
          <w:sz w:val="24"/>
          <w:szCs w:val="24"/>
        </w:rPr>
        <w:drawing>
          <wp:inline distT="0" distB="0" distL="0" distR="0">
            <wp:extent cx="151130" cy="142875"/>
            <wp:effectExtent l="19050" t="0" r="1270" b="0"/>
            <wp:docPr id="1548" name="Imagen 15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2001, in a report on violence against women perpetrated and/or condoned by the State during times of armed conflict, the Special Rapporteur of the UN Commission on Human Rights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Violence against women during wartime continues to involve horrendous crimes that must shock the conscience of humanity. Despite the significant progress that has been made in recent years to strengthen legal prohibitions against rape and other sexual violence, women and girls throughout the world continue to be the victims of unimaginable brutality. As the case studies illustrate, gender-based violence can take a variety of forms. Since 1997, women and girls have been raped – vaginally, anally and orally – sometimes with burning wood, knives or other objects. They have been raped by government forces and non-State actors, by police responsible for their protection, by refugee camp and border guards, by neighbours, local politicians, and sometimes family members under threat of death. They have been maimed or sexually mutilated, and often later killed or left to die. Women have been subjected to humiliating strip searches, forced to parade or dance naked in front of soldiers or in public, and to perform domestic chores while nude.</w:t>
      </w:r>
      <w:r>
        <w:rPr>
          <w:rFonts w:ascii="Times New Roman" w:eastAsia="Times New Roman" w:hAnsi="Times New Roman" w:cs="Times New Roman"/>
          <w:noProof/>
          <w:sz w:val="24"/>
          <w:szCs w:val="24"/>
        </w:rPr>
        <w:drawing>
          <wp:inline distT="0" distB="0" distL="0" distR="0">
            <wp:extent cx="151130" cy="142875"/>
            <wp:effectExtent l="19050" t="0" r="1270" b="0"/>
            <wp:docPr id="1549" name="Imagen 15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UN High Commissioner on Human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Principle 2 of the Recommended Principles on Human Rights and Human Trafficking which are contained in a report of the UNHCHR of 2002 provides: “States have a responsibility under international law to act with due diligence to prevent trafficking, to investigate and prosecute traffickers and to assist and protect trafficked persons.” Principles 12–16 furthermore provide: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12. States shall adopt appropriate legislative and other measures necessary to establish, as criminal offences, trafficking, its component acts and related conduct.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13. States shall effectively investigate, prosecute and adjudicate trafficking, including its component acts and related conduct, whether committed by governmental or by non-State actors.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14. States shall ensure that trafficking, its component acts and related offences </w:t>
      </w:r>
      <w:r w:rsidRPr="00FB00FF">
        <w:rPr>
          <w:rFonts w:ascii="Times New Roman" w:eastAsia="Times New Roman" w:hAnsi="Times New Roman" w:cs="Times New Roman"/>
          <w:sz w:val="24"/>
          <w:szCs w:val="24"/>
          <w:lang w:val="en-US"/>
        </w:rPr>
        <w:lastRenderedPageBreak/>
        <w:t>constitute extraditable offences under national law and extradition treaties. States shall cooperate to ensure that the appropriate extradition procedures are followed in accordance with international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15. Effective and proportionate sanctions shall be applied to individuals and legal persons found guilty of trafficking or of its component or related offences.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16. States shall, in appropriate cases, freeze and confiscate the assets of individuals and legal persons involved in trafficking. To the extent possible, confiscated assets shall be used to support and compensate victims of trafficking.</w:t>
      </w:r>
      <w:r>
        <w:rPr>
          <w:rFonts w:ascii="Times New Roman" w:eastAsia="Times New Roman" w:hAnsi="Times New Roman" w:cs="Times New Roman"/>
          <w:noProof/>
          <w:sz w:val="24"/>
          <w:szCs w:val="24"/>
        </w:rPr>
        <w:drawing>
          <wp:inline distT="0" distB="0" distL="0" distR="0">
            <wp:extent cx="151130" cy="142875"/>
            <wp:effectExtent l="19050" t="0" r="1270" b="0"/>
            <wp:docPr id="1550" name="Imagen 15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Guideline 4 of the Recommended Guidelines on Human Rights and Human Trafficking which are contained in a report of the UNHCHR of 2002 provides: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States should consider:</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 Amending or adopting national legislation in accordance with international standards so that the crime of trafficking is precisely defined in national law and detailed guidance is provided as to its various punishable elements. All practices covered by the definition of trafficking such as debt bondage, forced labour and enforced prostitution should also be criminalized.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2. Enacting legislation to provide for the administrative, civil and, where appropriate, criminal liability of legal persons for trafficking offences in addition to the liability of natural persons. Reviewing current laws, administrative controls and conditions relating to the licensing and operation of businesses that may serve as cover for trafficking such as marriage bureaux, employment agencies, travel agencies, hotels and escort services.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 Making legislative provision for effective and proportional criminal penalties (including custodial penalties giving rise to extradition in the case of individuals). Where appropriate, legislation should provide for additional penalties to be applied to persons found guilty of trafficking in aggravating circumstances, including offences involving trafficking in children or offences committed or involving complicity by State officials.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4. Making legislative provision for confiscation of the instruments and proceeds of trafficking and related offences. Where possible, the legislation should specify that the confiscated proceeds of trafficking will be used for the benefit of victims of trafficking. Consideration should be given to the establishment of a compensation fund for victims of trafficking and the use of confiscated assets to finance such a fund.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11. Making legislative provision for the punishment of public sector involvement or complicity in trafficking and related exploitation.</w:t>
      </w:r>
      <w:r>
        <w:rPr>
          <w:rFonts w:ascii="Times New Roman" w:eastAsia="Times New Roman" w:hAnsi="Times New Roman" w:cs="Times New Roman"/>
          <w:noProof/>
          <w:sz w:val="24"/>
          <w:szCs w:val="24"/>
        </w:rPr>
        <w:drawing>
          <wp:inline distT="0" distB="0" distL="0" distR="0">
            <wp:extent cx="151130" cy="142875"/>
            <wp:effectExtent l="19050" t="0" r="1270" b="0"/>
            <wp:docPr id="1551" name="Imagen 15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4" w:history="1">
        <w:r w:rsidRPr="00FB00FF">
          <w:rPr>
            <w:rFonts w:ascii="Times New Roman" w:eastAsia="Times New Roman" w:hAnsi="Times New Roman" w:cs="Times New Roman"/>
            <w:color w:val="0000FF"/>
            <w:sz w:val="24"/>
            <w:szCs w:val="24"/>
            <w:u w:val="single"/>
            <w:lang w:val="en-US"/>
          </w:rPr>
          <w:t>VIII. Other International Organizations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Council of Europe Committee of Ministers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declaration adopted in 1993, the Council of Europe Committee of Ministers stated that it condemned the systematic practice of rape in Bosnia and Herzegovina and reaffirmed that the use of sexual violence as an instrument of warfare constituted a war crime.</w:t>
      </w:r>
      <w:r>
        <w:rPr>
          <w:rFonts w:ascii="Times New Roman" w:eastAsia="Times New Roman" w:hAnsi="Times New Roman" w:cs="Times New Roman"/>
          <w:noProof/>
          <w:sz w:val="24"/>
          <w:szCs w:val="24"/>
        </w:rPr>
        <w:drawing>
          <wp:inline distT="0" distB="0" distL="0" distR="0">
            <wp:extent cx="151130" cy="142875"/>
            <wp:effectExtent l="19050" t="0" r="1270" b="0"/>
            <wp:docPr id="1552" name="Imagen 15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Council of Europe Parliamentary Assembly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1993 on the massive and flagrant violations of human rights in the territory of the former Yugoslavia, the Council of Europe Parliamentary Assembly declared its “profound consternation … at the perpetration of crimes against humanity such as … the systematic rape of women belonging to minority groups, and in particular to the Muslim population”.</w:t>
      </w:r>
      <w:r>
        <w:rPr>
          <w:rFonts w:ascii="Times New Roman" w:eastAsia="Times New Roman" w:hAnsi="Times New Roman" w:cs="Times New Roman"/>
          <w:noProof/>
          <w:sz w:val="24"/>
          <w:szCs w:val="24"/>
        </w:rPr>
        <w:drawing>
          <wp:inline distT="0" distB="0" distL="0" distR="0">
            <wp:extent cx="151130" cy="142875"/>
            <wp:effectExtent l="19050" t="0" r="1270" b="0"/>
            <wp:docPr id="1553" name="Imagen 15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European Parliament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lastRenderedPageBreak/>
        <w:t>In a resolution adopted in 1993, the European Parliament expressed its view that the International Criminal Tribunal for the former Yugoslavia should “consider acts of violence against women committed in former Yugoslavia”.</w:t>
      </w:r>
      <w:r>
        <w:rPr>
          <w:rFonts w:ascii="Times New Roman" w:eastAsia="Times New Roman" w:hAnsi="Times New Roman" w:cs="Times New Roman"/>
          <w:noProof/>
          <w:sz w:val="24"/>
          <w:szCs w:val="24"/>
        </w:rPr>
        <w:drawing>
          <wp:inline distT="0" distB="0" distL="0" distR="0">
            <wp:extent cx="151130" cy="142875"/>
            <wp:effectExtent l="19050" t="0" r="1270" b="0"/>
            <wp:docPr id="1554" name="Imagen 15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 a resolution adopted in 1993 on the rape of women in the former Yugoslavia, the European Parliament demanded that the systematic abuse of women be considered a war crime and a crime against humanity and called for the revision of existing military codes of conduct to set up new guidelines on the collection of evidence on the incidence of rape.</w:t>
      </w:r>
      <w:r w:rsidRPr="00C74F6F">
        <w:rPr>
          <w:rFonts w:ascii="Times New Roman" w:eastAsia="Times New Roman" w:hAnsi="Times New Roman" w:cs="Times New Roman"/>
          <w:sz w:val="24"/>
          <w:szCs w:val="24"/>
        </w:rPr>
        <w:fldChar w:fldCharType="begin"/>
      </w:r>
      <w:r w:rsidRPr="00C74F6F">
        <w:rPr>
          <w:rFonts w:ascii="Times New Roman" w:eastAsia="Times New Roman" w:hAnsi="Times New Roman" w:cs="Times New Roman"/>
          <w:sz w:val="24"/>
          <w:szCs w:val="24"/>
          <w:lang w:val="en-US"/>
        </w:rPr>
        <w:instrText xml:space="preserve"> INCLUDEPICTURE "https://ihl-databases.icrc.org/customary-ihl/eng/docs/v2_rul_rule93" \* MERGEFORMATINET </w:instrText>
      </w:r>
      <w:r w:rsidRPr="00C74F6F">
        <w:rPr>
          <w:rFonts w:ascii="Times New Roman" w:eastAsia="Times New Roman" w:hAnsi="Times New Roman" w:cs="Times New Roman"/>
          <w:sz w:val="24"/>
          <w:szCs w:val="24"/>
        </w:rPr>
        <w:fldChar w:fldCharType="separate"/>
      </w:r>
      <w:r w:rsidRPr="00C74F6F">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rsidRPr="00C74F6F">
        <w:rPr>
          <w:rFonts w:ascii="Times New Roman" w:eastAsia="Times New Roman" w:hAnsi="Times New Roman" w:cs="Times New Roman"/>
          <w:sz w:val="24"/>
          <w:szCs w:val="24"/>
        </w:rPr>
        <w:fldChar w:fldCharType="end"/>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European Community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1993, the EC Investigative Mission into the Treatment of Muslim Women in the Former Yugoslavia stated: “The mission believes there is now a strong case for clearly identifying [rape as a war crime], irrespective of whether they occur in national or international conflicts.”</w:t>
      </w:r>
      <w:r>
        <w:rPr>
          <w:rFonts w:ascii="Times New Roman" w:eastAsia="Times New Roman" w:hAnsi="Times New Roman" w:cs="Times New Roman"/>
          <w:noProof/>
          <w:sz w:val="24"/>
          <w:szCs w:val="24"/>
        </w:rPr>
        <w:drawing>
          <wp:inline distT="0" distB="0" distL="0" distR="0">
            <wp:extent cx="151130" cy="142875"/>
            <wp:effectExtent l="19050" t="0" r="1270" b="0"/>
            <wp:docPr id="1556" name="Imagen 15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Economic Community of West African States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2001, ECOWAS adopted a declaration on the fight against trafficking in persons in which the members committed themselves to:</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Adopt, as quickly as possible, such legislative and other measures as that are necessary to establish as criminal offences the trafficking in persons within, between, or from, their territory; to organize, direct, or participate as an accomplice, in this trafficking.</w:t>
      </w:r>
      <w:r>
        <w:rPr>
          <w:rFonts w:ascii="Times New Roman" w:eastAsia="Times New Roman" w:hAnsi="Times New Roman" w:cs="Times New Roman"/>
          <w:noProof/>
          <w:sz w:val="24"/>
          <w:szCs w:val="24"/>
        </w:rPr>
        <w:drawing>
          <wp:inline distT="0" distB="0" distL="0" distR="0">
            <wp:extent cx="151130" cy="142875"/>
            <wp:effectExtent l="19050" t="0" r="1270" b="0"/>
            <wp:docPr id="1557" name="Imagen 15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GCC Supreme Council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the Final Communiqué of its 13th Session in 1992, the GCC Supreme Council stated that it followed with grave concern and deep regret the degradation of the situation in Bosnia and Herzegovina, including the “carrying out of the worst crimes of … rape” perpetrated by the irregular Serbian troops.</w:t>
      </w:r>
      <w:r>
        <w:rPr>
          <w:rFonts w:ascii="Times New Roman" w:eastAsia="Times New Roman" w:hAnsi="Times New Roman" w:cs="Times New Roman"/>
          <w:noProof/>
          <w:sz w:val="24"/>
          <w:szCs w:val="24"/>
        </w:rPr>
        <w:drawing>
          <wp:inline distT="0" distB="0" distL="0" distR="0">
            <wp:extent cx="151130" cy="142875"/>
            <wp:effectExtent l="19050" t="0" r="1270" b="0"/>
            <wp:docPr id="1558" name="Imagen 15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Organization of American States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2002, the OAS Inter-American Commission of Women adopted a resolution on fighting the crime of trafficking in persons, especially women, adolescents, and children, in which it acknowledged “that trafficking in women and children for labour-related and sexual exploitation purposes and other contemporary forms of slavery constitute a violation of human rights”. It also reaffirmed: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That trafficking in women, adolescents, and children for exploitation in the Americas is an offense that must be prevented, suppressed, and punished through the adoption of a multidimensional approach involving the judicial system, the national and border police, immigration authorities, health and labor ministries, consulates, and civil society, as well as the victims and their families.</w:t>
      </w:r>
      <w:r>
        <w:rPr>
          <w:rFonts w:ascii="Times New Roman" w:eastAsia="Times New Roman" w:hAnsi="Times New Roman" w:cs="Times New Roman"/>
          <w:noProof/>
          <w:sz w:val="24"/>
          <w:szCs w:val="24"/>
        </w:rPr>
        <w:drawing>
          <wp:inline distT="0" distB="0" distL="0" distR="0">
            <wp:extent cx="151130" cy="142875"/>
            <wp:effectExtent l="19050" t="0" r="1270" b="0"/>
            <wp:docPr id="1559" name="Imagen 15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5" w:history="1">
        <w:r w:rsidRPr="00FB00FF">
          <w:rPr>
            <w:rFonts w:ascii="Times New Roman" w:eastAsia="Times New Roman" w:hAnsi="Times New Roman" w:cs="Times New Roman"/>
            <w:color w:val="0000FF"/>
            <w:sz w:val="24"/>
            <w:szCs w:val="24"/>
            <w:u w:val="single"/>
            <w:lang w:val="en-US"/>
          </w:rPr>
          <w:t>IX. International Conferences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Inter-Parliamentary Conference (1993)</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1993 on urgent action in the former Yugoslavia, the 89th Inter-Parliamentary Conference categorically condemned “the systematic rape of women and girls in the former Yugoslavia, especially in Bosnia and Herzegovina”, urged the belligerent parties “immediately to cease violence against women and girls” and declared that “systematic rape of women and girls in armed conflicts is a war crime and must be designated as a crime against humanity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560" name="Imagen 15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World Conference on Human Rights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Vienna Declaration and Programme of Action, the World Conference on Human Rights in 1993 expressed its dismay at and strongly condemned as abhorrent practices the “massive violations of human rights especially in the form of … systematic rape of </w:t>
      </w:r>
      <w:r w:rsidRPr="00FB00FF">
        <w:rPr>
          <w:rFonts w:ascii="Times New Roman" w:eastAsia="Times New Roman" w:hAnsi="Times New Roman" w:cs="Times New Roman"/>
          <w:sz w:val="24"/>
          <w:szCs w:val="24"/>
          <w:lang w:val="en-US"/>
        </w:rPr>
        <w:lastRenderedPageBreak/>
        <w:t>women in war situations” and reiterated its call that “perpetrators of such crimes be punished and such practices immediately stopped”.</w:t>
      </w:r>
      <w:r>
        <w:rPr>
          <w:rFonts w:ascii="Times New Roman" w:eastAsia="Times New Roman" w:hAnsi="Times New Roman" w:cs="Times New Roman"/>
          <w:noProof/>
          <w:sz w:val="24"/>
          <w:szCs w:val="24"/>
        </w:rPr>
        <w:drawing>
          <wp:inline distT="0" distB="0" distL="0" distR="0">
            <wp:extent cx="151130" cy="142875"/>
            <wp:effectExtent l="19050" t="0" r="1270" b="0"/>
            <wp:docPr id="1561" name="Imagen 15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International Conference for the Protection of War Victims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the Final Declaration adopted by the International Conference for the Protection of War Victims in 1993, the participants declared that they refused “to accept that … women [are] raped” and that they were “alarmed by the marked increase in acts of sexual violence directed notably against women and children”. They reiterated that “such acts constitute grave breaches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562" name="Imagen 15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Inter-Parliamentary Conference (1993)</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a resolution adopted in 1993 on respect for international humanitarian law and support for humanitarian action in armed conflicts, the 90th Inter-Parliamentary Conference condemned “the renewed outbreak of systematic sexual violence against women and children which constitutes a grave violation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1563" name="Imagen 15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International Conference of the Red Cross and Red Crescent (1995)</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The 26th International Conference of the Red Cross and Red Crescent in 1995 adopted a resolution on the protection of the civilian population in period of armed conflict, which contained a section on women, stating that the Conference: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expresses its outrage at practices of sexual violence in armed conflicts, in particular the use of rape as an instrument of terror, forced prostitution and any other form of indecent assault;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(c) strongly condemns sexual violence, in particular rape, in the conduct of armed conflict as a war crime, and under certain circumstances a crime against humanity, and urges the establishment and strengthening of mechanisms to investigate, bring to justice and punish all those responsible;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(d) underlines the importance of providing appropriate training to prosecutors, judges and other officials in handling such cases, in order to preserve the dignity and interests of the victims.</w:t>
      </w:r>
      <w:r>
        <w:rPr>
          <w:rFonts w:ascii="Times New Roman" w:eastAsia="Times New Roman" w:hAnsi="Times New Roman" w:cs="Times New Roman"/>
          <w:noProof/>
          <w:sz w:val="24"/>
          <w:szCs w:val="24"/>
        </w:rPr>
        <w:drawing>
          <wp:inline distT="0" distB="0" distL="0" distR="0">
            <wp:extent cx="151130" cy="142875"/>
            <wp:effectExtent l="19050" t="0" r="1270" b="0"/>
            <wp:docPr id="1564" name="Imagen 15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International Conference of the Red Cross and Red Crescent (1999)</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The Plan of Action for the years 2000–2003 adopted in 1999 by the 27th International Conference of the Red Cross and Red Crescent requested that all parties to an armed conflict take effective measures to ensure that “strict orders are given to prevent all serious violations of international humanitarian law, including … gender-based violence in particular rape and other forms of sexual violence … and threats to carry out such actions”.</w:t>
      </w:r>
      <w:r>
        <w:rPr>
          <w:rFonts w:ascii="Times New Roman" w:eastAsia="Times New Roman" w:hAnsi="Times New Roman" w:cs="Times New Roman"/>
          <w:noProof/>
          <w:sz w:val="24"/>
          <w:szCs w:val="24"/>
        </w:rPr>
        <w:drawing>
          <wp:inline distT="0" distB="0" distL="0" distR="0">
            <wp:extent cx="151130" cy="142875"/>
            <wp:effectExtent l="19050" t="0" r="1270" b="0"/>
            <wp:docPr id="1565" name="Imagen 15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6" w:history="1">
        <w:r w:rsidRPr="00FB00FF">
          <w:rPr>
            <w:rFonts w:ascii="Times New Roman" w:eastAsia="Times New Roman" w:hAnsi="Times New Roman" w:cs="Times New Roman"/>
            <w:color w:val="0000FF"/>
            <w:sz w:val="24"/>
            <w:szCs w:val="24"/>
            <w:u w:val="single"/>
            <w:lang w:val="en-US"/>
          </w:rPr>
          <w:t>X. International and Mixed Judicial and Quasi-judicial Bodies</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International Court of Justice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Nicaragua case (Merits)</w:t>
      </w:r>
      <w:r w:rsidRPr="00FB00FF">
        <w:rPr>
          <w:rFonts w:ascii="Times New Roman" w:eastAsia="Times New Roman" w:hAnsi="Times New Roman" w:cs="Times New Roman"/>
          <w:sz w:val="24"/>
          <w:szCs w:val="24"/>
          <w:lang w:val="en-US"/>
        </w:rPr>
        <w:t xml:space="preserve"> in 1986, the ICJ held that the rules contained in common Article 3 of the 1949 Geneva Conventions reflected what the Court in 1949 in the </w:t>
      </w:r>
      <w:r w:rsidRPr="00FB00FF">
        <w:rPr>
          <w:rFonts w:ascii="Times New Roman" w:eastAsia="Times New Roman" w:hAnsi="Times New Roman" w:cs="Times New Roman"/>
          <w:i/>
          <w:iCs/>
          <w:sz w:val="24"/>
          <w:szCs w:val="24"/>
          <w:lang w:val="en-US"/>
        </w:rPr>
        <w:t>Corfu Channel case (Merits)</w:t>
      </w:r>
      <w:r w:rsidRPr="00FB00FF">
        <w:rPr>
          <w:rFonts w:ascii="Times New Roman" w:eastAsia="Times New Roman" w:hAnsi="Times New Roman" w:cs="Times New Roman"/>
          <w:sz w:val="24"/>
          <w:szCs w:val="24"/>
          <w:lang w:val="en-US"/>
        </w:rPr>
        <w:t xml:space="preserve"> had called “elementary considerations of humanity”.</w:t>
      </w:r>
      <w:r>
        <w:rPr>
          <w:rFonts w:ascii="Times New Roman" w:eastAsia="Times New Roman" w:hAnsi="Times New Roman" w:cs="Times New Roman"/>
          <w:noProof/>
          <w:sz w:val="24"/>
          <w:szCs w:val="24"/>
        </w:rPr>
        <w:drawing>
          <wp:inline distT="0" distB="0" distL="0" distR="0">
            <wp:extent cx="151130" cy="142875"/>
            <wp:effectExtent l="19050" t="0" r="1270" b="0"/>
            <wp:docPr id="1566" name="Imagen 15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its judgment on the merits in the Application of the Convention on the Prevention and Punishment of the Crime of Genocide case (Bosnia and Herzegovina v. Serbia and Montenegro) in 2007, the ICJ found with regard to events in various areas and camps in Bosnia and Herzegovina:</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Having carefully examined the evidence presented before it, and taken note of that presented to the ICTY, the Court considers that it has been established by fully conclusive evidence that members of the protected group were systematically victims of </w:t>
      </w:r>
      <w:r w:rsidRPr="00FB00FF">
        <w:rPr>
          <w:rFonts w:ascii="Times New Roman" w:eastAsia="Times New Roman" w:hAnsi="Times New Roman" w:cs="Times New Roman"/>
          <w:sz w:val="24"/>
          <w:szCs w:val="24"/>
          <w:lang w:val="en-US"/>
        </w:rPr>
        <w:lastRenderedPageBreak/>
        <w:t xml:space="preserve">massive mistreatment, beatings, rape and torture causing serious bodily and mental harm, during the conflict and, in particular, in the detention camps. The requirements of the material element, as defined by Article II </w:t>
      </w:r>
      <w:r w:rsidRPr="00FB00FF">
        <w:rPr>
          <w:rFonts w:ascii="Times New Roman" w:eastAsia="Times New Roman" w:hAnsi="Times New Roman" w:cs="Times New Roman"/>
          <w:i/>
          <w:iCs/>
          <w:sz w:val="24"/>
          <w:szCs w:val="24"/>
          <w:lang w:val="en-US"/>
        </w:rPr>
        <w:t xml:space="preserve">(b) </w:t>
      </w:r>
      <w:r w:rsidRPr="00FB00FF">
        <w:rPr>
          <w:rFonts w:ascii="Times New Roman" w:eastAsia="Times New Roman" w:hAnsi="Times New Roman" w:cs="Times New Roman"/>
          <w:sz w:val="24"/>
          <w:szCs w:val="24"/>
          <w:lang w:val="en-US"/>
        </w:rPr>
        <w:t xml:space="preserve">of the [1948 Genocide] Convention [Article II </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xml:space="preserve">: Causing serious bodily or mental harm to members of the group] are thus fulfilled. The Court finds, however, on the basis of the evidence before it, that it has not been conclusively established that those atrocities, although they too may amount to war crimes and crimes against humanity, were committed with the specific intent </w:t>
      </w:r>
      <w:r w:rsidRPr="00FB00FF">
        <w:rPr>
          <w:rFonts w:ascii="Times New Roman" w:eastAsia="Times New Roman" w:hAnsi="Times New Roman" w:cs="Times New Roman"/>
          <w:i/>
          <w:iCs/>
          <w:sz w:val="24"/>
          <w:szCs w:val="24"/>
          <w:lang w:val="en-US"/>
        </w:rPr>
        <w:t xml:space="preserve">(dolus specialis) </w:t>
      </w:r>
      <w:r w:rsidRPr="00FB00FF">
        <w:rPr>
          <w:rFonts w:ascii="Times New Roman" w:eastAsia="Times New Roman" w:hAnsi="Times New Roman" w:cs="Times New Roman"/>
          <w:sz w:val="24"/>
          <w:szCs w:val="24"/>
          <w:lang w:val="en-US"/>
        </w:rPr>
        <w:t>to destroy the protected group, in whole or in part, required for a finding that genocide has been perpetrated.</w:t>
      </w:r>
      <w:r>
        <w:rPr>
          <w:rFonts w:ascii="Times New Roman" w:eastAsia="Times New Roman" w:hAnsi="Times New Roman" w:cs="Times New Roman"/>
          <w:noProof/>
          <w:sz w:val="24"/>
          <w:szCs w:val="24"/>
        </w:rPr>
        <w:drawing>
          <wp:inline distT="0" distB="0" distL="0" distR="0">
            <wp:extent cx="151130" cy="142875"/>
            <wp:effectExtent l="19050" t="0" r="1270" b="0"/>
            <wp:docPr id="1567" name="Imagen 15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The Court concludes that the acts committed at Srebrenica falling within Article II </w:t>
      </w:r>
      <w:r w:rsidRPr="00FB00FF">
        <w:rPr>
          <w:rFonts w:ascii="Times New Roman" w:eastAsia="Times New Roman" w:hAnsi="Times New Roman" w:cs="Times New Roman"/>
          <w:i/>
          <w:iCs/>
          <w:sz w:val="24"/>
          <w:szCs w:val="24"/>
          <w:lang w:val="en-US"/>
        </w:rPr>
        <w:t xml:space="preserve">(a) </w:t>
      </w:r>
      <w:r w:rsidRPr="00FB00FF">
        <w:rPr>
          <w:rFonts w:ascii="Times New Roman" w:eastAsia="Times New Roman" w:hAnsi="Times New Roman" w:cs="Times New Roman"/>
          <w:sz w:val="24"/>
          <w:szCs w:val="24"/>
          <w:lang w:val="en-US"/>
        </w:rPr>
        <w:t xml:space="preserve">and </w:t>
      </w:r>
      <w:r w:rsidRPr="00FB00FF">
        <w:rPr>
          <w:rFonts w:ascii="Times New Roman" w:eastAsia="Times New Roman" w:hAnsi="Times New Roman" w:cs="Times New Roman"/>
          <w:i/>
          <w:iCs/>
          <w:sz w:val="24"/>
          <w:szCs w:val="24"/>
          <w:lang w:val="en-US"/>
        </w:rPr>
        <w:t xml:space="preserve">(b) </w:t>
      </w:r>
      <w:r w:rsidRPr="00FB00FF">
        <w:rPr>
          <w:rFonts w:ascii="Times New Roman" w:eastAsia="Times New Roman" w:hAnsi="Times New Roman" w:cs="Times New Roman"/>
          <w:sz w:val="24"/>
          <w:szCs w:val="24"/>
          <w:lang w:val="en-US"/>
        </w:rPr>
        <w:t xml:space="preserve">of the [1948 Genocide] Convention [Article II </w:t>
      </w:r>
      <w:r w:rsidRPr="00FB00FF">
        <w:rPr>
          <w:rFonts w:ascii="Times New Roman" w:eastAsia="Times New Roman" w:hAnsi="Times New Roman" w:cs="Times New Roman"/>
          <w:i/>
          <w:iCs/>
          <w:sz w:val="24"/>
          <w:szCs w:val="24"/>
          <w:lang w:val="en-US"/>
        </w:rPr>
        <w:t>(a)</w:t>
      </w:r>
      <w:r w:rsidRPr="00FB00FF">
        <w:rPr>
          <w:rFonts w:ascii="Times New Roman" w:eastAsia="Times New Roman" w:hAnsi="Times New Roman" w:cs="Times New Roman"/>
          <w:sz w:val="24"/>
          <w:szCs w:val="24"/>
          <w:lang w:val="en-US"/>
        </w:rPr>
        <w:t xml:space="preserve">: Killing members of the group; Article II </w:t>
      </w:r>
      <w:r w:rsidRPr="00FB00FF">
        <w:rPr>
          <w:rFonts w:ascii="Times New Roman" w:eastAsia="Times New Roman" w:hAnsi="Times New Roman" w:cs="Times New Roman"/>
          <w:i/>
          <w:iCs/>
          <w:sz w:val="24"/>
          <w:szCs w:val="24"/>
          <w:lang w:val="en-US"/>
        </w:rPr>
        <w:t>(b)</w:t>
      </w:r>
      <w:r w:rsidRPr="00FB00FF">
        <w:rPr>
          <w:rFonts w:ascii="Times New Roman" w:eastAsia="Times New Roman" w:hAnsi="Times New Roman" w:cs="Times New Roman"/>
          <w:sz w:val="24"/>
          <w:szCs w:val="24"/>
          <w:lang w:val="en-US"/>
        </w:rPr>
        <w:t>: Causing serious bodily or mental harm to members of the group] were committed with the specific intent to destroy in part the group of</w:t>
      </w:r>
      <w:r w:rsidRPr="00FB00FF">
        <w:rPr>
          <w:rFonts w:ascii="Times New Roman" w:eastAsia="Times New Roman" w:hAnsi="Times New Roman" w:cs="Times New Roman"/>
          <w:i/>
          <w:iCs/>
          <w:sz w:val="24"/>
          <w:szCs w:val="24"/>
          <w:lang w:val="en-US"/>
        </w:rPr>
        <w:t xml:space="preserve"> </w:t>
      </w:r>
      <w:r w:rsidRPr="00FB00FF">
        <w:rPr>
          <w:rFonts w:ascii="Times New Roman" w:eastAsia="Times New Roman" w:hAnsi="Times New Roman" w:cs="Times New Roman"/>
          <w:sz w:val="24"/>
          <w:szCs w:val="24"/>
          <w:lang w:val="en-US"/>
        </w:rPr>
        <w:t>the Muslims of Bosnia and Herzegovina as such; and accordingly that these were acts of genocide,</w:t>
      </w:r>
      <w:r w:rsidRPr="00FB00FF">
        <w:rPr>
          <w:rFonts w:ascii="Times New Roman" w:eastAsia="Times New Roman" w:hAnsi="Times New Roman" w:cs="Times New Roman"/>
          <w:i/>
          <w:iCs/>
          <w:sz w:val="24"/>
          <w:szCs w:val="24"/>
          <w:lang w:val="en-US"/>
        </w:rPr>
        <w:t xml:space="preserve"> </w:t>
      </w:r>
      <w:r w:rsidRPr="00FB00FF">
        <w:rPr>
          <w:rFonts w:ascii="Times New Roman" w:eastAsia="Times New Roman" w:hAnsi="Times New Roman" w:cs="Times New Roman"/>
          <w:sz w:val="24"/>
          <w:szCs w:val="24"/>
          <w:lang w:val="en-US"/>
        </w:rPr>
        <w:t>committed by members of the VRS [Republika Srpska army] in and around Srebrenica from about 13 July 1995.</w:t>
      </w:r>
      <w:r>
        <w:rPr>
          <w:rFonts w:ascii="Times New Roman" w:eastAsia="Times New Roman" w:hAnsi="Times New Roman" w:cs="Times New Roman"/>
          <w:noProof/>
          <w:sz w:val="24"/>
          <w:szCs w:val="24"/>
        </w:rPr>
        <w:drawing>
          <wp:inline distT="0" distB="0" distL="0" distR="0">
            <wp:extent cx="151130" cy="142875"/>
            <wp:effectExtent l="19050" t="0" r="1270" b="0"/>
            <wp:docPr id="1568" name="Imagen 15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International Criminal Court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 xml:space="preserve">Kony case </w:t>
      </w:r>
      <w:r w:rsidRPr="00FB00FF">
        <w:rPr>
          <w:rFonts w:ascii="Times New Roman" w:eastAsia="Times New Roman" w:hAnsi="Times New Roman" w:cs="Times New Roman"/>
          <w:sz w:val="24"/>
          <w:szCs w:val="24"/>
          <w:lang w:val="en-US"/>
        </w:rPr>
        <w:t xml:space="preserve">before the ICC in 2005, the ICC Pre-Trial Chamber II issued an arrest warrant for Joseph Kony, the alleged founder, chairman and commander-in-chief of the Lord’s Resistance Army (LRA), an armed group carrying out an insurgency against the Government of Uganda. He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two counts of rape: one, the war crime of inducing rape, punishable under Articles 8(2)(e)(vi) and 25(3)(b)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69" name="Imagen 15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and the other, the crime against humanity of rape, punishable under Article 7(1)(g)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0" name="Imagen 15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a cycle of violence and established a pattern of “brutalization of civilians” by acts including murder, abduction, sexual enslavement, mutilation, as well as mass burnings of houses and looting of camp settlements; that abducted civilians, including children, are said to have been forcibly “recruited” as fighters, porters and sex slaves to serve the LRA and to contribute to attacks against the Ugandan army and civilian communities.</w:t>
      </w:r>
      <w:r>
        <w:rPr>
          <w:rFonts w:ascii="Times New Roman" w:eastAsia="Times New Roman" w:hAnsi="Times New Roman" w:cs="Times New Roman"/>
          <w:noProof/>
          <w:sz w:val="24"/>
          <w:szCs w:val="24"/>
        </w:rPr>
        <w:drawing>
          <wp:inline distT="0" distB="0" distL="0" distR="0">
            <wp:extent cx="151130" cy="142875"/>
            <wp:effectExtent l="19050" t="0" r="1270" b="0"/>
            <wp:docPr id="1571" name="Imagen 15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 xml:space="preserve">Otti case </w:t>
      </w:r>
      <w:r w:rsidRPr="00FB00FF">
        <w:rPr>
          <w:rFonts w:ascii="Times New Roman" w:eastAsia="Times New Roman" w:hAnsi="Times New Roman" w:cs="Times New Roman"/>
          <w:sz w:val="24"/>
          <w:szCs w:val="24"/>
          <w:lang w:val="en-US"/>
        </w:rPr>
        <w:t xml:space="preserve">before the ICC in 2005, the ICC Pre-Trial Chamber II issued an arrest warrant for Vincent Otti, the alleged vice-chairman and second-in-command of the Lord’s Resistance Army (LRA), an armed group carrying out an insurgency against the Government of Uganda. He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two counts of rape: one, the war crime of inducing rape, punishable under Articles 8(2)(e)(vi) and 25(3)(b)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2" name="Imagen 15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and the other, the crime against humanity of rape, punishable under Article 7(1)(g)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3" name="Imagen 15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a cycle of violence and established a pattern of “brutalization of civilians” by acts including murder, abduction, sexual enslavement, mutilation, as well as mass burnings of houses and looting of camp settlements; that abducted civilians, including children, are said to have been forcibly “recruited” as fighters, porters and sex slaves to serve the LRA and to contribute to attacks against the Ugandan army and civilian communities.</w:t>
      </w:r>
      <w:r>
        <w:rPr>
          <w:rFonts w:ascii="Times New Roman" w:eastAsia="Times New Roman" w:hAnsi="Times New Roman" w:cs="Times New Roman"/>
          <w:noProof/>
          <w:sz w:val="24"/>
          <w:szCs w:val="24"/>
        </w:rPr>
        <w:drawing>
          <wp:inline distT="0" distB="0" distL="0" distR="0">
            <wp:extent cx="151130" cy="142875"/>
            <wp:effectExtent l="19050" t="0" r="1270" b="0"/>
            <wp:docPr id="1574" name="Imagen 15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Harun case</w:t>
      </w:r>
      <w:r w:rsidRPr="00FB00FF">
        <w:rPr>
          <w:rFonts w:ascii="Times New Roman" w:eastAsia="Times New Roman" w:hAnsi="Times New Roman" w:cs="Times New Roman"/>
          <w:sz w:val="24"/>
          <w:szCs w:val="24"/>
          <w:lang w:val="en-US"/>
        </w:rPr>
        <w:t xml:space="preserve"> before the ICC in 2007, the ICC Pre-Trial Chamber I, dealing with the situation in Darfur, Sudan, issued an arrest warrant for Ahmad Muhammad Harun (“Ahmad Harun”), minister of state for the interior of the Government of Sudan from in or about April 2003 until in or about September 2005, and minister of state for humanitarian affairs of the Government of Sudan since 2006. The decision was based,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on counts of rape and outrage upon personal dignity as war crimes, and rape as a crime against humanity. As regards war crimes, the Pre-Trial Chamber considered </w:t>
      </w:r>
      <w:r w:rsidRPr="00FB00FF">
        <w:rPr>
          <w:rFonts w:ascii="Times New Roman" w:eastAsia="Times New Roman" w:hAnsi="Times New Roman" w:cs="Times New Roman"/>
          <w:sz w:val="24"/>
          <w:szCs w:val="24"/>
          <w:lang w:val="en-US"/>
        </w:rPr>
        <w:lastRenderedPageBreak/>
        <w:t>that there were reasonable grounds to believe that: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On or about 15 August 2003, </w:t>
      </w:r>
      <w:r w:rsidRPr="00FB00FF">
        <w:rPr>
          <w:rFonts w:ascii="Times New Roman" w:eastAsia="Times New Roman" w:hAnsi="Times New Roman" w:cs="Times New Roman"/>
          <w:i/>
          <w:iCs/>
          <w:sz w:val="24"/>
          <w:szCs w:val="24"/>
          <w:lang w:val="en-US"/>
        </w:rPr>
        <w:t>Ahmad Harun</w:t>
      </w:r>
      <w:r w:rsidRPr="00FB00FF">
        <w:rPr>
          <w:rFonts w:ascii="Times New Roman" w:eastAsia="Times New Roman" w:hAnsi="Times New Roman" w:cs="Times New Roman"/>
          <w:sz w:val="24"/>
          <w:szCs w:val="24"/>
          <w:lang w:val="en-US"/>
        </w:rPr>
        <w:t>, as part of a group of persons acting with a common purpose, contributed to the rape of women and girls from the primarily Fur population of Bindisi town and surrounding areas (articles 8(2)(e)(vi) and 25(3)(d) of the [1998 ICC Statute]);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or around December 2003, </w:t>
      </w:r>
      <w:r w:rsidRPr="00FB00FF">
        <w:rPr>
          <w:rFonts w:ascii="Times New Roman" w:eastAsia="Times New Roman" w:hAnsi="Times New Roman" w:cs="Times New Roman"/>
          <w:i/>
          <w:iCs/>
          <w:sz w:val="24"/>
          <w:szCs w:val="24"/>
          <w:lang w:val="en-US"/>
        </w:rPr>
        <w:t>Ahmad Harun</w:t>
      </w:r>
      <w:r w:rsidRPr="00FB00FF">
        <w:rPr>
          <w:rFonts w:ascii="Times New Roman" w:eastAsia="Times New Roman" w:hAnsi="Times New Roman" w:cs="Times New Roman"/>
          <w:sz w:val="24"/>
          <w:szCs w:val="24"/>
          <w:lang w:val="en-US"/>
        </w:rPr>
        <w:t>, as part of a group of persons acting with a common purpose, contributed to the rape of at least 10 women and girls from the primarily Fur population of Arawala town and surrounding areas (articles 8(2)(e)(vi) and 25(3)(d) of the [1998 ICC Statute]);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or around December 2003, </w:t>
      </w:r>
      <w:r w:rsidRPr="00FB00FF">
        <w:rPr>
          <w:rFonts w:ascii="Times New Roman" w:eastAsia="Times New Roman" w:hAnsi="Times New Roman" w:cs="Times New Roman"/>
          <w:i/>
          <w:iCs/>
          <w:sz w:val="24"/>
          <w:szCs w:val="24"/>
          <w:lang w:val="en-US"/>
        </w:rPr>
        <w:t>Ahmad Harun</w:t>
      </w:r>
      <w:r w:rsidRPr="00FB00FF">
        <w:rPr>
          <w:rFonts w:ascii="Times New Roman" w:eastAsia="Times New Roman" w:hAnsi="Times New Roman" w:cs="Times New Roman"/>
          <w:sz w:val="24"/>
          <w:szCs w:val="24"/>
          <w:lang w:val="en-US"/>
        </w:rPr>
        <w:t>, as part of a group of persons acting with a common purpose, contributed to outrage upon personal dignity of at least 10 women and girls from the primarily Fur population of Arawala town and surrounding areas (articles 8(2)(c)(ii) and 25(3)(d)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5" name="Imagen 15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Kushayb case</w:t>
      </w:r>
      <w:r w:rsidRPr="00FB00FF">
        <w:rPr>
          <w:rFonts w:ascii="Times New Roman" w:eastAsia="Times New Roman" w:hAnsi="Times New Roman" w:cs="Times New Roman"/>
          <w:sz w:val="24"/>
          <w:szCs w:val="24"/>
          <w:lang w:val="en-US"/>
        </w:rPr>
        <w:t xml:space="preserve"> before the ICC in 2007, the ICC Pre-Trial Chamber I, dealing with the situation in Darfur, Sudan, issued an arrest warrant for Ali Muhammad Ali Abd-al-Rahman (“Ali Kushayb”), a member of the Popular Defence Force (PDF) and a senior leader of the Militia/Janjaweed. The decision was based,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on counts of rape and outrage upon personal dignity as war crimes, and rape as a crime against humanity. As regards war crimes, the Pre-Trial Chamber considered that there were reasonable grounds to believe that: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On or about 15 August 2003, </w:t>
      </w:r>
      <w:r w:rsidRPr="00FB00FF">
        <w:rPr>
          <w:rFonts w:ascii="Times New Roman" w:eastAsia="Times New Roman" w:hAnsi="Times New Roman" w:cs="Times New Roman"/>
          <w:i/>
          <w:iCs/>
          <w:sz w:val="24"/>
          <w:szCs w:val="24"/>
          <w:lang w:val="en-US"/>
        </w:rPr>
        <w:t>Ali Kushayb</w:t>
      </w:r>
      <w:r w:rsidRPr="00FB00FF">
        <w:rPr>
          <w:rFonts w:ascii="Times New Roman" w:eastAsia="Times New Roman" w:hAnsi="Times New Roman" w:cs="Times New Roman"/>
          <w:sz w:val="24"/>
          <w:szCs w:val="24"/>
          <w:lang w:val="en-US"/>
        </w:rPr>
        <w:t>, as part of a group of persons acting with a common purpose, contributed to the rape of women and girls from the primarily Fur population of Bindisi town and surrounding areas (articles 8(2)(e)(vi) and 25(3)(d) of the [1998 ICC Statute]);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or around December 2003, </w:t>
      </w:r>
      <w:r w:rsidRPr="00FB00FF">
        <w:rPr>
          <w:rFonts w:ascii="Times New Roman" w:eastAsia="Times New Roman" w:hAnsi="Times New Roman" w:cs="Times New Roman"/>
          <w:i/>
          <w:iCs/>
          <w:sz w:val="24"/>
          <w:szCs w:val="24"/>
          <w:lang w:val="en-US"/>
        </w:rPr>
        <w:t>Ali Kushayb</w:t>
      </w:r>
      <w:r w:rsidRPr="00FB00FF">
        <w:rPr>
          <w:rFonts w:ascii="Times New Roman" w:eastAsia="Times New Roman" w:hAnsi="Times New Roman" w:cs="Times New Roman"/>
          <w:sz w:val="24"/>
          <w:szCs w:val="24"/>
          <w:lang w:val="en-US"/>
        </w:rPr>
        <w:t>, as part of a group of persons acting with a common purpose, contributed to the rape of at least 10 women and girls from the primarily Fur population of Arawala town and surrounding areas (articles 8(2)(e)(vi) and 25(3)(d) of the [1998 ICC Statute]);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or around December 2003, </w:t>
      </w:r>
      <w:r w:rsidRPr="00FB00FF">
        <w:rPr>
          <w:rFonts w:ascii="Times New Roman" w:eastAsia="Times New Roman" w:hAnsi="Times New Roman" w:cs="Times New Roman"/>
          <w:i/>
          <w:iCs/>
          <w:sz w:val="24"/>
          <w:szCs w:val="24"/>
          <w:lang w:val="en-US"/>
        </w:rPr>
        <w:t>Ali Kushayb</w:t>
      </w:r>
      <w:r w:rsidRPr="00FB00FF">
        <w:rPr>
          <w:rFonts w:ascii="Times New Roman" w:eastAsia="Times New Roman" w:hAnsi="Times New Roman" w:cs="Times New Roman"/>
          <w:sz w:val="24"/>
          <w:szCs w:val="24"/>
          <w:lang w:val="en-US"/>
        </w:rPr>
        <w:t>, as part of a group of persons acting with a common purpose, contributed to outrage upon personal dignity of at least 10 women and girls from the primarily Fur population of Arawala town and surrounding areas (articles 8(2)(c)(ii) and 25(3)(d) of the [1998 ICC Statute]);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or around December 2003, </w:t>
      </w:r>
      <w:r w:rsidRPr="00FB00FF">
        <w:rPr>
          <w:rFonts w:ascii="Times New Roman" w:eastAsia="Times New Roman" w:hAnsi="Times New Roman" w:cs="Times New Roman"/>
          <w:i/>
          <w:iCs/>
          <w:sz w:val="24"/>
          <w:szCs w:val="24"/>
          <w:lang w:val="en-US"/>
        </w:rPr>
        <w:t>Ali Kushayb</w:t>
      </w:r>
      <w:r w:rsidRPr="00FB00FF">
        <w:rPr>
          <w:rFonts w:ascii="Times New Roman" w:eastAsia="Times New Roman" w:hAnsi="Times New Roman" w:cs="Times New Roman"/>
          <w:sz w:val="24"/>
          <w:szCs w:val="24"/>
          <w:lang w:val="en-US"/>
        </w:rPr>
        <w:t xml:space="preserve"> committed, jointly with others, outrage upon personal dignity of at least 10 women and girls from the primarily Fur population of Arawala town and surrounding areas (articles 8(2)(c)(ii) and 25(3)(a)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6" name="Imagen 15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 xml:space="preserve">Katanga case </w:t>
      </w:r>
      <w:r w:rsidRPr="00FB00FF">
        <w:rPr>
          <w:rFonts w:ascii="Times New Roman" w:eastAsia="Times New Roman" w:hAnsi="Times New Roman" w:cs="Times New Roman"/>
          <w:sz w:val="24"/>
          <w:szCs w:val="24"/>
          <w:lang w:val="en-US"/>
        </w:rPr>
        <w:t>before the ICC in 2007, the ICC Pre-Trial Chamber I issued an arrest warrant for Germain Katanga, the alleged former commander of an armed group known as the Force de résistance patriotique en Ituri</w:t>
      </w:r>
      <w:r w:rsidRPr="00FB00FF">
        <w:rPr>
          <w:rFonts w:ascii="Times New Roman" w:eastAsia="Times New Roman" w:hAnsi="Times New Roman" w:cs="Times New Roman"/>
          <w:i/>
          <w:iCs/>
          <w:sz w:val="24"/>
          <w:szCs w:val="24"/>
          <w:lang w:val="en-US"/>
        </w:rPr>
        <w:t xml:space="preserve"> </w:t>
      </w:r>
      <w:r w:rsidRPr="00FB00FF">
        <w:rPr>
          <w:rFonts w:ascii="Times New Roman" w:eastAsia="Times New Roman" w:hAnsi="Times New Roman" w:cs="Times New Roman"/>
          <w:sz w:val="24"/>
          <w:szCs w:val="24"/>
          <w:lang w:val="en-US"/>
        </w:rPr>
        <w:t xml:space="preserve">(FRPI), in the Democratic Republic of the Congo. He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sexual slavery, both as a crime against humanity, punishable under Article 7(1)(g) of the 1998 ICC Statute, and as a war crime, punishable under Article 8(2)(b)(xxii) or (e)(vi)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7" name="Imagen 15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Ngudjolo Chui</w:t>
      </w:r>
      <w:r w:rsidRPr="00FB00FF">
        <w:rPr>
          <w:rFonts w:ascii="Times New Roman" w:eastAsia="Times New Roman" w:hAnsi="Times New Roman" w:cs="Times New Roman"/>
          <w:sz w:val="24"/>
          <w:szCs w:val="24"/>
          <w:lang w:val="en-US"/>
        </w:rPr>
        <w:t xml:space="preserve"> </w:t>
      </w:r>
      <w:r w:rsidRPr="00FB00FF">
        <w:rPr>
          <w:rFonts w:ascii="Times New Roman" w:eastAsia="Times New Roman" w:hAnsi="Times New Roman" w:cs="Times New Roman"/>
          <w:i/>
          <w:iCs/>
          <w:sz w:val="24"/>
          <w:szCs w:val="24"/>
          <w:lang w:val="en-US"/>
        </w:rPr>
        <w:t xml:space="preserve">case </w:t>
      </w:r>
      <w:r w:rsidRPr="00FB00FF">
        <w:rPr>
          <w:rFonts w:ascii="Times New Roman" w:eastAsia="Times New Roman" w:hAnsi="Times New Roman" w:cs="Times New Roman"/>
          <w:sz w:val="24"/>
          <w:szCs w:val="24"/>
          <w:lang w:val="en-US"/>
        </w:rPr>
        <w:t xml:space="preserve">before the ICC in 2007, the ICC Pre-Trial Chamber I issued an arrest warrant for Mathieu Ngudjolo Chui, a Congolese national and alleged former leader of an armed group known as the Front des nationalistes et intégrationnistes </w:t>
      </w:r>
      <w:r w:rsidRPr="00FB00FF">
        <w:rPr>
          <w:rFonts w:ascii="Times New Roman" w:eastAsia="Times New Roman" w:hAnsi="Times New Roman" w:cs="Times New Roman"/>
          <w:sz w:val="24"/>
          <w:szCs w:val="24"/>
          <w:lang w:val="en-US"/>
        </w:rPr>
        <w:lastRenderedPageBreak/>
        <w:t xml:space="preserve">(FNI). At the time his arrest warrant was issued he was a colonel in the National Army of the Government of the Democratic Republic of the Congo (FARDC). He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sexual slavery, both as a crime against humanity, punishable under Article 7(1)(g) of the 1998 ICC Statute, and as a war crime, punishable under Article 8(2)(b)(xxii) or (e)(vi)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1578" name="Imagen 15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Katanga and Chui case</w:t>
      </w:r>
      <w:r w:rsidRPr="00FB00FF">
        <w:rPr>
          <w:rFonts w:ascii="Times New Roman" w:eastAsia="Times New Roman" w:hAnsi="Times New Roman" w:cs="Times New Roman"/>
          <w:sz w:val="24"/>
          <w:szCs w:val="24"/>
          <w:lang w:val="en-US"/>
        </w:rPr>
        <w:t xml:space="preserve"> before the ICC, the accused, respectively the alleged commander of the Front for Patriotic Resistance of Ituri (FRPI) and the alleged former leader of the Nationalist and. Integrationist Front (FNI) in the Democratic Republic of the Congo, were charged with jointly committing through other persons various crimes against humanity and war crimes under Articles 7 and 8 of the 1998 ICC Statute. In its decision on the confirmation of charges in 2008, the Pre-Trial Chamber considered the war crime of rape. The Pre-Trial Chamber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342. The war crime of rape, under article 8(2)(b)(xxii)-l of the [2000 ICC] Elements of Crimes, requires that: (i) the perpetrator must invade the body of a person by conduct resulting in penetration, however slight, of any part of the body of the victim or of the perpetrator with a sexual organ, or of the anal or genital opening of the victim with an object or any other part of the body; and (ii) the invasion must be committed by force, or by threat of force or coercion, such as that caused by fear of violence, duress, detention, psychological oppression or abuse of power, against such person or another person, or by taking advantage of a coercive environment, or the invasion was committed against a person incapable of giving genuine consent.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346. Article 30 of the [1998 ICC] Statute requires intent and knowledge for the subjective element of the war [crime] of rape … This subjective element applies to … the act of invasion of the body of a person resulting in penetration, by force, or by threat of force or coercion … The subjective elements … include, first and foremost, </w:t>
      </w:r>
      <w:r w:rsidRPr="00FB00FF">
        <w:rPr>
          <w:rFonts w:ascii="Times New Roman" w:eastAsia="Times New Roman" w:hAnsi="Times New Roman" w:cs="Times New Roman"/>
          <w:i/>
          <w:iCs/>
          <w:sz w:val="24"/>
          <w:szCs w:val="24"/>
          <w:lang w:val="en-US"/>
        </w:rPr>
        <w:t>dolus directus</w:t>
      </w:r>
      <w:r w:rsidRPr="00FB00FF">
        <w:rPr>
          <w:rFonts w:ascii="Times New Roman" w:eastAsia="Times New Roman" w:hAnsi="Times New Roman" w:cs="Times New Roman"/>
          <w:sz w:val="24"/>
          <w:szCs w:val="24"/>
          <w:lang w:val="en-US"/>
        </w:rPr>
        <w:t xml:space="preserve"> of the first degree. They also may include </w:t>
      </w:r>
      <w:r w:rsidRPr="00FB00FF">
        <w:rPr>
          <w:rFonts w:ascii="Times New Roman" w:eastAsia="Times New Roman" w:hAnsi="Times New Roman" w:cs="Times New Roman"/>
          <w:i/>
          <w:iCs/>
          <w:sz w:val="24"/>
          <w:szCs w:val="24"/>
          <w:lang w:val="en-US"/>
        </w:rPr>
        <w:t>dolus directus</w:t>
      </w:r>
      <w:r w:rsidRPr="00FB00FF">
        <w:rPr>
          <w:rFonts w:ascii="Times New Roman" w:eastAsia="Times New Roman" w:hAnsi="Times New Roman" w:cs="Times New Roman"/>
          <w:sz w:val="24"/>
          <w:szCs w:val="24"/>
          <w:lang w:val="en-US"/>
        </w:rPr>
        <w:t xml:space="preserve"> of the second degree.</w:t>
      </w:r>
      <w:r>
        <w:rPr>
          <w:rFonts w:ascii="Times New Roman" w:eastAsia="Times New Roman" w:hAnsi="Times New Roman" w:cs="Times New Roman"/>
          <w:noProof/>
          <w:sz w:val="24"/>
          <w:szCs w:val="24"/>
        </w:rPr>
        <w:drawing>
          <wp:inline distT="0" distB="0" distL="0" distR="0">
            <wp:extent cx="151130" cy="142875"/>
            <wp:effectExtent l="19050" t="0" r="1270" b="0"/>
            <wp:docPr id="1579" name="Imagen 15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438. The crime against humanity of rape pursuant to article 7(l)(g) of the [1998 ICC] Statute and article 7(l)(g)-l of the [2000 ICC] Elements of Crimes, occurs when: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perpetrator invaded the body of a person by conduct resulting in penetration, however slight, of any part of the body of the victim or of the perpetrator with a sexual organ, or of the anal or genital opening of the victim with any object or any other part of the body.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The invasion was committed by force, or by threat of force or coercion, such as that caused by fear of violence, duress, detention, psychological oppression or abuse of power, against such person or another person, or by taking advantage of a coercive environment, or the invasion was committed against a person incapable of giving genuine consent.</w:t>
      </w:r>
    </w:p>
    <w:p w:rsidR="00C74F6F" w:rsidRPr="00C74F6F" w:rsidRDefault="00C74F6F" w:rsidP="00C74F6F">
      <w:pPr>
        <w:spacing w:after="24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439. The objective elements of the crime against humanity of rape are further explained in footnotes 15 and 16 of the Elements of Crimes to mean that “the concept of ‘invasion’ is intended to be broad enough to be gender neutral” and “that a person may be incapable of giving genuine consent if affected by natural, induced or age-related incapacity.”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440. With regard to the term “coercion”, the Chamber notes the finding of the ICTR Trial Chamber in </w:t>
      </w:r>
      <w:r w:rsidRPr="00FB00FF">
        <w:rPr>
          <w:rFonts w:ascii="Times New Roman" w:eastAsia="Times New Roman" w:hAnsi="Times New Roman" w:cs="Times New Roman"/>
          <w:i/>
          <w:iCs/>
          <w:sz w:val="24"/>
          <w:szCs w:val="24"/>
          <w:lang w:val="en-US"/>
        </w:rPr>
        <w:t>The Prosecutor v. Akayesu</w:t>
      </w:r>
      <w:r w:rsidRPr="00FB00FF">
        <w:rPr>
          <w:rFonts w:ascii="Times New Roman" w:eastAsia="Times New Roman" w:hAnsi="Times New Roman" w:cs="Times New Roman"/>
          <w:sz w:val="24"/>
          <w:szCs w:val="24"/>
          <w:lang w:val="en-US"/>
        </w:rPr>
        <w:t xml:space="preserve"> that a coercive environment does not require physical force. Rather, “[t]hreats, intimidation, extortion and other forms of duress which prey on fear or desperation may constitute coercion, and coercion may be inherent in certain circumstances, such as armed conflict or military presence.” [ICTR,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Judgement, § 688]</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lastRenderedPageBreak/>
        <w:t xml:space="preserve">441. Finally, article 30 of the Statute governs the subjective element of the crime against humanity of rape requiring the perpetrator’s intent to invade another person’s body “with a sexual organ, or the anal or genital opening of the victim with any object or any other part of the body” by force or threat of force or coercion. Thus, this offence encompasses, first and foremost, cases of </w:t>
      </w:r>
      <w:r w:rsidRPr="00FB00FF">
        <w:rPr>
          <w:rFonts w:ascii="Times New Roman" w:eastAsia="Times New Roman" w:hAnsi="Times New Roman" w:cs="Times New Roman"/>
          <w:i/>
          <w:iCs/>
          <w:sz w:val="24"/>
          <w:szCs w:val="24"/>
          <w:lang w:val="en-US"/>
        </w:rPr>
        <w:t>dolus directus</w:t>
      </w:r>
      <w:r w:rsidRPr="00FB00FF">
        <w:rPr>
          <w:rFonts w:ascii="Times New Roman" w:eastAsia="Times New Roman" w:hAnsi="Times New Roman" w:cs="Times New Roman"/>
          <w:sz w:val="24"/>
          <w:szCs w:val="24"/>
          <w:lang w:val="en-US"/>
        </w:rPr>
        <w:t xml:space="preserve"> of the first and second degree.</w:t>
      </w:r>
      <w:r>
        <w:rPr>
          <w:rFonts w:ascii="Times New Roman" w:eastAsia="Times New Roman" w:hAnsi="Times New Roman" w:cs="Times New Roman"/>
          <w:noProof/>
          <w:sz w:val="24"/>
          <w:szCs w:val="24"/>
        </w:rPr>
        <w:drawing>
          <wp:inline distT="0" distB="0" distL="0" distR="0">
            <wp:extent cx="151130" cy="142875"/>
            <wp:effectExtent l="19050" t="0" r="1270" b="0"/>
            <wp:docPr id="1580" name="Imagen 15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2012, the ICC Trial Chamber II acquitted Mr Ngudjolo Chui of all the charges against him.</w:t>
      </w:r>
      <w:r>
        <w:rPr>
          <w:rFonts w:ascii="Times New Roman" w:eastAsia="Times New Roman" w:hAnsi="Times New Roman" w:cs="Times New Roman"/>
          <w:noProof/>
          <w:sz w:val="24"/>
          <w:szCs w:val="24"/>
        </w:rPr>
        <w:drawing>
          <wp:inline distT="0" distB="0" distL="0" distR="0">
            <wp:extent cx="151130" cy="142875"/>
            <wp:effectExtent l="19050" t="0" r="1270" b="0"/>
            <wp:docPr id="1581" name="Imagen 15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Bemba case</w:t>
      </w:r>
      <w:r w:rsidRPr="00FB00FF">
        <w:rPr>
          <w:rFonts w:ascii="Times New Roman" w:eastAsia="Times New Roman" w:hAnsi="Times New Roman" w:cs="Times New Roman"/>
          <w:sz w:val="24"/>
          <w:szCs w:val="24"/>
          <w:lang w:val="en-US"/>
        </w:rPr>
        <w:t xml:space="preserve"> before the ICC, the accused, the alleged President and Commander-in-chief of the Movement for the Liberation of Congo (MLC), was charged, inter alia, with murder, rape and torture as war crimes and as crimes against humanity, pursuant to Articles 7 and 8 of the 1998 ICC Statute. In its decision on the confirmation of charges in 2009, the Pre-Trial Chamber defined the crime against humanity of rape, stating:</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161. The [2000 ICC] Elements of Crimes with regard to article 7(l)(g) of the Statute require that: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perpetrator invaded the body of a person by conduct resulting in penetration, however slight, of any part of the body of the victim or of the perpetrator with a sexual organ, or of the anal or genital opening of the victim with any object or any other part of the body;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The invasion was committed by force, or by threat of force or coercion, such as that caused by fear of violence, duress, detention, psychological oppression or abuse of power, against such person or another person, or by taking advantage of a coercive environment, or the invasion was committed against a person incapable of giving genuine consent.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162. With regard to the term “coercion”, the Chamber notes that it does not require physical force. Rather, “threats, intimidation, extortion and other forms of duress which prey on fear or desperation may constitute coercion, and coercion may be inherent in certain circumstances, such as armed conflict or military presence.”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bb) Mens rea</w:t>
      </w:r>
      <w:r w:rsidRPr="00C74F6F">
        <w:rPr>
          <w:rFonts w:ascii="Times New Roman" w:eastAsia="Times New Roman" w:hAnsi="Times New Roman" w:cs="Times New Roman"/>
          <w:i/>
          <w:iCs/>
          <w:sz w:val="24"/>
          <w:szCs w:val="24"/>
          <w:lang w:val="en-US"/>
        </w:rPr>
        <w:br/>
      </w:r>
      <w:r w:rsidRPr="00FB00FF">
        <w:rPr>
          <w:rFonts w:ascii="Times New Roman" w:eastAsia="Times New Roman" w:hAnsi="Times New Roman" w:cs="Times New Roman"/>
          <w:sz w:val="24"/>
          <w:szCs w:val="24"/>
          <w:lang w:val="en-US"/>
        </w:rPr>
        <w:t>163. With regard to the mental element, the perpetrator must have committed the act of rape with intent and knowledge within the meaning of article 30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1582" name="Imagen 15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283. With regard to article 8(2)(e)(vi) of the [1998 ICC] Statute, the [2000 ICC] Elements of Crimes require that: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perpetrator invaded the body of a person by conduct resulting in penetration, however slight, of any part of the body of the victim or of the perpetrator with a sexual organ, or of the anal or genital opening of the victim with any object or any other part of the body;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The invasion was committed by force, or by threat of force or coercion, such as that caused by fear of violence, duress, detention, psychological oppression or abuse of power, against such person or another person, or by taking advantage of a coercive environment, or the invasion was committed against a person incapable of giving genuine consent.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i/>
          <w:iCs/>
          <w:sz w:val="24"/>
          <w:szCs w:val="24"/>
          <w:lang w:val="en-US"/>
        </w:rPr>
        <w:t>bb) Mens rea</w:t>
      </w:r>
      <w:r w:rsidRPr="00C74F6F">
        <w:rPr>
          <w:rFonts w:ascii="Times New Roman" w:eastAsia="Times New Roman" w:hAnsi="Times New Roman" w:cs="Times New Roman"/>
          <w:i/>
          <w:iCs/>
          <w:sz w:val="24"/>
          <w:szCs w:val="24"/>
          <w:lang w:val="en-US"/>
        </w:rPr>
        <w:br/>
      </w:r>
      <w:r w:rsidRPr="00FB00FF">
        <w:rPr>
          <w:rFonts w:ascii="Times New Roman" w:eastAsia="Times New Roman" w:hAnsi="Times New Roman" w:cs="Times New Roman"/>
          <w:sz w:val="24"/>
          <w:szCs w:val="24"/>
          <w:lang w:val="en-US"/>
        </w:rPr>
        <w:t>284. With regard to the mental element, the perpetrator must have committed the act of rape with intent and knowledge pursuant to article 30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1583" name="Imagen 15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International Criminal Court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lastRenderedPageBreak/>
        <w:t xml:space="preserve">In its decision on the confirmation of charges in the </w:t>
      </w:r>
      <w:r w:rsidRPr="00FB00FF">
        <w:rPr>
          <w:rFonts w:ascii="Times New Roman" w:eastAsia="Times New Roman" w:hAnsi="Times New Roman" w:cs="Times New Roman"/>
          <w:i/>
          <w:iCs/>
          <w:sz w:val="24"/>
          <w:szCs w:val="24"/>
          <w:lang w:val="en-US"/>
        </w:rPr>
        <w:t>Mbarushimana case</w:t>
      </w:r>
      <w:r w:rsidRPr="00FB00FF">
        <w:rPr>
          <w:rFonts w:ascii="Times New Roman" w:eastAsia="Times New Roman" w:hAnsi="Times New Roman" w:cs="Times New Roman"/>
          <w:sz w:val="24"/>
          <w:szCs w:val="24"/>
          <w:lang w:val="en-US"/>
        </w:rPr>
        <w:t xml:space="preserve"> in 2011, the ICC Pre-Trial Chamber I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162. … She describes the way the soldier pushed her down, took her clothes off and threw them aside, laid down on her stomach and “put a part of his body inside mine. The lower part of his body […] he put his penis into the lower part of my body,” and that she “did not have a choice; he did this to me by force.”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163. … She recalls that “one of them grabbed me by the throat and told me not to try to get away,” and then “the other one started having sex with me, raping me […] he put a part of his body, his penis inside my vagina […] then the second one raped me and the first one was helping his colleague and held my legs so I could not get up.”</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164. In light of the evidence discussed above, the Chamber is satisfied that there are substantial grounds to believe that the war crime of rape under article 8(2)(e)(vi) of the [1998 ICC] Statute was committed by the FDLR [Forces démocratiques de libération du Rwanda] troops in Busurungi and surrounding villages on or about 9–10 May 2009.</w:t>
      </w:r>
      <w:r>
        <w:rPr>
          <w:rFonts w:ascii="Times New Roman" w:eastAsia="Times New Roman" w:hAnsi="Times New Roman" w:cs="Times New Roman"/>
          <w:noProof/>
          <w:sz w:val="24"/>
          <w:szCs w:val="24"/>
        </w:rPr>
        <w:drawing>
          <wp:inline distT="0" distB="0" distL="0" distR="0">
            <wp:extent cx="151130" cy="142875"/>
            <wp:effectExtent l="19050" t="0" r="1270" b="0"/>
            <wp:docPr id="1584" name="Imagen 15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[footnotes in original omitted]</w:t>
      </w:r>
      <w:r w:rsidRPr="00C74F6F">
        <w:rPr>
          <w:rFonts w:ascii="Times New Roman" w:eastAsia="Times New Roman" w:hAnsi="Times New Roman" w:cs="Times New Roman"/>
          <w:sz w:val="24"/>
          <w:szCs w:val="24"/>
          <w:lang w:val="en-US"/>
        </w:rPr>
        <w:br/>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The charges against Mr Mbarushimana related to alleged war crimes and crimes against humanity. The Pre-Trial Chamber did not confirm the charges.</w:t>
      </w:r>
      <w:r>
        <w:rPr>
          <w:rFonts w:ascii="Times New Roman" w:eastAsia="Times New Roman" w:hAnsi="Times New Roman" w:cs="Times New Roman"/>
          <w:noProof/>
          <w:sz w:val="24"/>
          <w:szCs w:val="24"/>
        </w:rPr>
        <w:drawing>
          <wp:inline distT="0" distB="0" distL="0" distR="0">
            <wp:extent cx="151130" cy="142875"/>
            <wp:effectExtent l="19050" t="0" r="1270" b="0"/>
            <wp:docPr id="1585" name="Imagen 15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In its judgment of 30 May 2012, the ICC Appeals Chamber confirmed that decision and dismissed the appeal.</w:t>
      </w:r>
      <w:r>
        <w:rPr>
          <w:rFonts w:ascii="Times New Roman" w:eastAsia="Times New Roman" w:hAnsi="Times New Roman" w:cs="Times New Roman"/>
          <w:noProof/>
          <w:sz w:val="24"/>
          <w:szCs w:val="24"/>
        </w:rPr>
        <w:drawing>
          <wp:inline distT="0" distB="0" distL="0" distR="0">
            <wp:extent cx="151130" cy="142875"/>
            <wp:effectExtent l="19050" t="0" r="1270" b="0"/>
            <wp:docPr id="1586" name="Imagen 15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International Criminal Tribunal for Rwanda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xml:space="preserve"> before the ICTR in 1997, the accused was charged with crimes against humanity (rape) and violations of common Article 3 of the 1949 Geneva Conventions and Article 4(2)(e) of the 1977 Additional Protocol II (outrages upon personal dignity, in particular rape, degrading and humiliating treatment and indecent assault). It provided: “In this indictment, acts of sexual violence include forcible sexual penetration of the vagina, anus or oral cavity by a penis and/or of the vagina or anus by some other object, and sexual abuse, such as forced nudity.”</w:t>
      </w:r>
      <w:r>
        <w:rPr>
          <w:rFonts w:ascii="Times New Roman" w:eastAsia="Times New Roman" w:hAnsi="Times New Roman" w:cs="Times New Roman"/>
          <w:noProof/>
          <w:sz w:val="24"/>
          <w:szCs w:val="24"/>
        </w:rPr>
        <w:drawing>
          <wp:inline distT="0" distB="0" distL="0" distR="0">
            <wp:extent cx="151130" cy="142875"/>
            <wp:effectExtent l="19050" t="0" r="1270" b="0"/>
            <wp:docPr id="1587" name="Imagen 15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xml:space="preserve"> in 1998, the ICTR Trial Chamber recognized for the first time that acts of sexual violence can be prosecuted as constituent elements of a genocidal campaign. Jean-Paul Akayesu, then mayor of Taba commune, was charged with genocide, crimes against humanity and war crimes and with having known that acts of sexual violence were being committed and having facilitated the commission of such acts by permitting them to be carried out on communal premises.</w:t>
      </w:r>
      <w:r>
        <w:rPr>
          <w:rFonts w:ascii="Times New Roman" w:eastAsia="Times New Roman" w:hAnsi="Times New Roman" w:cs="Times New Roman"/>
          <w:noProof/>
          <w:sz w:val="24"/>
          <w:szCs w:val="24"/>
        </w:rPr>
        <w:drawing>
          <wp:inline distT="0" distB="0" distL="0" distR="0">
            <wp:extent cx="151130" cy="142875"/>
            <wp:effectExtent l="19050" t="0" r="1270" b="0"/>
            <wp:docPr id="1588" name="Imagen 15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597. The Trial Chamber considers that rape is a form of aggression and that the central elements of the crime of rape cannot be captured in a mechanical description of objects and body parts … Like torture, rape is used for such purposes as intimidation, degradation, humiliation, discrimination, punishment, control or destruction of a person. Like torture, rape is a violation of personal dignity, and rape in fact constitutes torture when inflicted by or at the instigation of or with the consent or acquiescence of a public official or other person acting in an official capacity.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598. The Chamber defines rape as a physical invasion of a sexual nature, committed on a person under circumstances which are coercive. Sexual violence, which includes rape, is considered to be any act of a sexual nature which is committed on a person under circumstances which are coercive.</w:t>
      </w:r>
      <w:r>
        <w:rPr>
          <w:rFonts w:ascii="Times New Roman" w:eastAsia="Times New Roman" w:hAnsi="Times New Roman" w:cs="Times New Roman"/>
          <w:noProof/>
          <w:sz w:val="24"/>
          <w:szCs w:val="24"/>
        </w:rPr>
        <w:drawing>
          <wp:inline distT="0" distB="0" distL="0" distR="0">
            <wp:extent cx="151130" cy="142875"/>
            <wp:effectExtent l="19050" t="0" r="1270" b="0"/>
            <wp:docPr id="1589" name="Imagen 15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Rape and sexual violence … constitute genocide in the same way as any other act as long as they are committed with the specific intent to destroy, in whole or in part, a particular group, targeted as such … Sexual violence was an integral part of the process of destruction, specifically targeting Tutsi women and specifically contributing to their destruction and to the destruction of the Tutsi group as a whole.</w:t>
      </w:r>
      <w:r>
        <w:rPr>
          <w:rFonts w:ascii="Times New Roman" w:eastAsia="Times New Roman" w:hAnsi="Times New Roman" w:cs="Times New Roman"/>
          <w:noProof/>
          <w:sz w:val="24"/>
          <w:szCs w:val="24"/>
        </w:rPr>
        <w:drawing>
          <wp:inline distT="0" distB="0" distL="0" distR="0">
            <wp:extent cx="151130" cy="142875"/>
            <wp:effectExtent l="19050" t="0" r="1270" b="0"/>
            <wp:docPr id="1590" name="Imagen 15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lastRenderedPageBreak/>
        <w:t xml:space="preserve">In the </w:t>
      </w:r>
      <w:r w:rsidRPr="00FB00FF">
        <w:rPr>
          <w:rFonts w:ascii="Times New Roman" w:eastAsia="Times New Roman" w:hAnsi="Times New Roman" w:cs="Times New Roman"/>
          <w:i/>
          <w:iCs/>
          <w:sz w:val="24"/>
          <w:szCs w:val="24"/>
          <w:lang w:val="en-US"/>
        </w:rPr>
        <w:t>Musema case</w:t>
      </w:r>
      <w:r w:rsidRPr="00FB00FF">
        <w:rPr>
          <w:rFonts w:ascii="Times New Roman" w:eastAsia="Times New Roman" w:hAnsi="Times New Roman" w:cs="Times New Roman"/>
          <w:sz w:val="24"/>
          <w:szCs w:val="24"/>
          <w:lang w:val="en-US"/>
        </w:rPr>
        <w:t xml:space="preserve"> before the ICTR in 1996, the accused was charged with “the rape of Tutsi civilians, as part of a widespread and systematic attack against a civilian population on political, ethnic or racial grounds” and stated that the accused had “thereby committed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1591" name="Imagen 15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Musema case</w:t>
      </w:r>
      <w:r w:rsidRPr="00FB00FF">
        <w:rPr>
          <w:rFonts w:ascii="Times New Roman" w:eastAsia="Times New Roman" w:hAnsi="Times New Roman" w:cs="Times New Roman"/>
          <w:sz w:val="24"/>
          <w:szCs w:val="24"/>
          <w:lang w:val="en-US"/>
        </w:rPr>
        <w:t xml:space="preserve"> in 2000, the ICTR Trial Chamber found that the evidence presented – considering both the murders as well as acts of serious bodily and mental harm, including rape and other forms of sexual violence – amounted to genocide. The Trial Chamber stated: “Acts of rape and sexual violence were an integral part of the plan conceived to destroy the Tutsi group. Such acts targeted Tutsi women, in particular, and specifically contributed to their destruction and therefore that of the Tutsi group as such.” The Trial Chamber found: “The Accused had knowledge of a widespread or systematic attack on the civilian population. The Chamber finds that the rape of Nyiramusugi by the Accused was consistent with the pattern of this attack and formed a part of this attack.” The Trial Chamber found Musema guilty of crimes against humanity (rape).</w:t>
      </w:r>
      <w:r>
        <w:rPr>
          <w:rFonts w:ascii="Times New Roman" w:eastAsia="Times New Roman" w:hAnsi="Times New Roman" w:cs="Times New Roman"/>
          <w:noProof/>
          <w:sz w:val="24"/>
          <w:szCs w:val="24"/>
        </w:rPr>
        <w:drawing>
          <wp:inline distT="0" distB="0" distL="0" distR="0">
            <wp:extent cx="151130" cy="142875"/>
            <wp:effectExtent l="19050" t="0" r="1270" b="0"/>
            <wp:docPr id="1592" name="Imagen 15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Bizimungu case</w:t>
      </w:r>
      <w:r w:rsidRPr="00FB00FF">
        <w:rPr>
          <w:rFonts w:ascii="Times New Roman" w:eastAsia="Times New Roman" w:hAnsi="Times New Roman" w:cs="Times New Roman"/>
          <w:sz w:val="24"/>
          <w:szCs w:val="24"/>
          <w:lang w:val="en-US"/>
        </w:rPr>
        <w:t xml:space="preserve"> before the ICTR in 1999, the accused were four members of the Rwandan interim government created on 9 April 1994, led by Jean Kambanda: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outrages upon personal dignity, in particular humiliating and degrading treatment, rape and indecent assault, as part of an armed internal conflict, [thereby committing] </w:t>
      </w:r>
      <w:r w:rsidRPr="00FB00FF">
        <w:rPr>
          <w:rFonts w:ascii="Times New Roman" w:eastAsia="Times New Roman" w:hAnsi="Times New Roman" w:cs="Times New Roman"/>
          <w:b/>
          <w:bCs/>
          <w:sz w:val="24"/>
          <w:szCs w:val="24"/>
          <w:lang w:val="en-US"/>
        </w:rPr>
        <w:t>SERIOUS VIOLATIONS OF ARTICLE 3 COMMON TO THE GENEVA CONVENTIONS AND ADDITIONAL PROTOCOL II</w:t>
      </w:r>
      <w:r w:rsidRPr="00FB00FF">
        <w:rPr>
          <w:rFonts w:ascii="Times New Roman" w:eastAsia="Times New Roman" w:hAnsi="Times New Roman" w:cs="Times New Roman"/>
          <w:sz w:val="24"/>
          <w:szCs w:val="24"/>
          <w:lang w:val="en-US"/>
        </w:rPr>
        <w:t>, a crime stipulated in Article 4(e)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593" name="Imagen 15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The indictments in the </w:t>
      </w:r>
      <w:r w:rsidRPr="00FB00FF">
        <w:rPr>
          <w:rFonts w:ascii="Times New Roman" w:eastAsia="Times New Roman" w:hAnsi="Times New Roman" w:cs="Times New Roman"/>
          <w:i/>
          <w:iCs/>
          <w:sz w:val="24"/>
          <w:szCs w:val="24"/>
          <w:lang w:val="en-US"/>
        </w:rPr>
        <w:t>Nyiramasuhuko case</w:t>
      </w:r>
      <w:r w:rsidRPr="00FB00FF">
        <w:rPr>
          <w:rFonts w:ascii="Times New Roman" w:eastAsia="Times New Roman" w:hAnsi="Times New Roman" w:cs="Times New Roman"/>
          <w:sz w:val="24"/>
          <w:szCs w:val="24"/>
          <w:lang w:val="en-US"/>
        </w:rPr>
        <w:t xml:space="preserve"> before the ICTR in 1999 were based on charges of involvement in massacres committed mainly against the Tutsi population in the Butare prefecture from April 1994 onwards. The accused Pauline Nyiramasuhuko, member of the Mouvement républicain national pour le développement et la démocratie (MRND) and minister of family and women’s development in the interim government led by Kambanda,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rape as a crime against humanity, punishable under Article 3(g) of the 1994 ICTR Statute, and with</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in particular humiliating and degrading treatment, rape and indecent assault, as part of an armed internal conflict, … thereby committ[ing] </w:t>
      </w:r>
      <w:r w:rsidRPr="00FB00FF">
        <w:rPr>
          <w:rFonts w:ascii="Times New Roman" w:eastAsia="Times New Roman" w:hAnsi="Times New Roman" w:cs="Times New Roman"/>
          <w:b/>
          <w:bCs/>
          <w:sz w:val="24"/>
          <w:szCs w:val="24"/>
          <w:lang w:val="en-US"/>
        </w:rPr>
        <w:t>SERIOUS VIOLATIONS OF ARTICLE 3 COMMON TO THE GENEVA CONVENTIONS AND OF ADDITIONAL PROTOCOL II</w:t>
      </w:r>
      <w:r w:rsidRPr="00FB00FF">
        <w:rPr>
          <w:rFonts w:ascii="Times New Roman" w:eastAsia="Times New Roman" w:hAnsi="Times New Roman" w:cs="Times New Roman"/>
          <w:sz w:val="24"/>
          <w:szCs w:val="24"/>
          <w:lang w:val="en-US"/>
        </w:rPr>
        <w:t>, a crime stipulated in Article 4(e)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594" name="Imagen 15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The indictments in the </w:t>
      </w:r>
      <w:r w:rsidRPr="00FB00FF">
        <w:rPr>
          <w:rFonts w:ascii="Times New Roman" w:eastAsia="Times New Roman" w:hAnsi="Times New Roman" w:cs="Times New Roman"/>
          <w:i/>
          <w:iCs/>
          <w:sz w:val="24"/>
          <w:szCs w:val="24"/>
          <w:lang w:val="en-US"/>
        </w:rPr>
        <w:t>Bagosora case</w:t>
      </w:r>
      <w:r w:rsidRPr="00FB00FF">
        <w:rPr>
          <w:rFonts w:ascii="Times New Roman" w:eastAsia="Times New Roman" w:hAnsi="Times New Roman" w:cs="Times New Roman"/>
          <w:sz w:val="24"/>
          <w:szCs w:val="24"/>
          <w:lang w:val="en-US"/>
        </w:rPr>
        <w:t xml:space="preserve"> before the ICTR in 1999 were based on charges of involvement in various massacres committed mainly against the Tutsi population in Rwanda between April and July 1994, including specified massacres that took place in Kigali, Butare, Gisenyi and Gitarama. The principal accused, Théoneste Bagosora, Colonel (Rtd), who was </w:t>
      </w:r>
      <w:r w:rsidRPr="00FB00FF">
        <w:rPr>
          <w:rFonts w:ascii="Times New Roman" w:eastAsia="Times New Roman" w:hAnsi="Times New Roman" w:cs="Times New Roman"/>
          <w:i/>
          <w:iCs/>
          <w:sz w:val="24"/>
          <w:szCs w:val="24"/>
          <w:lang w:val="en-US"/>
        </w:rPr>
        <w:t>directeur de cabinet</w:t>
      </w:r>
      <w:r w:rsidRPr="00FB00FF">
        <w:rPr>
          <w:rFonts w:ascii="Times New Roman" w:eastAsia="Times New Roman" w:hAnsi="Times New Roman" w:cs="Times New Roman"/>
          <w:sz w:val="24"/>
          <w:szCs w:val="24"/>
          <w:lang w:val="en-US"/>
        </w:rPr>
        <w:t xml:space="preserve">, Rwandan Ministry of Defence, during the period specified,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with: conspiracy to commit genocide, punishable under Article 2(3)(b) of the 1994 ICTR Statute; genocide, punishable under Article 2(3)(a) of the 1994 ICTR Statute,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for “causing serious bodily or mental harm to members of the Tutsi population”; complicity in genocide, punishable under Article 2(3)(e) of the 1994 ICTR Statute; rape as a crime against humanity, punishable under Article 3(g) of the 1994 ICTR Statute; and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in particular humiliating and degrading treatment, rape and indecent assault, as part of an armed internal conflict, … thereby committ[ing] </w:t>
      </w:r>
      <w:r w:rsidRPr="00FB00FF">
        <w:rPr>
          <w:rFonts w:ascii="Times New Roman" w:eastAsia="Times New Roman" w:hAnsi="Times New Roman" w:cs="Times New Roman"/>
          <w:b/>
          <w:bCs/>
          <w:sz w:val="24"/>
          <w:szCs w:val="24"/>
          <w:lang w:val="en-US"/>
        </w:rPr>
        <w:t>SERIOUS VIOLATIONS OF ARTICLE 3 COMMON TO THE GENEVA CONVENTIONS AND OF ADDITIONAL PROTOCOL II</w:t>
      </w:r>
      <w:r w:rsidRPr="00FB00FF">
        <w:rPr>
          <w:rFonts w:ascii="Times New Roman" w:eastAsia="Times New Roman" w:hAnsi="Times New Roman" w:cs="Times New Roman"/>
          <w:sz w:val="24"/>
          <w:szCs w:val="24"/>
          <w:lang w:val="en-US"/>
        </w:rPr>
        <w:t>, a crime stipulated in Article 4(e)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595" name="Imagen 15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[emphasis in original]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lastRenderedPageBreak/>
        <w:t xml:space="preserve">In the </w:t>
      </w:r>
      <w:r w:rsidRPr="00FB00FF">
        <w:rPr>
          <w:rFonts w:ascii="Times New Roman" w:eastAsia="Times New Roman" w:hAnsi="Times New Roman" w:cs="Times New Roman"/>
          <w:i/>
          <w:iCs/>
          <w:sz w:val="24"/>
          <w:szCs w:val="24"/>
          <w:lang w:val="en-US"/>
        </w:rPr>
        <w:t>Bagilishema case</w:t>
      </w:r>
      <w:r w:rsidRPr="00FB00FF">
        <w:rPr>
          <w:rFonts w:ascii="Times New Roman" w:eastAsia="Times New Roman" w:hAnsi="Times New Roman" w:cs="Times New Roman"/>
          <w:sz w:val="24"/>
          <w:szCs w:val="24"/>
          <w:lang w:val="en-US"/>
        </w:rPr>
        <w:t xml:space="preserve"> before the ICTR in 1999, the accused, </w:t>
      </w:r>
      <w:r w:rsidRPr="00FB00FF">
        <w:rPr>
          <w:rFonts w:ascii="Times New Roman" w:eastAsia="Times New Roman" w:hAnsi="Times New Roman" w:cs="Times New Roman"/>
          <w:i/>
          <w:iCs/>
          <w:sz w:val="24"/>
          <w:szCs w:val="24"/>
          <w:lang w:val="en-US"/>
        </w:rPr>
        <w:t>bourgmestre</w:t>
      </w:r>
      <w:r w:rsidRPr="00FB00FF">
        <w:rPr>
          <w:rFonts w:ascii="Times New Roman" w:eastAsia="Times New Roman" w:hAnsi="Times New Roman" w:cs="Times New Roman"/>
          <w:sz w:val="24"/>
          <w:szCs w:val="24"/>
          <w:lang w:val="en-US"/>
        </w:rPr>
        <w:t xml:space="preserve"> (mayor) of Mabanza commune, Kibuye prefecture, from 1980 until July 1994,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with genocide, punishable under Article 2(3)(a) of the 1994 ICTR Statute,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by “causing of serious bodily or mental harm to members of the Tutsi population”, and with</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causing outrages upon personal dignity of women, including humiliating and degrading treatment, in the course of a non-international armed conflict, and has thereby committed SERIOUS VIOLATIONS OF ARTICLES 3 COMMON TO THE GENEVA CONVENTIONS AND OF ADDITIONAL PROTOCOL II thereof, in violation of Article 4(e)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596" name="Imagen 15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53. The definition of genocide, as provided in Article 2 of the [1994 ICTR Statute], cites, </w:t>
      </w:r>
      <w:r w:rsidRPr="00FB00FF">
        <w:rPr>
          <w:rFonts w:ascii="Times New Roman" w:eastAsia="Times New Roman" w:hAnsi="Times New Roman" w:cs="Times New Roman"/>
          <w:i/>
          <w:iCs/>
          <w:sz w:val="24"/>
          <w:szCs w:val="24"/>
          <w:lang w:val="en-US"/>
        </w:rPr>
        <w:t>verbatim</w:t>
      </w:r>
      <w:r w:rsidRPr="00FB00FF">
        <w:rPr>
          <w:rFonts w:ascii="Times New Roman" w:eastAsia="Times New Roman" w:hAnsi="Times New Roman" w:cs="Times New Roman"/>
          <w:sz w:val="24"/>
          <w:szCs w:val="24"/>
          <w:lang w:val="en-US"/>
        </w:rPr>
        <w:t>, Articles 2 and 3 of the Convention on the Prevention and Punishment of the Crime of Genocide (the “Genocide Convention”).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54. The Genocide Convention is undeniably considered part of customary international law, as reflected in the advisory opinion of the International Court of Justice (1951) on reservations to the Convention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55. The definition of the crime of genocide has been interpreted in the jurisprudence of this Tribunal, namely in the </w:t>
      </w:r>
      <w:r w:rsidRPr="00FB00FF">
        <w:rPr>
          <w:rFonts w:ascii="Times New Roman" w:eastAsia="Times New Roman" w:hAnsi="Times New Roman" w:cs="Times New Roman"/>
          <w:i/>
          <w:iCs/>
          <w:sz w:val="24"/>
          <w:szCs w:val="24"/>
          <w:lang w:val="en-US"/>
        </w:rPr>
        <w:t xml:space="preserve">Akayesu, Kayishema and Ruzindana, Rutaganda </w:t>
      </w:r>
      <w:r w:rsidRPr="00FB00FF">
        <w:rPr>
          <w:rFonts w:ascii="Times New Roman" w:eastAsia="Times New Roman" w:hAnsi="Times New Roman" w:cs="Times New Roman"/>
          <w:sz w:val="24"/>
          <w:szCs w:val="24"/>
          <w:lang w:val="en-US"/>
        </w:rPr>
        <w:t xml:space="preserve">and </w:t>
      </w:r>
      <w:r w:rsidRPr="00FB00FF">
        <w:rPr>
          <w:rFonts w:ascii="Times New Roman" w:eastAsia="Times New Roman" w:hAnsi="Times New Roman" w:cs="Times New Roman"/>
          <w:i/>
          <w:iCs/>
          <w:sz w:val="24"/>
          <w:szCs w:val="24"/>
          <w:lang w:val="en-US"/>
        </w:rPr>
        <w:t xml:space="preserve">Musema </w:t>
      </w:r>
      <w:r w:rsidRPr="00FB00FF">
        <w:rPr>
          <w:rFonts w:ascii="Times New Roman" w:eastAsia="Times New Roman" w:hAnsi="Times New Roman" w:cs="Times New Roman"/>
          <w:sz w:val="24"/>
          <w:szCs w:val="24"/>
          <w:lang w:val="en-US"/>
        </w:rPr>
        <w:t xml:space="preserve">Judgements. The Chamber adheres to the definitions of genocide as elaborated in these judgements. It therefore considers that a crime of genocide is proven if it is established beyond reasonable doubt, firstly, that one of the acts listed under Article 2(2) of the Statute was committed and, secondly, that this act was committed against a specifically targeted national, ethnical, racial or religious group, with the specific intent to destroy, in whole or in part, that group. Genocide therefore invites analysis under two headings: the prohibited underlying acts and the specific genocidal intent or </w:t>
      </w:r>
      <w:r w:rsidRPr="00FB00FF">
        <w:rPr>
          <w:rFonts w:ascii="Times New Roman" w:eastAsia="Times New Roman" w:hAnsi="Times New Roman" w:cs="Times New Roman"/>
          <w:i/>
          <w:iCs/>
          <w:sz w:val="24"/>
          <w:szCs w:val="24"/>
          <w:lang w:val="en-US"/>
        </w:rPr>
        <w:t>dolus specialis</w:t>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2.1.1 Underlying Acts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56. The acts underlying the crime of genocide may in each case be analysed into physical and mental elements. The offences relevant to the present case are considered below.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(ii) Causing Serious Bodily or Mental Harm – Article 2(2)(b) of the Statute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59. For the purposes of interpreting Article 2(2)(b) of the Statute, the Chamber construes “serious bodily or mental harm” to include acts of bodily or mental torture, inhumane or degrading treatment, rape, sexual violence, and persecution. In the Chamber’s view, “serious harm” entails more than minor impairment on mental or physical faculties, but it need not amount to permanent or irremediable harm.</w:t>
      </w:r>
      <w:r>
        <w:rPr>
          <w:rFonts w:ascii="Times New Roman" w:eastAsia="Times New Roman" w:hAnsi="Times New Roman" w:cs="Times New Roman"/>
          <w:noProof/>
          <w:sz w:val="24"/>
          <w:szCs w:val="24"/>
        </w:rPr>
        <w:drawing>
          <wp:inline distT="0" distB="0" distL="0" distR="0">
            <wp:extent cx="151130" cy="142875"/>
            <wp:effectExtent l="19050" t="0" r="1270" b="0"/>
            <wp:docPr id="1597" name="Imagen 15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Ngirabatware case</w:t>
      </w:r>
      <w:r w:rsidRPr="00FB00FF">
        <w:rPr>
          <w:rFonts w:ascii="Times New Roman" w:eastAsia="Times New Roman" w:hAnsi="Times New Roman" w:cs="Times New Roman"/>
          <w:sz w:val="24"/>
          <w:szCs w:val="24"/>
          <w:lang w:val="en-US"/>
        </w:rPr>
        <w:t xml:space="preserve"> before the ICTR in 1999, the accused, Augustin Ngirabatware, minister of planning in the interim government of Rwanda,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serious violations of common Article 3 of the 1949 Geneva Conventions and of the 1977 Additional Protocol II, punishable under Article 4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598" name="Imagen 15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Bisengimana case</w:t>
      </w:r>
      <w:r w:rsidRPr="00FB00FF">
        <w:rPr>
          <w:rFonts w:ascii="Times New Roman" w:eastAsia="Times New Roman" w:hAnsi="Times New Roman" w:cs="Times New Roman"/>
          <w:sz w:val="24"/>
          <w:szCs w:val="24"/>
          <w:lang w:val="en-US"/>
        </w:rPr>
        <w:t xml:space="preserve"> before the ICTR in 2000, the accused, a former mayor of the Gikoro commune, was initially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rape as a crime against humanity, punishable under Article 3(g) of the 1994 ICTR Statute; other inhumane acts as crimes against humanity, “violent rape to deliberately cause a fetus to abort, beating and sexual abuse”, punishable under Article 3(i) of the 1994 ICTR Statute; and, pursuant to Article 4(e) of the 1994 ICTR Statute, with</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causing violence to life, health and physical or mental wellbeing of persons, in </w:t>
      </w:r>
      <w:r w:rsidRPr="00FB00FF">
        <w:rPr>
          <w:rFonts w:ascii="Times New Roman" w:eastAsia="Times New Roman" w:hAnsi="Times New Roman" w:cs="Times New Roman"/>
          <w:sz w:val="24"/>
          <w:szCs w:val="24"/>
          <w:lang w:val="en-US"/>
        </w:rPr>
        <w:lastRenderedPageBreak/>
        <w:t xml:space="preserve">particular, outrages upon personal dignity, in particular humiliating and degrading treatment, rape, enforced prostitution and any form of indecent assault and thereby committ[ing] serious violations of Article 3 common to the </w:t>
      </w:r>
      <w:r w:rsidRPr="00FB00FF">
        <w:rPr>
          <w:rFonts w:ascii="Times New Roman" w:eastAsia="Times New Roman" w:hAnsi="Times New Roman" w:cs="Times New Roman"/>
          <w:b/>
          <w:bCs/>
          <w:sz w:val="24"/>
          <w:szCs w:val="24"/>
          <w:lang w:val="en-US"/>
        </w:rPr>
        <w:t>GENEVA CONVENTIONS</w:t>
      </w:r>
      <w:r w:rsidRPr="00FB00FF">
        <w:rPr>
          <w:rFonts w:ascii="Times New Roman" w:eastAsia="Times New Roman" w:hAnsi="Times New Roman" w:cs="Times New Roman"/>
          <w:sz w:val="24"/>
          <w:szCs w:val="24"/>
          <w:lang w:val="en-US"/>
        </w:rPr>
        <w:t xml:space="preserve"> of 12 August 1949 for the protection of victims in times of war, and Additional Protocol II thereto.</w:t>
      </w:r>
      <w:r>
        <w:rPr>
          <w:rFonts w:ascii="Times New Roman" w:eastAsia="Times New Roman" w:hAnsi="Times New Roman" w:cs="Times New Roman"/>
          <w:noProof/>
          <w:sz w:val="24"/>
          <w:szCs w:val="24"/>
        </w:rPr>
        <w:drawing>
          <wp:inline distT="0" distB="0" distL="0" distR="0">
            <wp:extent cx="151130" cy="142875"/>
            <wp:effectExtent l="19050" t="0" r="1270" b="0"/>
            <wp:docPr id="1599" name="Imagen 15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Semanza case</w:t>
      </w:r>
      <w:r w:rsidRPr="00FB00FF">
        <w:rPr>
          <w:rFonts w:ascii="Times New Roman" w:eastAsia="Times New Roman" w:hAnsi="Times New Roman" w:cs="Times New Roman"/>
          <w:sz w:val="24"/>
          <w:szCs w:val="24"/>
          <w:lang w:val="en-US"/>
        </w:rPr>
        <w:t xml:space="preserve"> before the ICTR in 1999, the accused, Laurent Semanza, who was a member of the Central Committee of the Mouvement républicain national pour le développement et la démocratie (MRND), a Rwandan political party,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committing the following crimes against Tutsi civilians in the Bicumbi and Gikoro communes, Rwanda, during the period 1 April and 31 July 1994:</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rape (two counts), a crime against humanity (ICTR Statute, Article 3(g)), and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b. violence to life, health and physical or mental well-being – including torture (two counts) – as a serious violation of Article 3 common to the Geneva Conventions and Additional Protocol II (ICTR Statute, Article 4(a)), and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c. outrages upon the personal dignity of women, including humiliating and degrading treatment, rape, sexual abuse and other forms of indecent assault – as a serious violation of Article 3 common to the Geneva Conventions and Additional Protocol II (ICTR Statute, Article 4(e)).</w:t>
      </w:r>
      <w:r>
        <w:rPr>
          <w:rFonts w:ascii="Times New Roman" w:eastAsia="Times New Roman" w:hAnsi="Times New Roman" w:cs="Times New Roman"/>
          <w:noProof/>
          <w:sz w:val="24"/>
          <w:szCs w:val="24"/>
        </w:rPr>
        <w:drawing>
          <wp:inline distT="0" distB="0" distL="0" distR="0">
            <wp:extent cx="151130" cy="142875"/>
            <wp:effectExtent l="19050" t="0" r="1270" b="0"/>
            <wp:docPr id="1600" name="Imagen 16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344. The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Judgement enunciated a broad definition of rape which included any physical invasion of a sexual nature in coercive circumstance and which was not limited to forcible sexual intercourse. The Appeals Chamber of the ICTY, in contrast, affirmed a narrower interpretation defining the material element of rape as a crime against humanity as the non-consensual penetration, however slight, of the vagina or anus of the victim by the penis of the perpetrator or by any other object used by the perpetrator, or of the mouth of the victim by the penis of the perpetrator. Consent for this purpose must be given voluntarily and freely and is assessed within the context of the surrounding circumstances.</w:t>
      </w:r>
      <w:r w:rsidRPr="00FB00FF">
        <w:rPr>
          <w:rFonts w:ascii="Times New Roman" w:eastAsia="Times New Roman" w:hAnsi="Times New Roman" w:cs="Times New Roman"/>
          <w:sz w:val="24"/>
          <w:szCs w:val="24"/>
          <w:u w:val="single"/>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345. While this mechanical style of defining rape was originally rejected by this Tribunal, the Chamber finds the comparative analysis in </w:t>
      </w:r>
      <w:r w:rsidRPr="00FB00FF">
        <w:rPr>
          <w:rFonts w:ascii="Times New Roman" w:eastAsia="Times New Roman" w:hAnsi="Times New Roman" w:cs="Times New Roman"/>
          <w:i/>
          <w:iCs/>
          <w:sz w:val="24"/>
          <w:szCs w:val="24"/>
          <w:lang w:val="en-US"/>
        </w:rPr>
        <w:t>Kunarac</w:t>
      </w:r>
      <w:r w:rsidRPr="00FB00FF">
        <w:rPr>
          <w:rFonts w:ascii="Times New Roman" w:eastAsia="Times New Roman" w:hAnsi="Times New Roman" w:cs="Times New Roman"/>
          <w:sz w:val="24"/>
          <w:szCs w:val="24"/>
          <w:lang w:val="en-US"/>
        </w:rPr>
        <w:t xml:space="preserve"> to be persuasive and thus will adopt the definition of rape approved by the ICTY Appeals Chamber. In doing so, the Chamber recognises that other acts of sexual violence that do not satisfy this narrow definition may be prosecuted as other crimes against humanity within the jurisdiction of this Tribunal such as torture, persecution, enslavement, or other inhumane acts.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346. The mental element for rape as a crime against humanity is the intention to effect the prohibited sexual penetration with the knowledge that it occurs without the consent of the victim.</w:t>
      </w:r>
      <w:r>
        <w:rPr>
          <w:rFonts w:ascii="Times New Roman" w:eastAsia="Times New Roman" w:hAnsi="Times New Roman" w:cs="Times New Roman"/>
          <w:noProof/>
          <w:sz w:val="24"/>
          <w:szCs w:val="24"/>
        </w:rPr>
        <w:drawing>
          <wp:inline distT="0" distB="0" distL="0" distR="0">
            <wp:extent cx="151130" cy="142875"/>
            <wp:effectExtent l="19050" t="0" r="1270" b="0"/>
            <wp:docPr id="1601" name="Imagen 16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FB00FF">
        <w:rPr>
          <w:rFonts w:ascii="Times New Roman" w:eastAsia="Times New Roman" w:hAnsi="Times New Roman" w:cs="Times New Roman"/>
          <w:sz w:val="24"/>
          <w:szCs w:val="24"/>
          <w:u w:val="single"/>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Kamuhanda case</w:t>
      </w:r>
      <w:r w:rsidRPr="00FB00FF">
        <w:rPr>
          <w:rFonts w:ascii="Times New Roman" w:eastAsia="Times New Roman" w:hAnsi="Times New Roman" w:cs="Times New Roman"/>
          <w:sz w:val="24"/>
          <w:szCs w:val="24"/>
          <w:lang w:val="en-US"/>
        </w:rPr>
        <w:t xml:space="preserve"> before the ICTR in 2000, the accused, minister of higher education and scientific research in the interim government of Rwanda from late May until mid-July 1994,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conspiracy to commit genocide, punishable under Article 2(3)(b) of the 1994 ICTR Statute,</w:t>
      </w:r>
      <w:r w:rsidRPr="00FB00FF">
        <w:rPr>
          <w:rFonts w:ascii="Times New Roman" w:eastAsia="Times New Roman" w:hAnsi="Times New Roman" w:cs="Times New Roman"/>
          <w:i/>
          <w:iCs/>
          <w:sz w:val="24"/>
          <w:szCs w:val="24"/>
          <w:lang w:val="en-US"/>
        </w:rPr>
        <w:t xml:space="preserve"> inter alia</w:t>
      </w:r>
      <w:r w:rsidRPr="00FB00FF">
        <w:rPr>
          <w:rFonts w:ascii="Times New Roman" w:eastAsia="Times New Roman" w:hAnsi="Times New Roman" w:cs="Times New Roman"/>
          <w:sz w:val="24"/>
          <w:szCs w:val="24"/>
          <w:lang w:val="en-US"/>
        </w:rPr>
        <w:t xml:space="preserve">, by “causing serious bodily or mental harm to members of the group”; genocide, punishable under Article 2(3)(a) of the 1994 ICTR Statute, or, alternatively, complicity in genocide, punishable under Article 2(3)(e) of the 1994 ICTR Statute; rape and inhumane acts as crimes against humanity, punishable under Article 3(g) and (i) of the 1994 ICTR Statute; and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in particular humiliating and degrading treatment, rape and indecent assault, as part of an internal armed conflict, and thereby committ[ing] </w:t>
      </w:r>
      <w:r w:rsidRPr="00FB00FF">
        <w:rPr>
          <w:rFonts w:ascii="Times New Roman" w:eastAsia="Times New Roman" w:hAnsi="Times New Roman" w:cs="Times New Roman"/>
          <w:b/>
          <w:bCs/>
          <w:sz w:val="24"/>
          <w:szCs w:val="24"/>
          <w:lang w:val="en-US"/>
        </w:rPr>
        <w:t xml:space="preserve">SERIOUS VIOLATIONS OF ARTICLE 3 COMMON TO THE GENEVA </w:t>
      </w:r>
      <w:r w:rsidRPr="00FB00FF">
        <w:rPr>
          <w:rFonts w:ascii="Times New Roman" w:eastAsia="Times New Roman" w:hAnsi="Times New Roman" w:cs="Times New Roman"/>
          <w:b/>
          <w:bCs/>
          <w:sz w:val="24"/>
          <w:szCs w:val="24"/>
          <w:lang w:val="en-US"/>
        </w:rPr>
        <w:lastRenderedPageBreak/>
        <w:t>CONVENTIONS AND OF ADDITIONAL PROTOCOL II</w:t>
      </w:r>
      <w:r w:rsidRPr="00FB00FF">
        <w:rPr>
          <w:rFonts w:ascii="Times New Roman" w:eastAsia="Times New Roman" w:hAnsi="Times New Roman" w:cs="Times New Roman"/>
          <w:sz w:val="24"/>
          <w:szCs w:val="24"/>
          <w:lang w:val="en-US"/>
        </w:rPr>
        <w:t>, a crime stipulated in Article 4(e)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602" name="Imagen 16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Trial Chambers of the Tribunal have held that what is “bodily” or “mental” harm should be determined on a case-by-case basis and have further held that “serious bodily harm” does not necessarily have to be permanent or irremediable, and that it includes non-mortal acts of sexual violence, rape, mutilations and interrogations combined with beatings and/or threats of death. The Trial Chamber in Kayishema and Ruzindana considered “serious mental harm” to include more than minor or temporary impairment of mental faculties such as the infliction of strong fear or terror, intimidation or threat. The state of the law in this regard is aptly captured in the conclusion drawn by the Semanza Trial Chamber: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The Chamber adopts the foregoing standards pronounced in Akayesu and Kayishema and Ruzindana as to the determination of serious bodily or mental harm. In addition, the Chamber finds that serious mental harm need not be permanent or irremediable.</w:t>
      </w:r>
      <w:r>
        <w:rPr>
          <w:rFonts w:ascii="Times New Roman" w:eastAsia="Times New Roman" w:hAnsi="Times New Roman" w:cs="Times New Roman"/>
          <w:noProof/>
          <w:sz w:val="24"/>
          <w:szCs w:val="24"/>
        </w:rPr>
        <w:drawing>
          <wp:inline distT="0" distB="0" distL="0" distR="0">
            <wp:extent cx="151130" cy="142875"/>
            <wp:effectExtent l="19050" t="0" r="1270" b="0"/>
            <wp:docPr id="1603" name="Imagen 16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705. In Akayesu the Trial Chamber considered that the traditional mechanical definition of rape did not adequately capture its true nature and instead offered a definition of rape as: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physical invasion of a sexual nature, committed on a person under circumstances which are coercive. Sexual violence which includes rape is considered to be any act of a sexual nature which is committed on a person under circumstances which are coercive.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706. This conceptual definition of rape was approved in Musema, where the Chamber highlighted the difference between “a physical invasion of a sexual nature”, and “any act of a sexual nature” as being the difference between rape and sexual assault. Meanwhile, a Trial Chamber of the ICTY handed down the Furundžija Judgment, in which that Chamber preferred the following more detailed definition related to objects and body parts: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Most legal systems in the common and civil law world consider rape to be the forcible sexual penetration of the human body by the penis or the forcible insertion of any other object into either the vagina or the anus”.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707. This definition substantially modified and completed by Trial Chamber II in the Kunarac Judgment has been endorsed by the Appeals Chamber. It reads as follow:</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The </w:t>
      </w:r>
      <w:r w:rsidRPr="00C74F6F">
        <w:rPr>
          <w:rFonts w:ascii="Times New Roman" w:eastAsia="Times New Roman" w:hAnsi="Times New Roman" w:cs="Times New Roman"/>
          <w:i/>
          <w:iCs/>
          <w:sz w:val="24"/>
          <w:szCs w:val="24"/>
          <w:lang w:val="en-US"/>
        </w:rPr>
        <w:t>actus reus</w:t>
      </w:r>
      <w:r w:rsidRPr="00C74F6F">
        <w:rPr>
          <w:rFonts w:ascii="Times New Roman" w:eastAsia="Times New Roman" w:hAnsi="Times New Roman" w:cs="Times New Roman"/>
          <w:sz w:val="24"/>
          <w:szCs w:val="24"/>
          <w:lang w:val="en-US"/>
        </w:rPr>
        <w:t xml:space="preserve"> of the crime of rape in international law is constituted by: the sexual penetration, however slight: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708. The </w:t>
      </w:r>
      <w:r w:rsidRPr="00FB00FF">
        <w:rPr>
          <w:rFonts w:ascii="Times New Roman" w:eastAsia="Times New Roman" w:hAnsi="Times New Roman" w:cs="Times New Roman"/>
          <w:i/>
          <w:iCs/>
          <w:sz w:val="24"/>
          <w:szCs w:val="24"/>
          <w:lang w:val="en-US"/>
        </w:rPr>
        <w:t>mens rea</w:t>
      </w:r>
      <w:r w:rsidRPr="00FB00FF">
        <w:rPr>
          <w:rFonts w:ascii="Times New Roman" w:eastAsia="Times New Roman" w:hAnsi="Times New Roman" w:cs="Times New Roman"/>
          <w:sz w:val="24"/>
          <w:szCs w:val="24"/>
          <w:lang w:val="en-US"/>
        </w:rPr>
        <w:t xml:space="preserve"> is the intention to effect this sexual penetration, and the knowledge that it occurs without the consent of the victim.</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709. Given the evolution of the law in this area, endorsed in the Furundžija/Kunarac approach by the ICTY Appeals Chamber, the Chamber finds the latter approach of persuasive authority and hereby adopts the definition as given in Kunarac and quoted above. The mental element of the offence of rape as a Crime against Humanity is the intention to effect the above-described sexual penetration, with the knowledge that the act was perpetrated without the consent of the victim.</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710. Other acts of sexual violence which may fall outside of this specific definition may of course be prosecuted, and would be considered by the Chamber under other categories of crimes for which the Tribunal has jurisdiction, such as other inhumane acts.</w:t>
      </w:r>
      <w:r>
        <w:rPr>
          <w:rFonts w:ascii="Times New Roman" w:eastAsia="Times New Roman" w:hAnsi="Times New Roman" w:cs="Times New Roman"/>
          <w:noProof/>
          <w:sz w:val="24"/>
          <w:szCs w:val="24"/>
        </w:rPr>
        <w:drawing>
          <wp:inline distT="0" distB="0" distL="0" distR="0">
            <wp:extent cx="151130" cy="142875"/>
            <wp:effectExtent l="19050" t="0" r="1270" b="0"/>
            <wp:docPr id="1604" name="Imagen 16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716. In Kayishema and Ruzindana the Trial Chamber noted that since the Nuremberg Charter, the category “other inhumane acts” has been maintained as a useful category for acts not specifically stated but which are of comparable gravity.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717. Crimes which may fall under this category would only be acts or omissions similar in gravity to the conducts enumerated in Article 3 of the [1994 ICTR] Statute, and </w:t>
      </w:r>
      <w:r w:rsidRPr="00FB00FF">
        <w:rPr>
          <w:rFonts w:ascii="Times New Roman" w:eastAsia="Times New Roman" w:hAnsi="Times New Roman" w:cs="Times New Roman"/>
          <w:sz w:val="24"/>
          <w:szCs w:val="24"/>
          <w:lang w:val="en-US"/>
        </w:rPr>
        <w:lastRenderedPageBreak/>
        <w:t>would be decided by the Tribunal on a case-by-case basis. In proving its case, the Prosecution must prove a nexus between the inhumane act and the great suffering or serious injury to the mental or physical health of the victim. Inhumane Acts are only those which deliberately cause suffering. Therefore, where third parties observe acts committed against others, in circumstances in which the Accused may not have had an intention to injure those third parties by their observation of these acts, the Accused may still be held accountable for their mental suffering.</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718. In Kayishema and Ruzindana the position was summarised that: […] for an accused to be has found guilty of Crimes against Humanity for other inhumane acts, he must commit an act of similar gravity and seriousness to the other enumerated crimes, with the intention to cause the other inhumane act, and with knowledge that the act is perpetrated within the overall context of the attack. In the Niyitegeka Judgment, Trial Chamber I has found that by perpetrating gross acts of sexual violence upon a dead woman’s body, the Accused caused mental suffering to civilians, his actions constituted a serious attack on the human dignity of the Tutsi community as a whole, and that these acts were part of a widespread and systematic attack against the civilian Tutsi population on ethnic grounds.</w:t>
      </w:r>
      <w:r>
        <w:rPr>
          <w:rFonts w:ascii="Times New Roman" w:eastAsia="Times New Roman" w:hAnsi="Times New Roman" w:cs="Times New Roman"/>
          <w:noProof/>
          <w:sz w:val="24"/>
          <w:szCs w:val="24"/>
        </w:rPr>
        <w:drawing>
          <wp:inline distT="0" distB="0" distL="0" distR="0">
            <wp:extent cx="151130" cy="142875"/>
            <wp:effectExtent l="19050" t="0" r="1270" b="0"/>
            <wp:docPr id="1605" name="Imagen 16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insufficient evidence has been established to enable a finding that there is a nexus between any crimes committed by the Accused and any conflict – either a conflict generally raging in Rwanda or one specifically affecting the material regions indicated in the Indictment.</w:t>
      </w:r>
      <w:r>
        <w:rPr>
          <w:rFonts w:ascii="Times New Roman" w:eastAsia="Times New Roman" w:hAnsi="Times New Roman" w:cs="Times New Roman"/>
          <w:noProof/>
          <w:sz w:val="24"/>
          <w:szCs w:val="24"/>
        </w:rPr>
        <w:drawing>
          <wp:inline distT="0" distB="0" distL="0" distR="0">
            <wp:extent cx="151130" cy="142875"/>
            <wp:effectExtent l="19050" t="0" r="1270" b="0"/>
            <wp:docPr id="1606" name="Imagen 16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Kajelijeli case</w:t>
      </w:r>
      <w:r w:rsidRPr="00FB00FF">
        <w:rPr>
          <w:rFonts w:ascii="Times New Roman" w:eastAsia="Times New Roman" w:hAnsi="Times New Roman" w:cs="Times New Roman"/>
          <w:sz w:val="24"/>
          <w:szCs w:val="24"/>
          <w:lang w:val="en-US"/>
        </w:rPr>
        <w:t xml:space="preserve"> before the ICTR in 2001, the accused, Juvénal Kajelijeli, who was </w:t>
      </w:r>
      <w:r w:rsidRPr="00FB00FF">
        <w:rPr>
          <w:rFonts w:ascii="Times New Roman" w:eastAsia="Times New Roman" w:hAnsi="Times New Roman" w:cs="Times New Roman"/>
          <w:i/>
          <w:iCs/>
          <w:sz w:val="24"/>
          <w:szCs w:val="24"/>
          <w:lang w:val="en-US"/>
        </w:rPr>
        <w:t xml:space="preserve">bourgmestre </w:t>
      </w:r>
      <w:r w:rsidRPr="00FB00FF">
        <w:rPr>
          <w:rFonts w:ascii="Times New Roman" w:eastAsia="Times New Roman" w:hAnsi="Times New Roman" w:cs="Times New Roman"/>
          <w:sz w:val="24"/>
          <w:szCs w:val="24"/>
          <w:lang w:val="en-US"/>
        </w:rPr>
        <w:t xml:space="preserve">(mayor) of the Mukingo </w:t>
      </w:r>
      <w:r w:rsidRPr="00FB00FF">
        <w:rPr>
          <w:rFonts w:ascii="Times New Roman" w:eastAsia="Times New Roman" w:hAnsi="Times New Roman" w:cs="Times New Roman"/>
          <w:i/>
          <w:iCs/>
          <w:sz w:val="24"/>
          <w:szCs w:val="24"/>
          <w:lang w:val="en-US"/>
        </w:rPr>
        <w:t>commune</w:t>
      </w:r>
      <w:r w:rsidRPr="00FB00FF">
        <w:rPr>
          <w:rFonts w:ascii="Times New Roman" w:eastAsia="Times New Roman" w:hAnsi="Times New Roman" w:cs="Times New Roman"/>
          <w:sz w:val="24"/>
          <w:szCs w:val="24"/>
          <w:lang w:val="en-US"/>
        </w:rPr>
        <w:t xml:space="preserve">, Rwanda, from 1988 to 1993 and was re-appointed </w:t>
      </w:r>
      <w:r w:rsidRPr="00FB00FF">
        <w:rPr>
          <w:rFonts w:ascii="Times New Roman" w:eastAsia="Times New Roman" w:hAnsi="Times New Roman" w:cs="Times New Roman"/>
          <w:i/>
          <w:iCs/>
          <w:sz w:val="24"/>
          <w:szCs w:val="24"/>
          <w:lang w:val="en-US"/>
        </w:rPr>
        <w:t xml:space="preserve">bourgmestre </w:t>
      </w:r>
      <w:r w:rsidRPr="00FB00FF">
        <w:rPr>
          <w:rFonts w:ascii="Times New Roman" w:eastAsia="Times New Roman" w:hAnsi="Times New Roman" w:cs="Times New Roman"/>
          <w:sz w:val="24"/>
          <w:szCs w:val="24"/>
          <w:lang w:val="en-US"/>
        </w:rPr>
        <w:t xml:space="preserve">in June 1994 until mid-July 1994,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rape as both a crime against humanity, punishable under Article 3(g) of the 1994 ICTR Statute, and as a serious violation of common Article 3 of the 1949 Geneva Conventions and of the 1977 Additional Protocol II, punishable under Article 4(e) of the 1994 ICTR Statute. Specifically, the accused was alleged to have been: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a. responsible for the rape of Tutsis as part of a widespread and systematic attack against a civilian population on political, ethnic or racial grounds, and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b. responsible for causing outrages upon personal dignity, in particular humiliating and degrading treatment, rape, enforced prostitution and any form of indecent assault against the Tutsis.</w:t>
      </w:r>
      <w:r>
        <w:rPr>
          <w:rFonts w:ascii="Times New Roman" w:eastAsia="Times New Roman" w:hAnsi="Times New Roman" w:cs="Times New Roman"/>
          <w:noProof/>
          <w:sz w:val="24"/>
          <w:szCs w:val="24"/>
        </w:rPr>
        <w:drawing>
          <wp:inline distT="0" distB="0" distL="0" distR="0">
            <wp:extent cx="151130" cy="142875"/>
            <wp:effectExtent l="19050" t="0" r="1270" b="0"/>
            <wp:docPr id="1607" name="Imagen 16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From April through July 1994, many Tutsi men, women and children were attacked, raped and massacred in their residences or at their places of shelter within the Mukingo </w:t>
      </w:r>
      <w:r w:rsidRPr="00FB00FF">
        <w:rPr>
          <w:rFonts w:ascii="Times New Roman" w:eastAsia="Times New Roman" w:hAnsi="Times New Roman" w:cs="Times New Roman"/>
          <w:i/>
          <w:iCs/>
          <w:sz w:val="24"/>
          <w:szCs w:val="24"/>
          <w:lang w:val="en-US"/>
        </w:rPr>
        <w:t>commune</w:t>
      </w:r>
      <w:r w:rsidRPr="00FB00FF">
        <w:rPr>
          <w:rFonts w:ascii="Times New Roman" w:eastAsia="Times New Roman" w:hAnsi="Times New Roman" w:cs="Times New Roman"/>
          <w:sz w:val="24"/>
          <w:szCs w:val="24"/>
          <w:lang w:val="en-US"/>
        </w:rPr>
        <w:t xml:space="preserve"> or arrested, detained and later murdered.</w:t>
      </w:r>
      <w:r>
        <w:rPr>
          <w:rFonts w:ascii="Times New Roman" w:eastAsia="Times New Roman" w:hAnsi="Times New Roman" w:cs="Times New Roman"/>
          <w:noProof/>
          <w:sz w:val="24"/>
          <w:szCs w:val="24"/>
        </w:rPr>
        <w:drawing>
          <wp:inline distT="0" distB="0" distL="0" distR="0">
            <wp:extent cx="151130" cy="142875"/>
            <wp:effectExtent l="19050" t="0" r="1270" b="0"/>
            <wp:docPr id="1608" name="Imagen 16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910. In </w:t>
      </w:r>
      <w:r w:rsidRPr="00FB00FF">
        <w:rPr>
          <w:rFonts w:ascii="Times New Roman" w:eastAsia="Times New Roman" w:hAnsi="Times New Roman" w:cs="Times New Roman"/>
          <w:i/>
          <w:iCs/>
          <w:sz w:val="24"/>
          <w:szCs w:val="24"/>
          <w:lang w:val="en-US"/>
        </w:rPr>
        <w:t xml:space="preserve">Akayesu </w:t>
      </w:r>
      <w:r w:rsidRPr="00FB00FF">
        <w:rPr>
          <w:rFonts w:ascii="Times New Roman" w:eastAsia="Times New Roman" w:hAnsi="Times New Roman" w:cs="Times New Roman"/>
          <w:sz w:val="24"/>
          <w:szCs w:val="24"/>
          <w:lang w:val="en-US"/>
        </w:rPr>
        <w:t>the Trial Chamber considered that the traditional mechanical definition of rape did not adequately capture its true nature and instead offered a definition of rape as: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physical invasion of a sexual nature, committed on a person under circumstances which are coercive. Sexual violence which includes rape is considered to be any act of a sexual nature which is committed on a person under circumstances which are coercive. [</w:t>
      </w:r>
      <w:r w:rsidRPr="00C74F6F">
        <w:rPr>
          <w:rFonts w:ascii="Times New Roman" w:eastAsia="Times New Roman" w:hAnsi="Times New Roman" w:cs="Times New Roman"/>
          <w:i/>
          <w:iCs/>
          <w:sz w:val="24"/>
          <w:szCs w:val="24"/>
          <w:lang w:val="en-US"/>
        </w:rPr>
        <w:t xml:space="preserve"> Akayesu case</w:t>
      </w:r>
      <w:r w:rsidRPr="00C74F6F">
        <w:rPr>
          <w:rFonts w:ascii="Times New Roman" w:eastAsia="Times New Roman" w:hAnsi="Times New Roman" w:cs="Times New Roman"/>
          <w:sz w:val="24"/>
          <w:szCs w:val="24"/>
          <w:lang w:val="en-US"/>
        </w:rPr>
        <w:t>, Judgment, § 598]</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911. This conceptual definition of rape was approved in </w:t>
      </w:r>
      <w:r w:rsidRPr="00FB00FF">
        <w:rPr>
          <w:rFonts w:ascii="Times New Roman" w:eastAsia="Times New Roman" w:hAnsi="Times New Roman" w:cs="Times New Roman"/>
          <w:i/>
          <w:iCs/>
          <w:sz w:val="24"/>
          <w:szCs w:val="24"/>
          <w:lang w:val="en-US"/>
        </w:rPr>
        <w:t>Musema</w:t>
      </w:r>
      <w:r w:rsidRPr="00FB00FF">
        <w:rPr>
          <w:rFonts w:ascii="Times New Roman" w:eastAsia="Times New Roman" w:hAnsi="Times New Roman" w:cs="Times New Roman"/>
          <w:sz w:val="24"/>
          <w:szCs w:val="24"/>
          <w:lang w:val="en-US"/>
        </w:rPr>
        <w:t xml:space="preserve">, where the Chamber highlighted the difference between “a physical invasion of a sexual nature”, and “any act of a sexual nature” as being the difference between rape and sexual assault. Meanwhile, a Trial Chamber of the ICTY handed down the </w:t>
      </w:r>
      <w:r w:rsidRPr="00FB00FF">
        <w:rPr>
          <w:rFonts w:ascii="Times New Roman" w:eastAsia="Times New Roman" w:hAnsi="Times New Roman" w:cs="Times New Roman"/>
          <w:i/>
          <w:iCs/>
          <w:sz w:val="24"/>
          <w:szCs w:val="24"/>
          <w:lang w:val="en-US"/>
        </w:rPr>
        <w:t xml:space="preserve">Furundžija </w:t>
      </w:r>
      <w:r w:rsidRPr="00FB00FF">
        <w:rPr>
          <w:rFonts w:ascii="Times New Roman" w:eastAsia="Times New Roman" w:hAnsi="Times New Roman" w:cs="Times New Roman"/>
          <w:sz w:val="24"/>
          <w:szCs w:val="24"/>
          <w:lang w:val="en-US"/>
        </w:rPr>
        <w:t>Judgment, in which the Chamber preferred the following more detailed definition related to objects and body parts: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lastRenderedPageBreak/>
        <w:t>Most legal systems in the common and civil law world consider rape to be the forcible sexual penetration of the human body by the penis or the forcible insertion of any other object into either the vagina or the anus. [</w:t>
      </w:r>
      <w:r w:rsidRPr="00C74F6F">
        <w:rPr>
          <w:rFonts w:ascii="Times New Roman" w:eastAsia="Times New Roman" w:hAnsi="Times New Roman" w:cs="Times New Roman"/>
          <w:i/>
          <w:iCs/>
          <w:sz w:val="24"/>
          <w:szCs w:val="24"/>
          <w:lang w:val="en-US"/>
        </w:rPr>
        <w:t>Furundzija case</w:t>
      </w:r>
      <w:r w:rsidRPr="00C74F6F">
        <w:rPr>
          <w:rFonts w:ascii="Times New Roman" w:eastAsia="Times New Roman" w:hAnsi="Times New Roman" w:cs="Times New Roman"/>
          <w:sz w:val="24"/>
          <w:szCs w:val="24"/>
          <w:lang w:val="en-US"/>
        </w:rPr>
        <w:t>, Judgment, §. 181]</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912. This definition substantially modified and completed by Trial Chamber II in the </w:t>
      </w:r>
      <w:r w:rsidRPr="00FB00FF">
        <w:rPr>
          <w:rFonts w:ascii="Times New Roman" w:eastAsia="Times New Roman" w:hAnsi="Times New Roman" w:cs="Times New Roman"/>
          <w:i/>
          <w:iCs/>
          <w:sz w:val="24"/>
          <w:szCs w:val="24"/>
          <w:lang w:val="en-US"/>
        </w:rPr>
        <w:t xml:space="preserve">Kunarac </w:t>
      </w:r>
      <w:r w:rsidRPr="00FB00FF">
        <w:rPr>
          <w:rFonts w:ascii="Times New Roman" w:eastAsia="Times New Roman" w:hAnsi="Times New Roman" w:cs="Times New Roman"/>
          <w:sz w:val="24"/>
          <w:szCs w:val="24"/>
          <w:lang w:val="en-US"/>
        </w:rPr>
        <w:t>Judgment has been endorsed by the Appeals Chamber. It reads as follow[s]: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913. The </w:t>
      </w:r>
      <w:r w:rsidRPr="00FB00FF">
        <w:rPr>
          <w:rFonts w:ascii="Times New Roman" w:eastAsia="Times New Roman" w:hAnsi="Times New Roman" w:cs="Times New Roman"/>
          <w:i/>
          <w:iCs/>
          <w:sz w:val="24"/>
          <w:szCs w:val="24"/>
          <w:lang w:val="en-US"/>
        </w:rPr>
        <w:t xml:space="preserve">actus reus </w:t>
      </w:r>
      <w:r w:rsidRPr="00FB00FF">
        <w:rPr>
          <w:rFonts w:ascii="Times New Roman" w:eastAsia="Times New Roman" w:hAnsi="Times New Roman" w:cs="Times New Roman"/>
          <w:sz w:val="24"/>
          <w:szCs w:val="24"/>
          <w:lang w:val="en-US"/>
        </w:rPr>
        <w:t>of the crime of rape in international law is constituted by: the sexual penetration, however slight: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of the vagina or anus of the victim by the penis of the perpetrator or any other object used by the perpetrator; or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of the mouth of the victim by the penis of the perpetrator; where such sexual penetration occurs without the consent of the victim. Consent for this purpose must be consent given voluntarily, as a result of the victim’s free will, assessed in the context of the surrounding circumstances.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914. The </w:t>
      </w:r>
      <w:r w:rsidRPr="00FB00FF">
        <w:rPr>
          <w:rFonts w:ascii="Times New Roman" w:eastAsia="Times New Roman" w:hAnsi="Times New Roman" w:cs="Times New Roman"/>
          <w:i/>
          <w:iCs/>
          <w:sz w:val="24"/>
          <w:szCs w:val="24"/>
          <w:lang w:val="en-US"/>
        </w:rPr>
        <w:t xml:space="preserve">mens rea </w:t>
      </w:r>
      <w:r w:rsidRPr="00FB00FF">
        <w:rPr>
          <w:rFonts w:ascii="Times New Roman" w:eastAsia="Times New Roman" w:hAnsi="Times New Roman" w:cs="Times New Roman"/>
          <w:sz w:val="24"/>
          <w:szCs w:val="24"/>
          <w:lang w:val="en-US"/>
        </w:rPr>
        <w:t xml:space="preserve">is the intention to effect this sexual penetration, and the knowledge that it occurs without the consent of the victim.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915. Given the evolution of the law in this area, culminating in the endorsement of the </w:t>
      </w:r>
      <w:r w:rsidRPr="00FB00FF">
        <w:rPr>
          <w:rFonts w:ascii="Times New Roman" w:eastAsia="Times New Roman" w:hAnsi="Times New Roman" w:cs="Times New Roman"/>
          <w:i/>
          <w:iCs/>
          <w:sz w:val="24"/>
          <w:szCs w:val="24"/>
          <w:lang w:val="en-US"/>
        </w:rPr>
        <w:t xml:space="preserve">Furundžija/Kunarac </w:t>
      </w:r>
      <w:r w:rsidRPr="00FB00FF">
        <w:rPr>
          <w:rFonts w:ascii="Times New Roman" w:eastAsia="Times New Roman" w:hAnsi="Times New Roman" w:cs="Times New Roman"/>
          <w:sz w:val="24"/>
          <w:szCs w:val="24"/>
          <w:lang w:val="en-US"/>
        </w:rPr>
        <w:t xml:space="preserve">approach by the ICTY Appeals Chamber, the Chamber finds the latter approach of persuasive authority and hereby adopts the definition as given in </w:t>
      </w:r>
      <w:r w:rsidRPr="00FB00FF">
        <w:rPr>
          <w:rFonts w:ascii="Times New Roman" w:eastAsia="Times New Roman" w:hAnsi="Times New Roman" w:cs="Times New Roman"/>
          <w:i/>
          <w:iCs/>
          <w:sz w:val="24"/>
          <w:szCs w:val="24"/>
          <w:lang w:val="en-US"/>
        </w:rPr>
        <w:t xml:space="preserve">Kunarac </w:t>
      </w:r>
      <w:r w:rsidRPr="00FB00FF">
        <w:rPr>
          <w:rFonts w:ascii="Times New Roman" w:eastAsia="Times New Roman" w:hAnsi="Times New Roman" w:cs="Times New Roman"/>
          <w:sz w:val="24"/>
          <w:szCs w:val="24"/>
          <w:lang w:val="en-US"/>
        </w:rPr>
        <w:t>and quoted above. The mental element of the offence of rape as a crime against humanity is the intention to effect the above described sexual penetration, with the knowledge that it was being done without the consent of the victim.</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916. Other acts of sexual violence which may fall outside of this specific definition may of course be prosecuted, and would be considered by the Chamber under other categories of crimes for which the Tribunal has jurisdiction, such as </w:t>
      </w:r>
      <w:r w:rsidRPr="00FB00FF">
        <w:rPr>
          <w:rFonts w:ascii="Times New Roman" w:eastAsia="Times New Roman" w:hAnsi="Times New Roman" w:cs="Times New Roman"/>
          <w:i/>
          <w:iCs/>
          <w:sz w:val="24"/>
          <w:szCs w:val="24"/>
          <w:lang w:val="en-US"/>
        </w:rPr>
        <w:t>other inhumane acts</w:t>
      </w:r>
      <w:r w:rsidRPr="00FB00FF">
        <w:rPr>
          <w:rFonts w:ascii="Times New Roman" w:eastAsia="Times New Roman" w:hAnsi="Times New Roman" w:cs="Times New Roman"/>
          <w:sz w:val="24"/>
          <w:szCs w:val="24"/>
          <w:lang w:val="en-US"/>
        </w:rPr>
        <w:t>.</w:t>
      </w:r>
      <w:r>
        <w:rPr>
          <w:rFonts w:ascii="Times New Roman" w:eastAsia="Times New Roman" w:hAnsi="Times New Roman" w:cs="Times New Roman"/>
          <w:noProof/>
          <w:sz w:val="24"/>
          <w:szCs w:val="24"/>
        </w:rPr>
        <w:drawing>
          <wp:inline distT="0" distB="0" distL="0" distR="0">
            <wp:extent cx="151130" cy="142875"/>
            <wp:effectExtent l="19050" t="0" r="1270" b="0"/>
            <wp:docPr id="1609" name="Imagen 16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Bizimana case</w:t>
      </w:r>
      <w:r w:rsidRPr="00FB00FF">
        <w:rPr>
          <w:rFonts w:ascii="Times New Roman" w:eastAsia="Times New Roman" w:hAnsi="Times New Roman" w:cs="Times New Roman"/>
          <w:sz w:val="24"/>
          <w:szCs w:val="24"/>
          <w:lang w:val="en-US"/>
        </w:rPr>
        <w:t xml:space="preserve"> before the ICTR in 2001, the accused were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with: conspiracy to commit genocide, punishable under Article 2(3)(b) of the 1994 ICTR Statute; genocide, punishable under Article 2(3)(a) of the 1994 ICTR Statute,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for “causing serious bodily or mental harm to members of the Tutsi population”, or, alternatively, complicity in genocide, punishable under Article 2(3)(e) of the 1994 ICTR Statute; direct and public incitement to commit genocide, punishable under Article 2(3)(c) of the 1994 ICTR Statute; rape and other inhumane acts as crimes against humanity, punishable under Article 3(g) and (i) of the 1994 ICTR Statute; and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in particular humiliating and degrading treatment, rape and indecent assault, as part of an armed internal conflict, … thereby committ[ing] </w:t>
      </w:r>
      <w:r w:rsidRPr="00FB00FF">
        <w:rPr>
          <w:rFonts w:ascii="Times New Roman" w:eastAsia="Times New Roman" w:hAnsi="Times New Roman" w:cs="Times New Roman"/>
          <w:b/>
          <w:bCs/>
          <w:sz w:val="24"/>
          <w:szCs w:val="24"/>
          <w:lang w:val="en-US"/>
        </w:rPr>
        <w:t>SERIOUS VIOLATION OF ARTICLE 3 COMMON TO THE GENEVA CONVENTIONS AND OF ADDITIONAL PROTOCOL II</w:t>
      </w:r>
      <w:r w:rsidRPr="00FB00FF">
        <w:rPr>
          <w:rFonts w:ascii="Times New Roman" w:eastAsia="Times New Roman" w:hAnsi="Times New Roman" w:cs="Times New Roman"/>
          <w:sz w:val="24"/>
          <w:szCs w:val="24"/>
          <w:lang w:val="en-US"/>
        </w:rPr>
        <w:t>, a crime stipulated in Article 4(e) of the [1994 ICTR Statute].</w:t>
      </w:r>
      <w:r>
        <w:rPr>
          <w:rFonts w:ascii="Times New Roman" w:eastAsia="Times New Roman" w:hAnsi="Times New Roman" w:cs="Times New Roman"/>
          <w:noProof/>
          <w:sz w:val="24"/>
          <w:szCs w:val="24"/>
        </w:rPr>
        <w:drawing>
          <wp:inline distT="0" distB="0" distL="0" distR="0">
            <wp:extent cx="151130" cy="142875"/>
            <wp:effectExtent l="19050" t="0" r="1270" b="0"/>
            <wp:docPr id="1610" name="Imagen 16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Niyitegeka case</w:t>
      </w:r>
      <w:r w:rsidRPr="00FB00FF">
        <w:rPr>
          <w:rFonts w:ascii="Times New Roman" w:eastAsia="Times New Roman" w:hAnsi="Times New Roman" w:cs="Times New Roman"/>
          <w:sz w:val="24"/>
          <w:szCs w:val="24"/>
          <w:lang w:val="en-US"/>
        </w:rPr>
        <w:t xml:space="preserve"> before the ICTR in 2002, the accused, Eliézer Niyitegeka, who was minister for information in the interim government of Rwanda from 9 April to mid-July 1994,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(a) rape as a crime against humanity, punishable under Article 3(g) of the 1994 ICTR Statute, for causing women to be raped as part of a widespread or systematic attack against the civilian population, and (b) outrages on personal dignity as serious violations of common Article 3 of the 1949 Geneva Conventions and of the 1977 Additional Protocol II, punishable under Article 4(e) of the 1994 ICTR Statute, in particular for humiliating and degrading treatment, rape and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611" name="Imagen 16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456. Article 3 of the [1994 ICTR] Statute provides that the crime must be committed as part of a widespread or systematic attack against a civilian population on national, political, ethnic, racial or religious grounds. The Accused need not act with </w:t>
      </w:r>
      <w:r w:rsidRPr="00FB00FF">
        <w:rPr>
          <w:rFonts w:ascii="Times New Roman" w:eastAsia="Times New Roman" w:hAnsi="Times New Roman" w:cs="Times New Roman"/>
          <w:sz w:val="24"/>
          <w:szCs w:val="24"/>
          <w:lang w:val="en-US"/>
        </w:rPr>
        <w:lastRenderedPageBreak/>
        <w:t>discriminatory intent, but he must know that his act is part of this widespread or systematic attack. In respect of this count, the Accused must have raped one or more persons, rape being “a physical invasion of a sexual nature, committed on a person under circumstances which are coercive.”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judgement, § 688]</w:t>
      </w:r>
      <w:r>
        <w:rPr>
          <w:rFonts w:ascii="Times New Roman" w:eastAsia="Times New Roman" w:hAnsi="Times New Roman" w:cs="Times New Roman"/>
          <w:noProof/>
          <w:sz w:val="24"/>
          <w:szCs w:val="24"/>
        </w:rPr>
        <w:drawing>
          <wp:inline distT="0" distB="0" distL="0" distR="0">
            <wp:extent cx="151130" cy="142875"/>
            <wp:effectExtent l="19050" t="0" r="1270" b="0"/>
            <wp:docPr id="1612" name="Imagen 16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 xml:space="preserve">Ndindiliyimana case </w:t>
      </w:r>
      <w:r w:rsidRPr="00FB00FF">
        <w:rPr>
          <w:rFonts w:ascii="Times New Roman" w:eastAsia="Times New Roman" w:hAnsi="Times New Roman" w:cs="Times New Roman"/>
          <w:sz w:val="24"/>
          <w:szCs w:val="24"/>
          <w:lang w:val="en-US"/>
        </w:rPr>
        <w:t xml:space="preserve">before the ICTR in 2004, the accused, senior members of the Forces armées rwandaises (FAR), were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rape and other humiliating and degrading treatment as a violation of common Article 3 of the 1949 Geneva Conventions and of the 1977 Additional Protocol II, punishable under Article 4(e) of the 1994 ICTR Statute. According to the Prosecutor, the accused “knew or had reason to know that their subordinates had committed or were about to commit the rapes … and did not take reasonable and necessary measures to prevent such crimes or to punish the perpetrators thereof”.</w:t>
      </w:r>
      <w:r>
        <w:rPr>
          <w:rFonts w:ascii="Times New Roman" w:eastAsia="Times New Roman" w:hAnsi="Times New Roman" w:cs="Times New Roman"/>
          <w:noProof/>
          <w:sz w:val="24"/>
          <w:szCs w:val="24"/>
        </w:rPr>
        <w:drawing>
          <wp:inline distT="0" distB="0" distL="0" distR="0">
            <wp:extent cx="151130" cy="142875"/>
            <wp:effectExtent l="19050" t="0" r="1270" b="0"/>
            <wp:docPr id="1613" name="Imagen 16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International Criminal Tribunal for the former Yugoslavia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its review of the indictment in the </w:t>
      </w:r>
      <w:r w:rsidRPr="00FB00FF">
        <w:rPr>
          <w:rFonts w:ascii="Times New Roman" w:eastAsia="Times New Roman" w:hAnsi="Times New Roman" w:cs="Times New Roman"/>
          <w:i/>
          <w:iCs/>
          <w:sz w:val="24"/>
          <w:szCs w:val="24"/>
          <w:lang w:val="en-US"/>
        </w:rPr>
        <w:t>Nikolić case</w:t>
      </w:r>
      <w:r w:rsidRPr="00FB00FF">
        <w:rPr>
          <w:rFonts w:ascii="Times New Roman" w:eastAsia="Times New Roman" w:hAnsi="Times New Roman" w:cs="Times New Roman"/>
          <w:sz w:val="24"/>
          <w:szCs w:val="24"/>
          <w:lang w:val="en-US"/>
        </w:rPr>
        <w:t xml:space="preserve"> in 1995, the ICTY Trial Chamber stated that it considered that “rape and other forms of sexual assault inflicted on women in circumstances such as those described by the witnesses, may fall within the definition of torture submitted by the Prosecutor”.</w:t>
      </w:r>
      <w:r>
        <w:rPr>
          <w:rFonts w:ascii="Times New Roman" w:eastAsia="Times New Roman" w:hAnsi="Times New Roman" w:cs="Times New Roman"/>
          <w:noProof/>
          <w:sz w:val="24"/>
          <w:szCs w:val="24"/>
        </w:rPr>
        <w:drawing>
          <wp:inline distT="0" distB="0" distL="0" distR="0">
            <wp:extent cx="151130" cy="142875"/>
            <wp:effectExtent l="19050" t="0" r="1270" b="0"/>
            <wp:docPr id="1614" name="Imagen 16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Kvočka case</w:t>
      </w:r>
      <w:r w:rsidRPr="00FB00FF">
        <w:rPr>
          <w:rFonts w:ascii="Times New Roman" w:eastAsia="Times New Roman" w:hAnsi="Times New Roman" w:cs="Times New Roman"/>
          <w:sz w:val="24"/>
          <w:szCs w:val="24"/>
          <w:lang w:val="en-US"/>
        </w:rPr>
        <w:t xml:space="preserve"> before the ICTY in 1998, the accused was charged with “sexual assault … of Bosnian Muslim, Bosnian Croat and other non-Serb detainees”.</w:t>
      </w:r>
      <w:r>
        <w:rPr>
          <w:rFonts w:ascii="Times New Roman" w:eastAsia="Times New Roman" w:hAnsi="Times New Roman" w:cs="Times New Roman"/>
          <w:noProof/>
          <w:sz w:val="24"/>
          <w:szCs w:val="24"/>
        </w:rPr>
        <w:drawing>
          <wp:inline distT="0" distB="0" distL="0" distR="0">
            <wp:extent cx="151130" cy="142875"/>
            <wp:effectExtent l="19050" t="0" r="1270" b="0"/>
            <wp:docPr id="1615" name="Imagen 16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Mucić case</w:t>
      </w:r>
      <w:r w:rsidRPr="00FB00FF">
        <w:rPr>
          <w:rFonts w:ascii="Times New Roman" w:eastAsia="Times New Roman" w:hAnsi="Times New Roman" w:cs="Times New Roman"/>
          <w:sz w:val="24"/>
          <w:szCs w:val="24"/>
          <w:lang w:val="en-US"/>
        </w:rPr>
        <w:t xml:space="preserve"> in 1998, the ICTY Trial Chamber stated that “there can be no doubt that rape and other forms of sexual assault are expressly prohibited under international humanitarian law” and that it considered “rape to constitute a physical invasion of a sexual nature, committed on a person under circumstances that are coercive”. It also considered that: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The rape of any person [is] a despicable act which strikes at the very core of human dignity and physical integrity. The condemnation and punishment of rape becomes all the more urgent where it is committed by, or at the instigation of, a public official, or with the consent or acquiescence of such an official … It is difficult to envisage circumstances in which rape, by, or at the instigation of a public official, or with the consent or acquiescence of an official, could be considered as occurring for a purpose that does not, in some way, involve punishment, coercion, discrimination or intimidation. In the view of this Trial Chamber this is inherent in situations of armed conflict.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Furundžija</w:t>
      </w:r>
      <w:r w:rsidRPr="00FB00FF">
        <w:rPr>
          <w:rFonts w:ascii="Times New Roman" w:eastAsia="Times New Roman" w:hAnsi="Times New Roman" w:cs="Times New Roman"/>
          <w:sz w:val="24"/>
          <w:szCs w:val="24"/>
          <w:lang w:val="en-US"/>
        </w:rPr>
        <w:t xml:space="preserve"> </w:t>
      </w:r>
      <w:r w:rsidRPr="00FB00FF">
        <w:rPr>
          <w:rFonts w:ascii="Times New Roman" w:eastAsia="Times New Roman" w:hAnsi="Times New Roman" w:cs="Times New Roman"/>
          <w:i/>
          <w:iCs/>
          <w:sz w:val="24"/>
          <w:szCs w:val="24"/>
          <w:lang w:val="en-US"/>
        </w:rPr>
        <w:t>case</w:t>
      </w:r>
      <w:r w:rsidRPr="00FB00FF">
        <w:rPr>
          <w:rFonts w:ascii="Times New Roman" w:eastAsia="Times New Roman" w:hAnsi="Times New Roman" w:cs="Times New Roman"/>
          <w:sz w:val="24"/>
          <w:szCs w:val="24"/>
          <w:lang w:val="en-US"/>
        </w:rPr>
        <w:t xml:space="preserve"> in 1998, the ICTY Trial Chamber noted that a prohibition of rape and serious sexual assault in armed conflict under customary international law has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gradually crystallised out of the express prohibition of rape in article 44 of the Lieber Code and the general provisions contained in article 46 of the regulations annexed to Hague Convention IV, read in conjunction with the “Martens clause” laid down in the preamble to that Convention. While rape and sexual assaults were not specifically prosecuted by the Nuremberg Tribunal, rape was expressly classified as a crime against humanity under article II (1)(c) of Control Council Law No. 10. The Tokyo International Military Tribunal convicted Generals Toyoda and Matsui of command responsibility for violations of the laws or customs of war committed by their soldiers in Nanking, which included widespread rapes and sexual assaults. The former Foreign Minister of Japan, Hirota, was also convicted for these atrocities. This decision and that of the United States Military Commission in Yamashita, along with the ripening of the fundamental prohibition of “outrages upon personal dignity” laid down in common article 3 [of the 1949 Geneva Conventions and of the 1977 Additional Protocol II] into customary international law, has contributed to the evolution of universally accepted </w:t>
      </w:r>
      <w:r w:rsidRPr="00FB00FF">
        <w:rPr>
          <w:rFonts w:ascii="Times New Roman" w:eastAsia="Times New Roman" w:hAnsi="Times New Roman" w:cs="Times New Roman"/>
          <w:sz w:val="24"/>
          <w:szCs w:val="24"/>
          <w:lang w:val="en-US"/>
        </w:rPr>
        <w:lastRenderedPageBreak/>
        <w:t>norms of international law prohibiting rape as well as serious sexual assault. These norms are applicable in any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616" name="Imagen 16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185. Thus, the Trial Chamber finds that the following may be accepted as the objective elements of rape: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 the sexual penetration, however slight: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 by coercion or force or threat of force against the victim or a third person.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186. As pointed out above, international criminal rules punish not only rape but also any serious sexual assault falling short of actual penetration. It would seem that the prohibition embraces all serious abuses of a sexual nature inflicted upon the physical and moral integrity of a person by means of coercion, threat of force or intimidation in a way that is degrading and humiliating for the victim’s dignity. As both these categories of acts are criminalised in international law, the distinction between them is one that is primarily material for the purposes of sentencing.</w:t>
      </w:r>
      <w:r>
        <w:rPr>
          <w:rFonts w:ascii="Times New Roman" w:eastAsia="Times New Roman" w:hAnsi="Times New Roman" w:cs="Times New Roman"/>
          <w:noProof/>
          <w:sz w:val="24"/>
          <w:szCs w:val="24"/>
        </w:rPr>
        <w:drawing>
          <wp:inline distT="0" distB="0" distL="0" distR="0">
            <wp:extent cx="151130" cy="142875"/>
            <wp:effectExtent l="19050" t="0" r="1270" b="0"/>
            <wp:docPr id="1617" name="Imagen 16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the judgment on appeal in the </w:t>
      </w:r>
      <w:r w:rsidRPr="00FB00FF">
        <w:rPr>
          <w:rFonts w:ascii="Times New Roman" w:eastAsia="Times New Roman" w:hAnsi="Times New Roman" w:cs="Times New Roman"/>
          <w:i/>
          <w:iCs/>
          <w:sz w:val="24"/>
          <w:szCs w:val="24"/>
          <w:lang w:val="en-US"/>
        </w:rPr>
        <w:t>Furundžija case</w:t>
      </w:r>
      <w:r w:rsidRPr="00FB00FF">
        <w:rPr>
          <w:rFonts w:ascii="Times New Roman" w:eastAsia="Times New Roman" w:hAnsi="Times New Roman" w:cs="Times New Roman"/>
          <w:sz w:val="24"/>
          <w:szCs w:val="24"/>
          <w:lang w:val="en-US"/>
        </w:rPr>
        <w:t xml:space="preserve"> in 2000, the ICTY Appeals Chamber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With regard to the issue of the reaffirmation by the International Tribunal of rape as a war crime, the Appeals Chamber finds that the international community has long recognised rape as a war crime. In the Delalić and Others Judgement, one of the accused was convicted of torture by means of rape, as a violation of the laws or customs of war. This recognition by the international community of rape as a war crime is also reflected in the Rome Statute where it is designated as a war crime.</w:t>
      </w:r>
      <w:r>
        <w:rPr>
          <w:rFonts w:ascii="Times New Roman" w:eastAsia="Times New Roman" w:hAnsi="Times New Roman" w:cs="Times New Roman"/>
          <w:noProof/>
          <w:sz w:val="24"/>
          <w:szCs w:val="24"/>
        </w:rPr>
        <w:drawing>
          <wp:inline distT="0" distB="0" distL="0" distR="0">
            <wp:extent cx="151130" cy="142875"/>
            <wp:effectExtent l="19050" t="0" r="1270" b="0"/>
            <wp:docPr id="1618" name="Imagen 16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Kunarac case</w:t>
      </w:r>
      <w:r w:rsidRPr="00FB00FF">
        <w:rPr>
          <w:rFonts w:ascii="Times New Roman" w:eastAsia="Times New Roman" w:hAnsi="Times New Roman" w:cs="Times New Roman"/>
          <w:sz w:val="24"/>
          <w:szCs w:val="24"/>
          <w:lang w:val="en-US"/>
        </w:rPr>
        <w:t xml:space="preserve"> in 2000, the ICTY Trial Chamber held: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406. The Chamber further considers that it is unnecessary to discuss any additional requirements for the application of rape charges based on treaty law, since common Article 3 alone is sufficient in principle to form the basis of these charges under Article 3 [of the 1993 ICTY Statute], as is observed below.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436. Rape has been charged against the three accused as a violation of the laws or customs of war under Article 3 and as a crime against humanity under Article 5 of the Statute. The Statute refers explicitly to rape as a crime against humanity within the Tribunal’s jurisdiction in Article 5(g). The jurisdiction to prosecute rape as an outrage against personal dignity, in violation of the laws or customs of war pursuant to Article 3 of the Statute, including upon the basis of common Article 3 to the 1949 Geneva Conventions, is also clearly established.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438. The Trial Chamber considers that the Furundžija definition, although appropriate to the circumstances of that case, is in one respect more narrowly stated than is required by international law. In stating that the relevant act of sexual penetration will constitute rape only if accompanied by coercion or force or threat of force against the victim or a third person, the Furundžija definition does not refer to other factors which would render an act of sexual penetration non-consensual or non-voluntary on the part of the victim, which, as foreshadowed in the hearing and as discussed below, is in the opinion of this Trial Chamber the accurate scope of this aspect of the definition in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1619" name="Imagen 16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its judgment in the </w:t>
      </w:r>
      <w:r w:rsidRPr="00FB00FF">
        <w:rPr>
          <w:rFonts w:ascii="Times New Roman" w:eastAsia="Times New Roman" w:hAnsi="Times New Roman" w:cs="Times New Roman"/>
          <w:i/>
          <w:iCs/>
          <w:sz w:val="24"/>
          <w:szCs w:val="24"/>
          <w:lang w:val="en-US"/>
        </w:rPr>
        <w:t xml:space="preserve">Kvočka case </w:t>
      </w:r>
      <w:r w:rsidRPr="00FB00FF">
        <w:rPr>
          <w:rFonts w:ascii="Times New Roman" w:eastAsia="Times New Roman" w:hAnsi="Times New Roman" w:cs="Times New Roman"/>
          <w:sz w:val="24"/>
          <w:szCs w:val="24"/>
          <w:lang w:val="en-US"/>
        </w:rPr>
        <w:t xml:space="preserve">in 2001, the ICTY Trial Chamber stated with regard to the constituent elements of the crime of rape under Articles 3 and 5 of the 1993 ICTY Statute: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175. Rape was succinctly defined in the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Trial Chamber Judgement as “a physical invasion of a sexual nature, committed on a person under circumstances which </w:t>
      </w:r>
      <w:r w:rsidRPr="00FB00FF">
        <w:rPr>
          <w:rFonts w:ascii="Times New Roman" w:eastAsia="Times New Roman" w:hAnsi="Times New Roman" w:cs="Times New Roman"/>
          <w:sz w:val="24"/>
          <w:szCs w:val="24"/>
          <w:lang w:val="en-US"/>
        </w:rPr>
        <w:lastRenderedPageBreak/>
        <w:t xml:space="preserve">are coercive.” The </w:t>
      </w:r>
      <w:r w:rsidRPr="00FB00FF">
        <w:rPr>
          <w:rFonts w:ascii="Times New Roman" w:eastAsia="Times New Roman" w:hAnsi="Times New Roman" w:cs="Times New Roman"/>
          <w:i/>
          <w:iCs/>
          <w:sz w:val="24"/>
          <w:szCs w:val="24"/>
          <w:lang w:val="en-US"/>
        </w:rPr>
        <w:t>Furundzija</w:t>
      </w:r>
      <w:r w:rsidRPr="00FB00FF">
        <w:rPr>
          <w:rFonts w:ascii="Times New Roman" w:eastAsia="Times New Roman" w:hAnsi="Times New Roman" w:cs="Times New Roman"/>
          <w:sz w:val="24"/>
          <w:szCs w:val="24"/>
          <w:lang w:val="en-US"/>
        </w:rPr>
        <w:t xml:space="preserve"> Trial Chamber articulated the objective elements of rape as follows: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 the sexual penetration, however slight: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(ii) by coercion or force or threat of force against the victim or a third person.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176. The </w:t>
      </w:r>
      <w:r w:rsidRPr="00FB00FF">
        <w:rPr>
          <w:rFonts w:ascii="Times New Roman" w:eastAsia="Times New Roman" w:hAnsi="Times New Roman" w:cs="Times New Roman"/>
          <w:i/>
          <w:iCs/>
          <w:sz w:val="24"/>
          <w:szCs w:val="24"/>
          <w:lang w:val="en-US"/>
        </w:rPr>
        <w:t>Kunarac</w:t>
      </w:r>
      <w:r w:rsidRPr="00FB00FF">
        <w:rPr>
          <w:rFonts w:ascii="Times New Roman" w:eastAsia="Times New Roman" w:hAnsi="Times New Roman" w:cs="Times New Roman"/>
          <w:sz w:val="24"/>
          <w:szCs w:val="24"/>
          <w:lang w:val="en-US"/>
        </w:rPr>
        <w:t xml:space="preserve"> Trial Chamber, however, found element (ii) of the </w:t>
      </w:r>
      <w:r w:rsidRPr="00FB00FF">
        <w:rPr>
          <w:rFonts w:ascii="Times New Roman" w:eastAsia="Times New Roman" w:hAnsi="Times New Roman" w:cs="Times New Roman"/>
          <w:i/>
          <w:iCs/>
          <w:sz w:val="24"/>
          <w:szCs w:val="24"/>
          <w:lang w:val="en-US"/>
        </w:rPr>
        <w:t>Furundzija</w:t>
      </w:r>
      <w:r w:rsidRPr="00FB00FF">
        <w:rPr>
          <w:rFonts w:ascii="Times New Roman" w:eastAsia="Times New Roman" w:hAnsi="Times New Roman" w:cs="Times New Roman"/>
          <w:sz w:val="24"/>
          <w:szCs w:val="24"/>
          <w:lang w:val="en-US"/>
        </w:rPr>
        <w:t xml:space="preserve"> element more restrictive than required by international law, and concluded that it should be interpreted to mean “where such sexual penetration occurs without the consent of the victim.” The </w:t>
      </w:r>
      <w:r w:rsidRPr="00FB00FF">
        <w:rPr>
          <w:rFonts w:ascii="Times New Roman" w:eastAsia="Times New Roman" w:hAnsi="Times New Roman" w:cs="Times New Roman"/>
          <w:i/>
          <w:iCs/>
          <w:sz w:val="24"/>
          <w:szCs w:val="24"/>
          <w:lang w:val="en-US"/>
        </w:rPr>
        <w:t>Kunarac</w:t>
      </w:r>
      <w:r w:rsidRPr="00FB00FF">
        <w:rPr>
          <w:rFonts w:ascii="Times New Roman" w:eastAsia="Times New Roman" w:hAnsi="Times New Roman" w:cs="Times New Roman"/>
          <w:sz w:val="24"/>
          <w:szCs w:val="24"/>
          <w:lang w:val="en-US"/>
        </w:rPr>
        <w:t xml:space="preserve"> Judgement emphasizes that the consent must be “given voluntarily, as a result of the victim’s free will, assessed in the context of the surrounding circumstances” and the principal focus should be whether there were serious violations of sexual autonomy.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177. The Trial Chamber agrees with the factors set out by the Trial Chamber in </w:t>
      </w:r>
      <w:r w:rsidRPr="00FB00FF">
        <w:rPr>
          <w:rFonts w:ascii="Times New Roman" w:eastAsia="Times New Roman" w:hAnsi="Times New Roman" w:cs="Times New Roman"/>
          <w:i/>
          <w:iCs/>
          <w:sz w:val="24"/>
          <w:szCs w:val="24"/>
          <w:lang w:val="en-US"/>
        </w:rPr>
        <w:t>Kunarac</w:t>
      </w:r>
      <w:r w:rsidRPr="00FB00FF">
        <w:rPr>
          <w:rFonts w:ascii="Times New Roman" w:eastAsia="Times New Roman" w:hAnsi="Times New Roman" w:cs="Times New Roman"/>
          <w:sz w:val="24"/>
          <w:szCs w:val="24"/>
          <w:lang w:val="en-US"/>
        </w:rPr>
        <w:t xml:space="preserve">, defining rape as a violation of sexual autonomy. In order for sexual activity to be classified as rape: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 the sexual activity must be accompanied by force or threat of force to the victim or a third party;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(ii) the sexual activity must be accompanied by force </w:t>
      </w:r>
      <w:r w:rsidRPr="00C74F6F">
        <w:rPr>
          <w:rFonts w:ascii="Times New Roman" w:eastAsia="Times New Roman" w:hAnsi="Times New Roman" w:cs="Times New Roman"/>
          <w:i/>
          <w:iCs/>
          <w:sz w:val="24"/>
          <w:szCs w:val="24"/>
          <w:lang w:val="en-US"/>
        </w:rPr>
        <w:t>or</w:t>
      </w:r>
      <w:r w:rsidRPr="00C74F6F">
        <w:rPr>
          <w:rFonts w:ascii="Times New Roman" w:eastAsia="Times New Roman" w:hAnsi="Times New Roman" w:cs="Times New Roman"/>
          <w:sz w:val="24"/>
          <w:szCs w:val="24"/>
          <w:lang w:val="en-US"/>
        </w:rPr>
        <w:t xml:space="preserve"> a variety of other specified circumstances which made the victim particularly vulnerable or negated her ability to make an informed refusal; or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(iii) the sexual activity must occur without the consent of the victim.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178. In considering allegations of rape, the </w:t>
      </w:r>
      <w:r w:rsidRPr="00FB00FF">
        <w:rPr>
          <w:rFonts w:ascii="Times New Roman" w:eastAsia="Times New Roman" w:hAnsi="Times New Roman" w:cs="Times New Roman"/>
          <w:i/>
          <w:iCs/>
          <w:sz w:val="24"/>
          <w:szCs w:val="24"/>
          <w:lang w:val="en-US"/>
        </w:rPr>
        <w:t>Celebici</w:t>
      </w:r>
      <w:r w:rsidRPr="00FB00FF">
        <w:rPr>
          <w:rFonts w:ascii="Times New Roman" w:eastAsia="Times New Roman" w:hAnsi="Times New Roman" w:cs="Times New Roman"/>
          <w:sz w:val="24"/>
          <w:szCs w:val="24"/>
          <w:lang w:val="en-US"/>
        </w:rPr>
        <w:t xml:space="preserve"> Trial Chamber stressed that coercive conditions are inherent in situations of armed conflict. Further, the </w:t>
      </w:r>
      <w:r w:rsidRPr="00FB00FF">
        <w:rPr>
          <w:rFonts w:ascii="Times New Roman" w:eastAsia="Times New Roman" w:hAnsi="Times New Roman" w:cs="Times New Roman"/>
          <w:i/>
          <w:iCs/>
          <w:sz w:val="24"/>
          <w:szCs w:val="24"/>
          <w:lang w:val="en-US"/>
        </w:rPr>
        <w:t>Furundzija</w:t>
      </w:r>
      <w:r w:rsidRPr="00FB00FF">
        <w:rPr>
          <w:rFonts w:ascii="Times New Roman" w:eastAsia="Times New Roman" w:hAnsi="Times New Roman" w:cs="Times New Roman"/>
          <w:sz w:val="24"/>
          <w:szCs w:val="24"/>
          <w:lang w:val="en-US"/>
        </w:rPr>
        <w:t xml:space="preserve"> Trial Chamber emphasized that “any form of captivity vitiates consent.” This Trial Chamber endorses these holdings.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179. The </w:t>
      </w:r>
      <w:r w:rsidRPr="00FB00FF">
        <w:rPr>
          <w:rFonts w:ascii="Times New Roman" w:eastAsia="Times New Roman" w:hAnsi="Times New Roman" w:cs="Times New Roman"/>
          <w:i/>
          <w:iCs/>
          <w:sz w:val="24"/>
          <w:szCs w:val="24"/>
          <w:lang w:val="en-US"/>
        </w:rPr>
        <w:t>mens</w:t>
      </w:r>
      <w:r w:rsidRPr="00FB00FF">
        <w:rPr>
          <w:rFonts w:ascii="Times New Roman" w:eastAsia="Times New Roman" w:hAnsi="Times New Roman" w:cs="Times New Roman"/>
          <w:sz w:val="24"/>
          <w:szCs w:val="24"/>
          <w:lang w:val="en-US"/>
        </w:rPr>
        <w:t xml:space="preserve"> </w:t>
      </w:r>
      <w:r w:rsidRPr="00FB00FF">
        <w:rPr>
          <w:rFonts w:ascii="Times New Roman" w:eastAsia="Times New Roman" w:hAnsi="Times New Roman" w:cs="Times New Roman"/>
          <w:i/>
          <w:iCs/>
          <w:sz w:val="24"/>
          <w:szCs w:val="24"/>
          <w:lang w:val="en-US"/>
        </w:rPr>
        <w:t>rea</w:t>
      </w:r>
      <w:r w:rsidRPr="00FB00FF">
        <w:rPr>
          <w:rFonts w:ascii="Times New Roman" w:eastAsia="Times New Roman" w:hAnsi="Times New Roman" w:cs="Times New Roman"/>
          <w:sz w:val="24"/>
          <w:szCs w:val="24"/>
          <w:lang w:val="en-US"/>
        </w:rPr>
        <w:t xml:space="preserve"> of the crime of rape is the intent to effect a sexual penetration and the knowledge that it occurs without the consent of the victim.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180. The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Trial Chamber defined sexual violence as “any act of a sexual nature which is committed on a person under circumstances which are coercive.” Thus, sexual violence is broader than rape and includes such crimes as sexual slavery or molestation. Moreover, the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Trial Chamber emphasized that sexual violence need not necessarily involve physical contact and cited forced public nudity as an example.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181. The Amended Indictment charges sexual violence as one of the acts that may constitute persecution if the requisite intent is shown (count 1). In addition, rape as a crime against humanity is charged against Mladjo Radic for his assaults on specified victims (count 15).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182. The evidence establishes … that female detainees in Omarska camp were subjected to forced or coerced acts of sexual penetration, as well as other acts of a sexual nature committed under coercive or abusive circumstances.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183. The Trial Chamber is satisfied that rape and other forms of sexual violence falling within the meaning of Articles 3 and 5 (rape and persecution) of the [1993 ICTY] Statute were committed.</w:t>
      </w:r>
      <w:r>
        <w:rPr>
          <w:rFonts w:ascii="Times New Roman" w:eastAsia="Times New Roman" w:hAnsi="Times New Roman" w:cs="Times New Roman"/>
          <w:noProof/>
          <w:sz w:val="24"/>
          <w:szCs w:val="24"/>
        </w:rPr>
        <w:drawing>
          <wp:inline distT="0" distB="0" distL="0" distR="0">
            <wp:extent cx="151130" cy="142875"/>
            <wp:effectExtent l="19050" t="0" r="1270" b="0"/>
            <wp:docPr id="1620" name="Imagen 16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 xml:space="preserve">Stanković case </w:t>
      </w:r>
      <w:r w:rsidRPr="00FB00FF">
        <w:rPr>
          <w:rFonts w:ascii="Times New Roman" w:eastAsia="Times New Roman" w:hAnsi="Times New Roman" w:cs="Times New Roman"/>
          <w:sz w:val="24"/>
          <w:szCs w:val="24"/>
          <w:lang w:val="en-US"/>
        </w:rPr>
        <w:t>before the ICTY in 2003, Radovan Stanković, a member of a Bosnian Serb paramilitary unit based in Foča, was charged with crimes against humanity (enslavement and rape), punishable under Article 5 of the 1993 ICTY Statute, and violations of the laws or customs of war (rape and outrages upon personal dignity), punishable under Article 3 of the 1993 ICTY Statute.</w:t>
      </w:r>
      <w:r>
        <w:rPr>
          <w:rFonts w:ascii="Times New Roman" w:eastAsia="Times New Roman" w:hAnsi="Times New Roman" w:cs="Times New Roman"/>
          <w:noProof/>
          <w:sz w:val="24"/>
          <w:szCs w:val="24"/>
        </w:rPr>
        <w:drawing>
          <wp:inline distT="0" distB="0" distL="0" distR="0">
            <wp:extent cx="151130" cy="142875"/>
            <wp:effectExtent l="19050" t="0" r="1270" b="0"/>
            <wp:docPr id="1621" name="Imagen 16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The </w:t>
      </w:r>
      <w:r w:rsidRPr="00FB00FF">
        <w:rPr>
          <w:rFonts w:ascii="Times New Roman" w:eastAsia="Times New Roman" w:hAnsi="Times New Roman" w:cs="Times New Roman"/>
          <w:i/>
          <w:iCs/>
          <w:sz w:val="24"/>
          <w:szCs w:val="24"/>
          <w:lang w:val="en-US"/>
        </w:rPr>
        <w:t>Bralo</w:t>
      </w:r>
      <w:r w:rsidRPr="00FB00FF">
        <w:rPr>
          <w:rFonts w:ascii="Times New Roman" w:eastAsia="Times New Roman" w:hAnsi="Times New Roman" w:cs="Times New Roman"/>
          <w:sz w:val="24"/>
          <w:szCs w:val="24"/>
          <w:lang w:val="en-US"/>
        </w:rPr>
        <w:t xml:space="preserve"> </w:t>
      </w:r>
      <w:r w:rsidRPr="00FB00FF">
        <w:rPr>
          <w:rFonts w:ascii="Times New Roman" w:eastAsia="Times New Roman" w:hAnsi="Times New Roman" w:cs="Times New Roman"/>
          <w:i/>
          <w:iCs/>
          <w:sz w:val="24"/>
          <w:szCs w:val="24"/>
          <w:lang w:val="en-US"/>
        </w:rPr>
        <w:t xml:space="preserve">case </w:t>
      </w:r>
      <w:r w:rsidRPr="00FB00FF">
        <w:rPr>
          <w:rFonts w:ascii="Times New Roman" w:eastAsia="Times New Roman" w:hAnsi="Times New Roman" w:cs="Times New Roman"/>
          <w:sz w:val="24"/>
          <w:szCs w:val="24"/>
          <w:lang w:val="en-US"/>
        </w:rPr>
        <w:t xml:space="preserve">before the ICTY in 2005 dealt with crimes involving the multiple murder, rape, torture, unlawful confinement and inhumane treatment of Bosnian Muslim civilians in central Bosnia and Herzegovina between January and mid-July 1993. Following a plea agreement between the accused and the prosecution, Miroslav </w:t>
      </w:r>
      <w:r w:rsidRPr="00FB00FF">
        <w:rPr>
          <w:rFonts w:ascii="Times New Roman" w:eastAsia="Times New Roman" w:hAnsi="Times New Roman" w:cs="Times New Roman"/>
          <w:sz w:val="24"/>
          <w:szCs w:val="24"/>
          <w:lang w:val="en-US"/>
        </w:rPr>
        <w:lastRenderedPageBreak/>
        <w:t xml:space="preserve">Bralo, a former member of the Croatian Defence Council (HVO) armed forces,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violations of the laws or customs of war (outrages upon personal dignity including rape) for the repeated rape of a Muslim woman between 15 May 1993 and an unknown date in July 1993 – a crime involving both the accused and members of the accused’s military unit, the “Jokers”.</w:t>
      </w:r>
      <w:r>
        <w:rPr>
          <w:rFonts w:ascii="Times New Roman" w:eastAsia="Times New Roman" w:hAnsi="Times New Roman" w:cs="Times New Roman"/>
          <w:noProof/>
          <w:sz w:val="24"/>
          <w:szCs w:val="24"/>
        </w:rPr>
        <w:drawing>
          <wp:inline distT="0" distB="0" distL="0" distR="0">
            <wp:extent cx="151130" cy="142875"/>
            <wp:effectExtent l="19050" t="0" r="1270" b="0"/>
            <wp:docPr id="1622" name="Imagen 16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international humanitarian law, along with basic principles of humanity, require that individuals who are detained during an armed conflict must be treated humanely, and that the rape and torture of a woman in this context is a most heinous crime requiring unequivocal condemnation.</w:t>
      </w:r>
      <w:r>
        <w:rPr>
          <w:rFonts w:ascii="Times New Roman" w:eastAsia="Times New Roman" w:hAnsi="Times New Roman" w:cs="Times New Roman"/>
          <w:noProof/>
          <w:sz w:val="24"/>
          <w:szCs w:val="24"/>
        </w:rPr>
        <w:drawing>
          <wp:inline distT="0" distB="0" distL="0" distR="0">
            <wp:extent cx="151130" cy="142875"/>
            <wp:effectExtent l="19050" t="0" r="1270" b="0"/>
            <wp:docPr id="1623" name="Imagen 16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 xml:space="preserve">Delić case </w:t>
      </w:r>
      <w:r w:rsidRPr="00FB00FF">
        <w:rPr>
          <w:rFonts w:ascii="Times New Roman" w:eastAsia="Times New Roman" w:hAnsi="Times New Roman" w:cs="Times New Roman"/>
          <w:sz w:val="24"/>
          <w:szCs w:val="24"/>
          <w:lang w:val="en-US"/>
        </w:rPr>
        <w:t>before the ICTY in 2006, the accused, a former commander of the Army of the Republic of Bosnia and Herzegovina (ARBiH), was charged with murder, cruel treatment and rape as violations of the laws or customs of war pursuant to Articles 3 and 7(3) of the 1993 ICTY Statute.</w:t>
      </w:r>
      <w:r>
        <w:rPr>
          <w:rFonts w:ascii="Times New Roman" w:eastAsia="Times New Roman" w:hAnsi="Times New Roman" w:cs="Times New Roman"/>
          <w:noProof/>
          <w:sz w:val="24"/>
          <w:szCs w:val="24"/>
        </w:rPr>
        <w:drawing>
          <wp:inline distT="0" distB="0" distL="0" distR="0">
            <wp:extent cx="151130" cy="142875"/>
            <wp:effectExtent l="19050" t="0" r="1270" b="0"/>
            <wp:docPr id="1624" name="Imagen 16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its sentencing judgment in the </w:t>
      </w:r>
      <w:r w:rsidRPr="00FB00FF">
        <w:rPr>
          <w:rFonts w:ascii="Times New Roman" w:eastAsia="Times New Roman" w:hAnsi="Times New Roman" w:cs="Times New Roman"/>
          <w:i/>
          <w:iCs/>
          <w:sz w:val="24"/>
          <w:szCs w:val="24"/>
          <w:lang w:val="en-US"/>
        </w:rPr>
        <w:t xml:space="preserve">Zelenović case </w:t>
      </w:r>
      <w:r w:rsidRPr="00FB00FF">
        <w:rPr>
          <w:rFonts w:ascii="Times New Roman" w:eastAsia="Times New Roman" w:hAnsi="Times New Roman" w:cs="Times New Roman"/>
          <w:sz w:val="24"/>
          <w:szCs w:val="24"/>
          <w:lang w:val="en-US"/>
        </w:rPr>
        <w:t>in 2007, the ICTY Trial Chamber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Rape requires a sexual penetration of the vagina or anus of the victim by the penis of the perpetrator or any other object used by the perpetrator, or of the mouth of the victim by the penis of the perpetrator, where such penetration occurs without the consent of the victim. The violation of the moral and physical integrity of the victims makes rape a particularly serious crime. Rape is an inherently humiliating offence, and humiliation is generally taken into account when assessing the gravity of a crime.</w:t>
      </w:r>
      <w:r>
        <w:rPr>
          <w:rFonts w:ascii="Times New Roman" w:eastAsia="Times New Roman" w:hAnsi="Times New Roman" w:cs="Times New Roman"/>
          <w:noProof/>
          <w:sz w:val="24"/>
          <w:szCs w:val="24"/>
        </w:rPr>
        <w:drawing>
          <wp:inline distT="0" distB="0" distL="0" distR="0">
            <wp:extent cx="151130" cy="142875"/>
            <wp:effectExtent l="19050" t="0" r="1270" b="0"/>
            <wp:docPr id="1625" name="Imagen 16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Haradinaj case</w:t>
      </w:r>
      <w:r w:rsidRPr="00FB00FF">
        <w:rPr>
          <w:rFonts w:ascii="Times New Roman" w:eastAsia="Times New Roman" w:hAnsi="Times New Roman" w:cs="Times New Roman"/>
          <w:sz w:val="24"/>
          <w:szCs w:val="24"/>
          <w:lang w:val="en-US"/>
        </w:rPr>
        <w:t xml:space="preserve"> before the ICTY in 2007, the accused, Ramush Haradinaj, commander of the Kosovo Liberation Army (KLA) in the Dukagjin Operational Zone, Idriz Balaj, commander of a KLA special unit operating in the Dukagjin Operational Zone, and Lahi Brahimaj, deputy commander of the Dukagjin Operative Staff, were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with rape for their alleged roles in acts committed in Kosovo in 1998.</w:t>
      </w:r>
      <w:r>
        <w:rPr>
          <w:rFonts w:ascii="Times New Roman" w:eastAsia="Times New Roman" w:hAnsi="Times New Roman" w:cs="Times New Roman"/>
          <w:noProof/>
          <w:sz w:val="24"/>
          <w:szCs w:val="24"/>
        </w:rPr>
        <w:drawing>
          <wp:inline distT="0" distB="0" distL="0" distR="0">
            <wp:extent cx="151130" cy="142875"/>
            <wp:effectExtent l="19050" t="0" r="1270" b="0"/>
            <wp:docPr id="1626" name="Imagen 16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International Criminal Tribunal for the former Yugoslavia</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In the Milutinović case, the accused were charged with violations of the laws or customs of war and crimes against humanity as members of a joint criminal enterprise to, amongst other things, modify the ethnic balance in Kosovo to ensure Serbian control of the province through a campaign of terror and violence directed at the Kosovo Albanian population. In its judgment in 2009, the ICTY Trial Chamber set out the elements of the crime of sexual assault, distinct from the crime of rape. The Trial Chamber then considered the possible categorization of rape as one form of sexual assault. The Trial Chamber stated:</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183. [A]lthough it is apparent from the jurisprudence of the Tribunal that both rape and sexual assault are punishable under the [1993 ICTY] Statute, it is less clear whether “sexual assault” as used in those judgements is a term of art referring to a sexual offence that is short of rape, or whether it is a general term that encompasses the offence of rape. In the present case, the Chamber will interpret count 5 as charging the form of persecution termed “sexual assault” as an offence that may include rape where there is evidence of sexual penetration, as well as other forms of sexual assault, the elements of which are discussed below.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184. Although the Statute does not list “sexual assault” as a crime falling within the ambit of Articles 2, 3, 4, or 5, a number of authorities establish the jurisdiction of the Tribunal over sexual assault offences. Firstly, it is clear from the report produced by the [UN] Secretary-General in 1993, entitled “Rape and Abuse of Women in the Territory of the Former Yugoslavia”, which makes several references to sexual assaults, that it was intended for the Tribunal to have jurisdiction in relation to sexual offences beyond </w:t>
      </w:r>
      <w:r w:rsidRPr="00FB00FF">
        <w:rPr>
          <w:rFonts w:ascii="Times New Roman" w:eastAsia="Times New Roman" w:hAnsi="Times New Roman" w:cs="Times New Roman"/>
          <w:sz w:val="24"/>
          <w:szCs w:val="24"/>
          <w:lang w:val="en-US"/>
        </w:rPr>
        <w:lastRenderedPageBreak/>
        <w:t>rape. Furthermore, Annex II of the Final Report of the Commission of Experts set up by [UN] Security Council Resolution 780 (1992) comprised a legal study of rape and sexual assault: this Annex expressly provided that sexual assaults other than rape, such as “enforced prostitution and painful circumcision”, are “considered to be crimes of a very serious nature with a wide range of severe effects on the victim”.</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185. The Tribunal’s Rules [of Procedure and Evidence] include specific provisions for dealing with victims of sexual assault, such as Rule 34, which reiterates the importance of meeting the needs of victims of and witnesses to this offence. Rule 96 in turn relates specifically to evidence in cases of sexual assault and affirms the Tribunal’s intent to prosecute not only rapes, but also other types of sexual assault.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186. An express confirmation of the Tribunal’s jurisdiction over sexual assault as an offence distinct from rape is found in the </w:t>
      </w:r>
      <w:r w:rsidRPr="00FB00FF">
        <w:rPr>
          <w:rFonts w:ascii="Times New Roman" w:eastAsia="Times New Roman" w:hAnsi="Times New Roman" w:cs="Times New Roman"/>
          <w:i/>
          <w:iCs/>
          <w:sz w:val="24"/>
          <w:szCs w:val="24"/>
          <w:lang w:val="en-US"/>
        </w:rPr>
        <w:t>Furundžija</w:t>
      </w:r>
      <w:r w:rsidRPr="00FB00FF">
        <w:rPr>
          <w:rFonts w:ascii="Times New Roman" w:eastAsia="Times New Roman" w:hAnsi="Times New Roman" w:cs="Times New Roman"/>
          <w:sz w:val="24"/>
          <w:szCs w:val="24"/>
          <w:lang w:val="en-US"/>
        </w:rPr>
        <w:t xml:space="preserve"> Judgement, which states that “international criminal rules punish not only rape but also any serious sexual assault falling short of actual penetration.” [</w:t>
      </w:r>
      <w:r w:rsidRPr="00FB00FF">
        <w:rPr>
          <w:rFonts w:ascii="Times New Roman" w:eastAsia="Times New Roman" w:hAnsi="Times New Roman" w:cs="Times New Roman"/>
          <w:i/>
          <w:iCs/>
          <w:sz w:val="24"/>
          <w:szCs w:val="24"/>
          <w:lang w:val="en-US"/>
        </w:rPr>
        <w:t>Furundžija case</w:t>
      </w:r>
      <w:r w:rsidRPr="00FB00FF">
        <w:rPr>
          <w:rFonts w:ascii="Times New Roman" w:eastAsia="Times New Roman" w:hAnsi="Times New Roman" w:cs="Times New Roman"/>
          <w:sz w:val="24"/>
          <w:szCs w:val="24"/>
          <w:lang w:val="en-US"/>
        </w:rPr>
        <w:t xml:space="preserve">, Judgement, § 186] A similar statement is found in the </w:t>
      </w:r>
      <w:r w:rsidRPr="00FB00FF">
        <w:rPr>
          <w:rFonts w:ascii="Times New Roman" w:eastAsia="Times New Roman" w:hAnsi="Times New Roman" w:cs="Times New Roman"/>
          <w:i/>
          <w:iCs/>
          <w:sz w:val="24"/>
          <w:szCs w:val="24"/>
          <w:lang w:val="en-US"/>
        </w:rPr>
        <w:t>Stakić</w:t>
      </w:r>
      <w:r w:rsidRPr="00FB00FF">
        <w:rPr>
          <w:rFonts w:ascii="Times New Roman" w:eastAsia="Times New Roman" w:hAnsi="Times New Roman" w:cs="Times New Roman"/>
          <w:sz w:val="24"/>
          <w:szCs w:val="24"/>
          <w:lang w:val="en-US"/>
        </w:rPr>
        <w:t xml:space="preserve"> Trial Judgement. These decisions do not, however, set out explicitly the </w:t>
      </w:r>
      <w:r w:rsidRPr="00FB00FF">
        <w:rPr>
          <w:rFonts w:ascii="Times New Roman" w:eastAsia="Times New Roman" w:hAnsi="Times New Roman" w:cs="Times New Roman"/>
          <w:i/>
          <w:iCs/>
          <w:sz w:val="24"/>
          <w:szCs w:val="24"/>
          <w:lang w:val="en-US"/>
        </w:rPr>
        <w:t>actus reus</w:t>
      </w:r>
      <w:r w:rsidRPr="00FB00FF">
        <w:rPr>
          <w:rFonts w:ascii="Times New Roman" w:eastAsia="Times New Roman" w:hAnsi="Times New Roman" w:cs="Times New Roman"/>
          <w:sz w:val="24"/>
          <w:szCs w:val="24"/>
          <w:lang w:val="en-US"/>
        </w:rPr>
        <w:t xml:space="preserve"> and </w:t>
      </w:r>
      <w:r w:rsidRPr="00FB00FF">
        <w:rPr>
          <w:rFonts w:ascii="Times New Roman" w:eastAsia="Times New Roman" w:hAnsi="Times New Roman" w:cs="Times New Roman"/>
          <w:i/>
          <w:iCs/>
          <w:sz w:val="24"/>
          <w:szCs w:val="24"/>
          <w:lang w:val="en-US"/>
        </w:rPr>
        <w:t>mens rea</w:t>
      </w:r>
      <w:r w:rsidRPr="00FB00FF">
        <w:rPr>
          <w:rFonts w:ascii="Times New Roman" w:eastAsia="Times New Roman" w:hAnsi="Times New Roman" w:cs="Times New Roman"/>
          <w:sz w:val="24"/>
          <w:szCs w:val="24"/>
          <w:lang w:val="en-US"/>
        </w:rPr>
        <w:t xml:space="preserve"> of “sexual assault”, nor clarify which of the categories of crimes laid out in the Tribunal’s Statute encompass it.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187. As noted above, in order to constitute persecution, the Trial Chamber must find that “sexual assault” entails the denial or infringement of a fundamental right, and is of equal gravity to the other offences listed in Article 5 of the Statute. However, as a form of persecution, it need not be demonstrated that “sexual assault” itself constituted a crime under international law at the time of commission of the relevant acts.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(A) Denial or infringement of a fundamental right</w:t>
      </w:r>
      <w:r w:rsidRPr="00C74F6F">
        <w:rPr>
          <w:rFonts w:ascii="Times New Roman" w:eastAsia="Times New Roman" w:hAnsi="Times New Roman" w:cs="Times New Roman"/>
          <w:i/>
          <w:iCs/>
          <w:sz w:val="24"/>
          <w:szCs w:val="24"/>
          <w:lang w:val="en-US"/>
        </w:rPr>
        <w:br/>
      </w:r>
      <w:r w:rsidRPr="00FB00FF">
        <w:rPr>
          <w:rFonts w:ascii="Times New Roman" w:eastAsia="Times New Roman" w:hAnsi="Times New Roman" w:cs="Times New Roman"/>
          <w:sz w:val="24"/>
          <w:szCs w:val="24"/>
          <w:lang w:val="en-US"/>
        </w:rPr>
        <w:t>188. The term “sexual assault” is not explicitly used in any international human rights treaty. The [1979] Convention on the Elimination of All Forms of Discrimination Against Women [CEDAW] does not mention sexual assault, although it makes reference to the prohibition on “exploitation of prostitution”. The right not to be sexually assaulted has, however, been subsumed under more general fundamental rights relating to physical integrity.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189. A number of Tribunal and ICTR judgements indicate that sexual assault may also be considered as a form of torture or cruel, inhuman, or degrading treatment. This view is consistent with the finding of the Commission of Experts that, under international humanitarian law, rape and other forms of sexual assault can be categorised as “‘torture or … other form of inhuman or degrading treatment’, ‘wilfully causing great suffering’ or other terms of such a nature”.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190. In addition, a number of judgements support the view that sexual assault may constitute an offence that amounts to an “inhumane act” or “outrage upon personal dignity”. The ICTR explicitly held in the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case that “[s]exual violence is not limited to physical invasion of the human body and may include acts which do not involve penetration or even physical contact” including forced nudity.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xml:space="preserve">, Judgement, § 688] The Judgement further found that forced nudity constituted an inhumane act, and convicted the accused for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inhumane acts as a crime against humanity.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191. In </w:t>
      </w:r>
      <w:r w:rsidRPr="00FB00FF">
        <w:rPr>
          <w:rFonts w:ascii="Times New Roman" w:eastAsia="Times New Roman" w:hAnsi="Times New Roman" w:cs="Times New Roman"/>
          <w:i/>
          <w:iCs/>
          <w:sz w:val="24"/>
          <w:szCs w:val="24"/>
          <w:lang w:val="en-US"/>
        </w:rPr>
        <w:t>Tadić</w:t>
      </w:r>
      <w:r w:rsidRPr="00FB00FF">
        <w:rPr>
          <w:rFonts w:ascii="Times New Roman" w:eastAsia="Times New Roman" w:hAnsi="Times New Roman" w:cs="Times New Roman"/>
          <w:sz w:val="24"/>
          <w:szCs w:val="24"/>
          <w:lang w:val="en-US"/>
        </w:rPr>
        <w:t xml:space="preserve">, the Trial Chamber concluded that mutilation of a sexual nature, as well as other types of severe bodily harm, constitutes “inhumane acts” that cause “injury to a human being in terms of physical or mental integrity, health or human dignity”, and the </w:t>
      </w:r>
      <w:r w:rsidRPr="00FB00FF">
        <w:rPr>
          <w:rFonts w:ascii="Times New Roman" w:eastAsia="Times New Roman" w:hAnsi="Times New Roman" w:cs="Times New Roman"/>
          <w:i/>
          <w:iCs/>
          <w:sz w:val="24"/>
          <w:szCs w:val="24"/>
          <w:lang w:val="en-US"/>
        </w:rPr>
        <w:t>Čelebići</w:t>
      </w:r>
      <w:r w:rsidRPr="00FB00FF">
        <w:rPr>
          <w:rFonts w:ascii="Times New Roman" w:eastAsia="Times New Roman" w:hAnsi="Times New Roman" w:cs="Times New Roman"/>
          <w:sz w:val="24"/>
          <w:szCs w:val="24"/>
          <w:lang w:val="en-US"/>
        </w:rPr>
        <w:t xml:space="preserve"> Judgement highlighted that sexual violence constitutes a violation of “the inherent dignity and the right to physical integrity of the human being”. [</w:t>
      </w:r>
      <w:r w:rsidRPr="00FB00FF">
        <w:rPr>
          <w:rFonts w:ascii="Times New Roman" w:eastAsia="Times New Roman" w:hAnsi="Times New Roman" w:cs="Times New Roman"/>
          <w:i/>
          <w:iCs/>
          <w:sz w:val="24"/>
          <w:szCs w:val="24"/>
          <w:lang w:val="en-US"/>
        </w:rPr>
        <w:t>Čelebići case</w:t>
      </w:r>
      <w:r w:rsidRPr="00FB00FF">
        <w:rPr>
          <w:rFonts w:ascii="Times New Roman" w:eastAsia="Times New Roman" w:hAnsi="Times New Roman" w:cs="Times New Roman"/>
          <w:sz w:val="24"/>
          <w:szCs w:val="24"/>
          <w:lang w:val="en-US"/>
        </w:rPr>
        <w:t>, Judgement, § 491]</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192. This Trial Chamber concludes therefore that “sexual assault” falls within various </w:t>
      </w:r>
      <w:r w:rsidRPr="00FB00FF">
        <w:rPr>
          <w:rFonts w:ascii="Times New Roman" w:eastAsia="Times New Roman" w:hAnsi="Times New Roman" w:cs="Times New Roman"/>
          <w:sz w:val="24"/>
          <w:szCs w:val="24"/>
          <w:lang w:val="en-US"/>
        </w:rPr>
        <w:lastRenderedPageBreak/>
        <w:t xml:space="preserve">provisions safeguarding physical integrity, and, as was expressly mentioned in </w:t>
      </w:r>
      <w:r w:rsidRPr="00FB00FF">
        <w:rPr>
          <w:rFonts w:ascii="Times New Roman" w:eastAsia="Times New Roman" w:hAnsi="Times New Roman" w:cs="Times New Roman"/>
          <w:i/>
          <w:iCs/>
          <w:sz w:val="24"/>
          <w:szCs w:val="24"/>
          <w:lang w:val="en-US"/>
        </w:rPr>
        <w:t>Furundžija</w:t>
      </w:r>
      <w:r w:rsidRPr="00FB00FF">
        <w:rPr>
          <w:rFonts w:ascii="Times New Roman" w:eastAsia="Times New Roman" w:hAnsi="Times New Roman" w:cs="Times New Roman"/>
          <w:sz w:val="24"/>
          <w:szCs w:val="24"/>
          <w:lang w:val="en-US"/>
        </w:rPr>
        <w:t>, “[t]he right to physical integrity is a fundamental one, and is undeniably part of customary international law.” [</w:t>
      </w:r>
      <w:r w:rsidRPr="00FB00FF">
        <w:rPr>
          <w:rFonts w:ascii="Times New Roman" w:eastAsia="Times New Roman" w:hAnsi="Times New Roman" w:cs="Times New Roman"/>
          <w:i/>
          <w:iCs/>
          <w:sz w:val="24"/>
          <w:szCs w:val="24"/>
          <w:lang w:val="en-US"/>
        </w:rPr>
        <w:t>Furundžija case</w:t>
      </w:r>
      <w:r w:rsidRPr="00FB00FF">
        <w:rPr>
          <w:rFonts w:ascii="Times New Roman" w:eastAsia="Times New Roman" w:hAnsi="Times New Roman" w:cs="Times New Roman"/>
          <w:sz w:val="24"/>
          <w:szCs w:val="24"/>
          <w:lang w:val="en-US"/>
        </w:rPr>
        <w:t>, Judgement, § 170] The offence in question may also constitute an “outrage upon personal dignity”, a violation of a fundamental right.</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 xml:space="preserve">(B) Equal gravity requirement </w:t>
      </w:r>
      <w:r w:rsidRPr="00C74F6F">
        <w:rPr>
          <w:rFonts w:ascii="Times New Roman" w:eastAsia="Times New Roman" w:hAnsi="Times New Roman" w:cs="Times New Roman"/>
          <w:i/>
          <w:iCs/>
          <w:sz w:val="24"/>
          <w:szCs w:val="24"/>
          <w:lang w:val="en-US"/>
        </w:rPr>
        <w:br/>
      </w:r>
      <w:r w:rsidRPr="00FB00FF">
        <w:rPr>
          <w:rFonts w:ascii="Times New Roman" w:eastAsia="Times New Roman" w:hAnsi="Times New Roman" w:cs="Times New Roman"/>
          <w:sz w:val="24"/>
          <w:szCs w:val="24"/>
          <w:lang w:val="en-US"/>
        </w:rPr>
        <w:t xml:space="preserve">193. Having been classified as falling within crimes such as “torture” and “inhumane acts”, among others, sexual assault offences may reach the requirement of gravity equal to that of other crimes against humanity enumerated in Article 5 of the Statute, particularly since both “torture” and “inhumane acts” are expressly listed as underlying offences within the ambit of Article 5. The Chamber therefore concludes that “sexual assault” is a form of persecution and thus is punishable as a crime against humanity, so long as the equal gravity requirement is satisfied. In reaching its conclusions concerning the elements of “sexual assault” below, the Chamber has throughout been mindful of the equal gravity requirement that qualifies the offence as a form of persecution.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i/>
          <w:iCs/>
          <w:sz w:val="24"/>
          <w:szCs w:val="24"/>
          <w:lang w:val="en-US"/>
        </w:rPr>
        <w:t>(C) Elements</w:t>
      </w:r>
      <w:r w:rsidRPr="00C74F6F">
        <w:rPr>
          <w:rFonts w:ascii="Times New Roman" w:eastAsia="Times New Roman" w:hAnsi="Times New Roman" w:cs="Times New Roman"/>
          <w:i/>
          <w:iCs/>
          <w:sz w:val="24"/>
          <w:szCs w:val="24"/>
          <w:lang w:val="en-US"/>
        </w:rPr>
        <w:br/>
      </w:r>
      <w:r w:rsidRPr="00FB00FF">
        <w:rPr>
          <w:rFonts w:ascii="Times New Roman" w:eastAsia="Times New Roman" w:hAnsi="Times New Roman" w:cs="Times New Roman"/>
          <w:sz w:val="24"/>
          <w:szCs w:val="24"/>
          <w:lang w:val="en-US"/>
        </w:rPr>
        <w:t xml:space="preserve">194. Having established that “sexual assault” fulfils the criteria for consideration as a form of persecution, the elements of the offence that are here applied must now be clarified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195. As noted above, the ICTR explicitly held in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that “[s]exual violence is not limited to physical invasion of the human body and may include acts which do not involve penetration or even physical contact” including forced nudity.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xml:space="preserve">, Judgement, § 688] In </w:t>
      </w:r>
      <w:r w:rsidRPr="00FB00FF">
        <w:rPr>
          <w:rFonts w:ascii="Times New Roman" w:eastAsia="Times New Roman" w:hAnsi="Times New Roman" w:cs="Times New Roman"/>
          <w:i/>
          <w:iCs/>
          <w:sz w:val="24"/>
          <w:szCs w:val="24"/>
          <w:lang w:val="en-US"/>
        </w:rPr>
        <w:t>Brđanin</w:t>
      </w:r>
      <w:r w:rsidRPr="00FB00FF">
        <w:rPr>
          <w:rFonts w:ascii="Times New Roman" w:eastAsia="Times New Roman" w:hAnsi="Times New Roman" w:cs="Times New Roman"/>
          <w:sz w:val="24"/>
          <w:szCs w:val="24"/>
          <w:lang w:val="en-US"/>
        </w:rPr>
        <w:t>, the Trial Chamber found that the offence of sexual assault “embraces all serious abuses of a sexual nature inflicted upon the integrity of a person by means of coercion, threat of force or intimidation in a way that is humiliating and degrading to the victim’s dignity.” [</w:t>
      </w:r>
      <w:r w:rsidRPr="00FB00FF">
        <w:rPr>
          <w:rFonts w:ascii="Times New Roman" w:eastAsia="Times New Roman" w:hAnsi="Times New Roman" w:cs="Times New Roman"/>
          <w:i/>
          <w:iCs/>
          <w:sz w:val="24"/>
          <w:szCs w:val="24"/>
          <w:lang w:val="en-US"/>
        </w:rPr>
        <w:t>Brđanin case</w:t>
      </w:r>
      <w:r w:rsidRPr="00FB00FF">
        <w:rPr>
          <w:rFonts w:ascii="Times New Roman" w:eastAsia="Times New Roman" w:hAnsi="Times New Roman" w:cs="Times New Roman"/>
          <w:sz w:val="24"/>
          <w:szCs w:val="24"/>
          <w:lang w:val="en-US"/>
        </w:rPr>
        <w:t>, Judgement, § 1012]</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196. These cases provide some indication of the types of conduct short of sexual penetration that may be considered to constitute “sexual assault”, rather than the narrower offence of rape, which does require such penetration. However, no international treaty sets out the elements of sexual assault as an offence recognised by international law. Similarly, the elements of sexual assault in customary international law have never been elaborated.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197. Analysis of the situation in a number of common law and civil law jurisdictions leads to the conclusion that, while the majority do not have a codified, elements-based definition of the term “sexual assault”, they do generally have provisions on the prosecution and punishment of offences similar to sexual assault. These domestic systems often provide for a range of different types of offences that could be considered to fall within the more general category of sexual assault that is here under discussion.</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198. Overall, analysis of domestic approaches to sexual assault offences shows some common elements. Generally, it is required that sexual assault be committed through the exercise of violence, force, constraint or other form of coercion on the victim. Threat to use violence against the victim or, in some cases, against a third person, can also be sufficient. However, a number of jurisdictions place the emphasis upon absence of the victim’s consent rather than highlighting the use of violence or threats by the perpetrator. However, the Chamber observes that the apparent disparity in approach is of a formal nature only. As stated above, the Trial Chamber in </w:t>
      </w:r>
      <w:r w:rsidRPr="00FB00FF">
        <w:rPr>
          <w:rFonts w:ascii="Times New Roman" w:eastAsia="Times New Roman" w:hAnsi="Times New Roman" w:cs="Times New Roman"/>
          <w:i/>
          <w:iCs/>
          <w:sz w:val="24"/>
          <w:szCs w:val="24"/>
          <w:lang w:val="en-US"/>
        </w:rPr>
        <w:t>Brđanin</w:t>
      </w:r>
      <w:r w:rsidRPr="00FB00FF">
        <w:rPr>
          <w:rFonts w:ascii="Times New Roman" w:eastAsia="Times New Roman" w:hAnsi="Times New Roman" w:cs="Times New Roman"/>
          <w:sz w:val="24"/>
          <w:szCs w:val="24"/>
          <w:lang w:val="en-US"/>
        </w:rPr>
        <w:t xml:space="preserve"> found that for a finding of the offence of sexual assault, a person must be subjected to “coercion, threat of force, or intimidation”. In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the ICTR embraced a broad understanding of coercion, holding that it may be evidenced by “[t]hreats, intimidation, extortion and other forms of duress which prey on fear or desperation” as well as be inherent “in </w:t>
      </w:r>
      <w:r w:rsidRPr="00FB00FF">
        <w:rPr>
          <w:rFonts w:ascii="Times New Roman" w:eastAsia="Times New Roman" w:hAnsi="Times New Roman" w:cs="Times New Roman"/>
          <w:sz w:val="24"/>
          <w:szCs w:val="24"/>
          <w:lang w:val="en-US"/>
        </w:rPr>
        <w:lastRenderedPageBreak/>
        <w:t>certain circumstances, such as armed conflict”.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Judgement, § 688] In this light, when a victim performed an act without giving genuine consent to the same, the necessary implication is that that person had been coerced to do so. Therefore, in this respect, domestic solutions are consonant with the existing international jurisprudence.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199. The Statute and jurisprudence of the Tribunal only contain rape and sexual assault, rather than other categories of offences of a sexual nature. The Trial Chamber is, therefore, of the view that a broad approach to the requisite elements is appropriate, so long as the equal gravity requirement for its characterisation as a form of persecution is taken account of. Thus, the Chamber considers that “sexual assault” may be committed in situations where there is no physical contact between the perpetrator and the victim, if the actions of the perpetrator nonetheless serve to humiliate and degrade the victim in a sexual manner. Indeed, limiting the elements of sexual assault to non-consensual touching would contradict existing jurisprudence such as in the case of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where it was held that “[s]exual violence is not limited to physical invasion of the human body and may include acts which do not involve penetration or even physical contact” including forced nudity. [</w:t>
      </w:r>
      <w:r w:rsidRPr="00FB00FF">
        <w:rPr>
          <w:rFonts w:ascii="Times New Roman" w:eastAsia="Times New Roman" w:hAnsi="Times New Roman" w:cs="Times New Roman"/>
          <w:i/>
          <w:iCs/>
          <w:sz w:val="24"/>
          <w:szCs w:val="24"/>
          <w:lang w:val="en-US"/>
        </w:rPr>
        <w:t>Akayesu case</w:t>
      </w:r>
      <w:r w:rsidRPr="00FB00FF">
        <w:rPr>
          <w:rFonts w:ascii="Times New Roman" w:eastAsia="Times New Roman" w:hAnsi="Times New Roman" w:cs="Times New Roman"/>
          <w:sz w:val="24"/>
          <w:szCs w:val="24"/>
          <w:lang w:val="en-US"/>
        </w:rPr>
        <w:t>, Judgement, § 688] Furthermore, the Chamber considers that it would be inappropriate to place emphasis on the sexual gratification of the perpetrator in defining the elements of “sexual assault”. In the context of an armed conflict, the sexual humiliation and degradation of the victim is a more pertinent factor than the gratification of the perpetrator, and it is this element that provides specificity to the offence.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200. Any form of coercion, including acts or threats of violence, detention, and generally oppressive surrounding circumstances, is simply evidence that goes to proof of lack of consent. In addition, the Trial Chamber is of the view that when a person is detained, particularly during an armed conflict, coercion and lack of consent can be inferred from these circumstances. In this regard, the force required for a sexual assault is only that which is necessary to perform the act of a sexual nature, and actual coercion is not a required element.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201. The Chamber therefore finds that, in addition to the general requirements of crimes against humanity, and the specific requirements of persecutions, the Prosecution must prove that the following elements have been satisfied beyond a reasonable doubt, in order to establish that the underlying offence of sexual assault as a form of persecution, as a crime against humanity, has been committed: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 The physical perpetrator commits an act of a sexual nature on another, including requiring that person to perform such an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 That act infringes the victims’ physical integrity or amounts to an outrage to the victim’s personal dignity.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 The victim does not consent to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(d) The physical perpetrator intentionally commits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 The physical perpetrator is aware that the act occurred without the consent of the victim.</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i/>
          <w:iCs/>
          <w:sz w:val="24"/>
          <w:szCs w:val="24"/>
          <w:lang w:val="en-US"/>
        </w:rPr>
        <w:t>(D) Rape as a type of sexual assault</w:t>
      </w:r>
      <w:r w:rsidRPr="00C74F6F">
        <w:rPr>
          <w:rFonts w:ascii="Times New Roman" w:eastAsia="Times New Roman" w:hAnsi="Times New Roman" w:cs="Times New Roman"/>
          <w:i/>
          <w:iCs/>
          <w:sz w:val="24"/>
          <w:szCs w:val="24"/>
          <w:lang w:val="en-US"/>
        </w:rPr>
        <w:br/>
      </w:r>
      <w:r w:rsidRPr="00FB00FF">
        <w:rPr>
          <w:rFonts w:ascii="Times New Roman" w:eastAsia="Times New Roman" w:hAnsi="Times New Roman" w:cs="Times New Roman"/>
          <w:sz w:val="24"/>
          <w:szCs w:val="24"/>
          <w:lang w:val="en-US"/>
        </w:rPr>
        <w:t>202. As noted above, the Trial Chamber considers that rape may be considered as a specific type of sexual assault offence, and evidence of rape may, therefore, be considered as evidence supporting charges of sexual assault as a form of persecution. … This Trial Chamber considers rape to be evidence of sexual assault, as a form of persecution, as a crime against humanity.</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203. In this respect, the Chamber recalls that, after extensive reviews of the law pertaining to rape in international instruments and national jurisdictions, the </w:t>
      </w:r>
      <w:r w:rsidRPr="00FB00FF">
        <w:rPr>
          <w:rFonts w:ascii="Times New Roman" w:eastAsia="Times New Roman" w:hAnsi="Times New Roman" w:cs="Times New Roman"/>
          <w:i/>
          <w:iCs/>
          <w:sz w:val="24"/>
          <w:szCs w:val="24"/>
          <w:lang w:val="en-US"/>
        </w:rPr>
        <w:t>Furundžija</w:t>
      </w:r>
      <w:r w:rsidRPr="00FB00FF">
        <w:rPr>
          <w:rFonts w:ascii="Times New Roman" w:eastAsia="Times New Roman" w:hAnsi="Times New Roman" w:cs="Times New Roman"/>
          <w:sz w:val="24"/>
          <w:szCs w:val="24"/>
          <w:lang w:val="en-US"/>
        </w:rPr>
        <w:t xml:space="preserve"> </w:t>
      </w:r>
      <w:r w:rsidRPr="00FB00FF">
        <w:rPr>
          <w:rFonts w:ascii="Times New Roman" w:eastAsia="Times New Roman" w:hAnsi="Times New Roman" w:cs="Times New Roman"/>
          <w:sz w:val="24"/>
          <w:szCs w:val="24"/>
          <w:lang w:val="en-US"/>
        </w:rPr>
        <w:lastRenderedPageBreak/>
        <w:t xml:space="preserve">and </w:t>
      </w:r>
      <w:r w:rsidRPr="00FB00FF">
        <w:rPr>
          <w:rFonts w:ascii="Times New Roman" w:eastAsia="Times New Roman" w:hAnsi="Times New Roman" w:cs="Times New Roman"/>
          <w:i/>
          <w:iCs/>
          <w:sz w:val="24"/>
          <w:szCs w:val="24"/>
          <w:lang w:val="en-US"/>
        </w:rPr>
        <w:t>Kunarac et al</w:t>
      </w:r>
      <w:r w:rsidRPr="00FB00FF">
        <w:rPr>
          <w:rFonts w:ascii="Times New Roman" w:eastAsia="Times New Roman" w:hAnsi="Times New Roman" w:cs="Times New Roman"/>
          <w:sz w:val="24"/>
          <w:szCs w:val="24"/>
          <w:lang w:val="en-US"/>
        </w:rPr>
        <w:t>. Trial Chambers articulated the following definition of rape in international law:</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[T]he </w:t>
      </w:r>
      <w:r w:rsidRPr="00C74F6F">
        <w:rPr>
          <w:rFonts w:ascii="Times New Roman" w:eastAsia="Times New Roman" w:hAnsi="Times New Roman" w:cs="Times New Roman"/>
          <w:i/>
          <w:iCs/>
          <w:sz w:val="24"/>
          <w:szCs w:val="24"/>
          <w:lang w:val="en-US"/>
        </w:rPr>
        <w:t>actus reus</w:t>
      </w:r>
      <w:r w:rsidRPr="00C74F6F">
        <w:rPr>
          <w:rFonts w:ascii="Times New Roman" w:eastAsia="Times New Roman" w:hAnsi="Times New Roman" w:cs="Times New Roman"/>
          <w:sz w:val="24"/>
          <w:szCs w:val="24"/>
          <w:lang w:val="en-US"/>
        </w:rPr>
        <w:t xml:space="preserve"> of the crime of rape in international law is constituted by: the sexual penetration, however slight: (a) of the vagina or anus of the victim by the penis of the perpetrator or any other object used by the perpetrator; or (b) of the mouth of the victim by the penis of the perpetrator; where such sexual penetration occurs without the consent of the victim. Consent for this purpose must be consent given voluntarily, as a result of the victim’s free will, assessed in the context of the surrounding circumstances. The </w:t>
      </w:r>
      <w:r w:rsidRPr="00C74F6F">
        <w:rPr>
          <w:rFonts w:ascii="Times New Roman" w:eastAsia="Times New Roman" w:hAnsi="Times New Roman" w:cs="Times New Roman"/>
          <w:i/>
          <w:iCs/>
          <w:sz w:val="24"/>
          <w:szCs w:val="24"/>
          <w:lang w:val="en-US"/>
        </w:rPr>
        <w:t>mens rea</w:t>
      </w:r>
      <w:r w:rsidRPr="00C74F6F">
        <w:rPr>
          <w:rFonts w:ascii="Times New Roman" w:eastAsia="Times New Roman" w:hAnsi="Times New Roman" w:cs="Times New Roman"/>
          <w:sz w:val="24"/>
          <w:szCs w:val="24"/>
          <w:lang w:val="en-US"/>
        </w:rPr>
        <w:t xml:space="preserve"> is the intention to effect this sexual penetration, and the knowledge that it occurs without the consent of the victim. [</w:t>
      </w:r>
      <w:r w:rsidRPr="00C74F6F">
        <w:rPr>
          <w:rFonts w:ascii="Times New Roman" w:eastAsia="Times New Roman" w:hAnsi="Times New Roman" w:cs="Times New Roman"/>
          <w:i/>
          <w:iCs/>
          <w:sz w:val="24"/>
          <w:szCs w:val="24"/>
          <w:lang w:val="en-US"/>
        </w:rPr>
        <w:t>Kunarac case</w:t>
      </w:r>
      <w:r w:rsidRPr="00C74F6F">
        <w:rPr>
          <w:rFonts w:ascii="Times New Roman" w:eastAsia="Times New Roman" w:hAnsi="Times New Roman" w:cs="Times New Roman"/>
          <w:sz w:val="24"/>
          <w:szCs w:val="24"/>
          <w:lang w:val="en-US"/>
        </w:rPr>
        <w:t>, Judgement, § 460].</w:t>
      </w:r>
      <w:r>
        <w:rPr>
          <w:rFonts w:ascii="Times New Roman" w:eastAsia="Times New Roman" w:hAnsi="Times New Roman" w:cs="Times New Roman"/>
          <w:noProof/>
          <w:sz w:val="24"/>
          <w:szCs w:val="24"/>
        </w:rPr>
        <w:drawing>
          <wp:inline distT="0" distB="0" distL="0" distR="0">
            <wp:extent cx="151130" cy="142875"/>
            <wp:effectExtent l="19050" t="0" r="1270" b="0"/>
            <wp:docPr id="1627" name="Imagen 16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Special Court for Sierra Leone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Bockarie case</w:t>
      </w:r>
      <w:r w:rsidRPr="00FB00FF">
        <w:rPr>
          <w:rFonts w:ascii="Times New Roman" w:eastAsia="Times New Roman" w:hAnsi="Times New Roman" w:cs="Times New Roman"/>
          <w:sz w:val="24"/>
          <w:szCs w:val="24"/>
          <w:lang w:val="en-US"/>
        </w:rPr>
        <w:t xml:space="preserve"> before the SCSL in 2003, the accused, a senior member of the Revolutionary United Front (RUF), Junta and Armed Forces Revolutionary Council (AFRC)/RUF forces,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with rape, sexual slavery and “any other form of sexual violence” as crimes against humanity, punishable under Article 2(g) of the 2002 Statute of the Special Court for Sierra Leone, and, in addition or in the alternative, with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a </w:t>
      </w:r>
      <w:r w:rsidRPr="00FB00FF">
        <w:rPr>
          <w:rFonts w:ascii="Times New Roman" w:eastAsia="Times New Roman" w:hAnsi="Times New Roman" w:cs="Times New Roman"/>
          <w:b/>
          <w:bCs/>
          <w:sz w:val="24"/>
          <w:szCs w:val="24"/>
          <w:lang w:val="en-US"/>
        </w:rPr>
        <w:t>VIOLATION OF ARTICLE 3 COMMON TO THE GENEVA CONVENTIONS AND OF ADDITIONAL PROTOCOL II</w:t>
      </w:r>
      <w:r w:rsidRPr="00FB00FF">
        <w:rPr>
          <w:rFonts w:ascii="Times New Roman" w:eastAsia="Times New Roman" w:hAnsi="Times New Roman" w:cs="Times New Roman"/>
          <w:sz w:val="24"/>
          <w:szCs w:val="24"/>
          <w:lang w:val="en-US"/>
        </w:rPr>
        <w:t>, punishable under Article 3.e. of the [2002 Statute of the Special Court for Sierra Leone].</w:t>
      </w:r>
      <w:r>
        <w:rPr>
          <w:rFonts w:ascii="Times New Roman" w:eastAsia="Times New Roman" w:hAnsi="Times New Roman" w:cs="Times New Roman"/>
          <w:noProof/>
          <w:sz w:val="24"/>
          <w:szCs w:val="24"/>
        </w:rPr>
        <w:drawing>
          <wp:inline distT="0" distB="0" distL="0" distR="0">
            <wp:extent cx="151130" cy="142875"/>
            <wp:effectExtent l="19050" t="0" r="1270" b="0"/>
            <wp:docPr id="1628" name="Imagen 16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[emphasis in original]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Koroma case</w:t>
      </w:r>
      <w:r w:rsidRPr="00FB00FF">
        <w:rPr>
          <w:rFonts w:ascii="Times New Roman" w:eastAsia="Times New Roman" w:hAnsi="Times New Roman" w:cs="Times New Roman"/>
          <w:sz w:val="24"/>
          <w:szCs w:val="24"/>
          <w:lang w:val="en-US"/>
        </w:rPr>
        <w:t xml:space="preserve"> before the SCSL in 2003, the accused, the leader of the Armed Forces Revolutionary Council (AFRC), a senior leader of the AFRC/Revolutionary United Front (RUF), a senior member of the Junta regime, and exercising the powers of the president of the Republic of Sierra Leone from May 1997 to February 1998,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with rape, sexual slavery and “any other form of sexual violence” as crimes against humanity, punishable under Article 2(g) of the 2002 Statute of the Special Court for Sierra Leone, and, in addition or in the alternative, with: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a </w:t>
      </w:r>
      <w:r w:rsidRPr="00FB00FF">
        <w:rPr>
          <w:rFonts w:ascii="Times New Roman" w:eastAsia="Times New Roman" w:hAnsi="Times New Roman" w:cs="Times New Roman"/>
          <w:b/>
          <w:bCs/>
          <w:sz w:val="24"/>
          <w:szCs w:val="24"/>
          <w:lang w:val="en-US"/>
        </w:rPr>
        <w:t>VIOLATION OF ARTICLE 3 COMMON TO THE GENEVA CONVENTIONS AND OF ADDITIONAL PROTOCOL II</w:t>
      </w:r>
      <w:r w:rsidRPr="00FB00FF">
        <w:rPr>
          <w:rFonts w:ascii="Times New Roman" w:eastAsia="Times New Roman" w:hAnsi="Times New Roman" w:cs="Times New Roman"/>
          <w:sz w:val="24"/>
          <w:szCs w:val="24"/>
          <w:lang w:val="en-US"/>
        </w:rPr>
        <w:t>, punishable under Article 3.e. of the [2002 Statute of the Special Court for Sierra Leone].</w:t>
      </w:r>
      <w:r>
        <w:rPr>
          <w:rFonts w:ascii="Times New Roman" w:eastAsia="Times New Roman" w:hAnsi="Times New Roman" w:cs="Times New Roman"/>
          <w:noProof/>
          <w:sz w:val="24"/>
          <w:szCs w:val="24"/>
        </w:rPr>
        <w:drawing>
          <wp:inline distT="0" distB="0" distL="0" distR="0">
            <wp:extent cx="151130" cy="142875"/>
            <wp:effectExtent l="19050" t="0" r="1270" b="0"/>
            <wp:docPr id="1629" name="Imagen 16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[emphasis in original]</w:t>
      </w:r>
      <w:r w:rsidRPr="00FB00FF">
        <w:rPr>
          <w:rFonts w:ascii="Times New Roman" w:eastAsia="Times New Roman" w:hAnsi="Times New Roman" w:cs="Times New Roman"/>
          <w:b/>
          <w:bCs/>
          <w:sz w:val="24"/>
          <w:szCs w:val="24"/>
          <w:lang w:val="en-US"/>
        </w:rPr>
        <w:t xml:space="preserve">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Sankoh case</w:t>
      </w:r>
      <w:r w:rsidRPr="00FB00FF">
        <w:rPr>
          <w:rFonts w:ascii="Times New Roman" w:eastAsia="Times New Roman" w:hAnsi="Times New Roman" w:cs="Times New Roman"/>
          <w:sz w:val="24"/>
          <w:szCs w:val="24"/>
          <w:lang w:val="en-US"/>
        </w:rPr>
        <w:t xml:space="preserve"> before the SCSL in 2003, the accused, the leader of the Revolutionary United Front (RUF), a senior leader in the Armed Forces Revolutionary Council (AFRC)/RUF, and a senior member of the Junta regime, was charged, </w:t>
      </w:r>
      <w:r w:rsidRPr="00FB00FF">
        <w:rPr>
          <w:rFonts w:ascii="Times New Roman" w:eastAsia="Times New Roman" w:hAnsi="Times New Roman" w:cs="Times New Roman"/>
          <w:i/>
          <w:iCs/>
          <w:sz w:val="24"/>
          <w:szCs w:val="24"/>
          <w:lang w:val="en-US"/>
        </w:rPr>
        <w:t>inter alia</w:t>
      </w:r>
      <w:r w:rsidRPr="00FB00FF">
        <w:rPr>
          <w:rFonts w:ascii="Times New Roman" w:eastAsia="Times New Roman" w:hAnsi="Times New Roman" w:cs="Times New Roman"/>
          <w:sz w:val="24"/>
          <w:szCs w:val="24"/>
          <w:lang w:val="en-US"/>
        </w:rPr>
        <w:t xml:space="preserve">, with rape, sexual slavery and “any other form of sexual violence” as crimes against humanity, punishable under Article 2(g) of the 2002 Statute of the Special Court for Sierra Leone, and, in addition or in the alternative, with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[o]utrages upon personal dignity, a </w:t>
      </w:r>
      <w:r w:rsidRPr="00FB00FF">
        <w:rPr>
          <w:rFonts w:ascii="Times New Roman" w:eastAsia="Times New Roman" w:hAnsi="Times New Roman" w:cs="Times New Roman"/>
          <w:b/>
          <w:bCs/>
          <w:sz w:val="24"/>
          <w:szCs w:val="24"/>
          <w:lang w:val="en-US"/>
        </w:rPr>
        <w:t>VIOLATION OF ARTICLE 3 COMMON TO THE GENEVA CONVENTIONS AND OF ADDITIONAL PROTOCOL II</w:t>
      </w:r>
      <w:r w:rsidRPr="00FB00FF">
        <w:rPr>
          <w:rFonts w:ascii="Times New Roman" w:eastAsia="Times New Roman" w:hAnsi="Times New Roman" w:cs="Times New Roman"/>
          <w:sz w:val="24"/>
          <w:szCs w:val="24"/>
          <w:lang w:val="en-US"/>
        </w:rPr>
        <w:t>, punishable under Article 3.e. of the [2002 Statute of the Special Court for Sierra Leone].</w:t>
      </w:r>
      <w:r>
        <w:rPr>
          <w:rFonts w:ascii="Times New Roman" w:eastAsia="Times New Roman" w:hAnsi="Times New Roman" w:cs="Times New Roman"/>
          <w:noProof/>
          <w:sz w:val="24"/>
          <w:szCs w:val="24"/>
        </w:rPr>
        <w:drawing>
          <wp:inline distT="0" distB="0" distL="0" distR="0">
            <wp:extent cx="151130" cy="142875"/>
            <wp:effectExtent l="19050" t="0" r="1270" b="0"/>
            <wp:docPr id="1630" name="Imagen 16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w:t>
      </w:r>
      <w:r w:rsidRPr="00FB00FF">
        <w:rPr>
          <w:rFonts w:ascii="Times New Roman" w:eastAsia="Times New Roman" w:hAnsi="Times New Roman" w:cs="Times New Roman"/>
          <w:b/>
          <w:bCs/>
          <w:sz w:val="24"/>
          <w:szCs w:val="24"/>
          <w:lang w:val="en-US"/>
        </w:rPr>
        <w:t xml:space="preserve"> </w:t>
      </w:r>
      <w:r w:rsidRPr="00FB00FF">
        <w:rPr>
          <w:rFonts w:ascii="Times New Roman" w:eastAsia="Times New Roman" w:hAnsi="Times New Roman" w:cs="Times New Roman"/>
          <w:sz w:val="24"/>
          <w:szCs w:val="24"/>
          <w:lang w:val="en-US"/>
        </w:rPr>
        <w:t>[emphasis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In the </w:t>
      </w:r>
      <w:r w:rsidRPr="00FB00FF">
        <w:rPr>
          <w:rFonts w:ascii="Times New Roman" w:eastAsia="Times New Roman" w:hAnsi="Times New Roman" w:cs="Times New Roman"/>
          <w:i/>
          <w:iCs/>
          <w:sz w:val="24"/>
          <w:szCs w:val="24"/>
          <w:lang w:val="en-US"/>
        </w:rPr>
        <w:t>Brima case</w:t>
      </w:r>
      <w:r w:rsidRPr="00FB00FF">
        <w:rPr>
          <w:rFonts w:ascii="Times New Roman" w:eastAsia="Times New Roman" w:hAnsi="Times New Roman" w:cs="Times New Roman"/>
          <w:sz w:val="24"/>
          <w:szCs w:val="24"/>
          <w:lang w:val="en-US"/>
        </w:rPr>
        <w:t xml:space="preserve"> before the SCSL in 2005, the three accused, all former non-commissioned officers in the Sierra Leone Army who became senior members of the Armed Forces Revolutionary Council (AFRC) that seized power from the elected government of the Republic of Sierra Leone in May 1997, were charged,</w:t>
      </w:r>
      <w:r w:rsidRPr="00FB00FF">
        <w:rPr>
          <w:rFonts w:ascii="Times New Roman" w:eastAsia="Times New Roman" w:hAnsi="Times New Roman" w:cs="Times New Roman"/>
          <w:i/>
          <w:iCs/>
          <w:sz w:val="24"/>
          <w:szCs w:val="24"/>
          <w:lang w:val="en-US"/>
        </w:rPr>
        <w:t xml:space="preserve"> inter alia</w:t>
      </w:r>
      <w:r w:rsidRPr="00FB00FF">
        <w:rPr>
          <w:rFonts w:ascii="Times New Roman" w:eastAsia="Times New Roman" w:hAnsi="Times New Roman" w:cs="Times New Roman"/>
          <w:sz w:val="24"/>
          <w:szCs w:val="24"/>
          <w:lang w:val="en-US"/>
        </w:rPr>
        <w:t xml:space="preserve">, with rape, sexual slavery and any other form of sexual violence, and “other inhumane acts” as crimes against humanity, punishable under Article 2(g) and (i) of the 2002 Statute of the Special Court for Sierra Leone, and, in addition or in the alternative, with </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lastRenderedPageBreak/>
        <w:t xml:space="preserve">[o]utrages upon personal dignity, a </w:t>
      </w:r>
      <w:r w:rsidRPr="00FB00FF">
        <w:rPr>
          <w:rFonts w:ascii="Times New Roman" w:eastAsia="Times New Roman" w:hAnsi="Times New Roman" w:cs="Times New Roman"/>
          <w:i/>
          <w:iCs/>
          <w:sz w:val="24"/>
          <w:szCs w:val="24"/>
          <w:lang w:val="en-US"/>
        </w:rPr>
        <w:t>VIOLATION OF ARTICLE 3 COMMON TO THE GENEVA CONVENTIONS AND OF ADDITIONAL PROTOCOL II</w:t>
      </w:r>
      <w:r w:rsidRPr="00FB00FF">
        <w:rPr>
          <w:rFonts w:ascii="Times New Roman" w:eastAsia="Times New Roman" w:hAnsi="Times New Roman" w:cs="Times New Roman"/>
          <w:sz w:val="24"/>
          <w:szCs w:val="24"/>
          <w:lang w:val="en-US"/>
        </w:rPr>
        <w:t>, punishable under Article 3.e.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1631" name="Imagen 16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FB00FF">
        <w:rPr>
          <w:rFonts w:ascii="Times New Roman" w:eastAsia="Times New Roman" w:hAnsi="Times New Roman" w:cs="Times New Roman"/>
          <w:sz w:val="24"/>
          <w:szCs w:val="24"/>
          <w:lang w:val="en-US"/>
        </w:rPr>
        <w:t xml:space="preserve">  [emphasis in original]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 xml:space="preserve">715. Article 3(e) of the [2002 Statute of the Special Court for Sierra Leone] safeguards the highly important value of human dignity by prohibiting “[o]utrages upon personal dignity, in particular humiliating and degrading treatment, rape, enforced prostitution and any form of indecent assault”. The crime of outrages upon personal dignity must be interpreted in light of the purpose behind Common Article 3 of the [1949 Geneva] Conventions, which is: “to uphold the inherent human dignity of the individual”; or to safeguard “the principles of humane treatment.” The said crime is formulated in a manner which ensures broad and flexible interpretation. The list of offences subsumed under outrages against personal dignity constitutes a “non-exhaustive list of conduct”, with humiliating and degrading treatment, rape, enforced prostitution and indecent assaults of any kind given by way of example.” The </w:t>
      </w:r>
      <w:r w:rsidRPr="00FB00FF">
        <w:rPr>
          <w:rFonts w:ascii="Times New Roman" w:eastAsia="Times New Roman" w:hAnsi="Times New Roman" w:cs="Times New Roman"/>
          <w:i/>
          <w:iCs/>
          <w:sz w:val="24"/>
          <w:szCs w:val="24"/>
          <w:lang w:val="en-US"/>
        </w:rPr>
        <w:t xml:space="preserve">ICRC Commentary on the Fourth Geneva Convention </w:t>
      </w:r>
      <w:r w:rsidRPr="00FB00FF">
        <w:rPr>
          <w:rFonts w:ascii="Times New Roman" w:eastAsia="Times New Roman" w:hAnsi="Times New Roman" w:cs="Times New Roman"/>
          <w:sz w:val="24"/>
          <w:szCs w:val="24"/>
          <w:lang w:val="en-US"/>
        </w:rPr>
        <w:t>notes that: “[i]t seems useless and even dangerous to attempt to make a list of all the factors that make treatment ‘humane’” and that treatment which degrades human dignity can take innumerable forms. The crime of outrages upon personal dignity was first articulated in the 1949 Geneva Conventions and is firmly entrenched in customary international law.</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716. In addition to the chapeau requirements of Violations of Article 3 Common to the Geneva Conventions and of Additional Protocol II pursuant to Article 3 of the [2002 Statute of the Special Court for Sierra Leone], the Trial Chamber adopts the following elements of the crime of outrages upon personal dignity: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The perpetrator committed an outrage upon the personal dignity of the victim;</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The humiliation and degradation was so serious as to be generally considered as an outrage upon personal dignity;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The perpetrator intentionally committed or participated in an act or omission which would be generally considered to cause serious humiliation, degradation or otherwise be a serious attack on human dignity;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4. The perpetrator knew that the act or omission could have such an effect.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FB00FF">
        <w:rPr>
          <w:rFonts w:ascii="Times New Roman" w:eastAsia="Times New Roman" w:hAnsi="Times New Roman" w:cs="Times New Roman"/>
          <w:sz w:val="24"/>
          <w:szCs w:val="24"/>
          <w:lang w:val="en-US"/>
        </w:rPr>
        <w:t>(ii) Findings</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717. Count 9 has been charged in addition to or in the alternative to Count 6 (Rape), Count 7 (Sexual Slavery and Any Other Form of Sexual Violence) and Count 8 (Other Inhumane Act, Forced Marriage).</w:t>
      </w:r>
      <w:r w:rsidRPr="00C74F6F">
        <w:rPr>
          <w:rFonts w:ascii="Times New Roman" w:eastAsia="Times New Roman" w:hAnsi="Times New Roman" w:cs="Times New Roman"/>
          <w:sz w:val="24"/>
          <w:szCs w:val="24"/>
          <w:lang w:val="en-US"/>
        </w:rPr>
        <w:br/>
      </w:r>
      <w:r w:rsidRPr="00FB00FF">
        <w:rPr>
          <w:rFonts w:ascii="Times New Roman" w:eastAsia="Times New Roman" w:hAnsi="Times New Roman" w:cs="Times New Roman"/>
          <w:sz w:val="24"/>
          <w:szCs w:val="24"/>
          <w:lang w:val="en-US"/>
        </w:rPr>
        <w:t xml:space="preserve">718. Rape (Count 6) is an offence which is specified in Article 3(e) of the [2002 Statute of the Special Court for Sierra Leone] as being an outrage upon personal dignity. As stated by the ICTR Trial Chamber in </w:t>
      </w:r>
      <w:r w:rsidRPr="00FB00FF">
        <w:rPr>
          <w:rFonts w:ascii="Times New Roman" w:eastAsia="Times New Roman" w:hAnsi="Times New Roman" w:cs="Times New Roman"/>
          <w:i/>
          <w:iCs/>
          <w:sz w:val="24"/>
          <w:szCs w:val="24"/>
          <w:lang w:val="en-US"/>
        </w:rPr>
        <w:t>Akayesu</w:t>
      </w:r>
      <w:r w:rsidRPr="00FB00FF">
        <w:rPr>
          <w:rFonts w:ascii="Times New Roman" w:eastAsia="Times New Roman" w:hAnsi="Times New Roman" w:cs="Times New Roman"/>
          <w:sz w:val="24"/>
          <w:szCs w:val="24"/>
          <w:lang w:val="en-US"/>
        </w:rPr>
        <w:t xml:space="preserve">, “[l]ike torture, rape is used for such purposes as intimidation, degradation, humiliation, discrimination, punishment, control or destruction of a person. </w:t>
      </w:r>
      <w:r w:rsidRPr="007D4751">
        <w:rPr>
          <w:rFonts w:ascii="Times New Roman" w:eastAsia="Times New Roman" w:hAnsi="Times New Roman" w:cs="Times New Roman"/>
          <w:sz w:val="24"/>
          <w:szCs w:val="24"/>
          <w:lang w:val="en-US"/>
        </w:rPr>
        <w:t>Like torture, rape is a violation of personal dignity”.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719. With reference to the elements of sexual slavery set out in the discussion of Count 8 above, the Trial Chamber is similarly satisfied that sexual slavery is an act of humiliation and degradation so serious as to be generally considered an outrage upon personal dignity. The Trial Chamber in </w:t>
      </w:r>
      <w:r w:rsidRPr="007D4751">
        <w:rPr>
          <w:rFonts w:ascii="Times New Roman" w:eastAsia="Times New Roman" w:hAnsi="Times New Roman" w:cs="Times New Roman"/>
          <w:i/>
          <w:iCs/>
          <w:sz w:val="24"/>
          <w:szCs w:val="24"/>
          <w:lang w:val="en-US"/>
        </w:rPr>
        <w:t>Kvo</w:t>
      </w:r>
      <w:r w:rsidRPr="007D4751">
        <w:rPr>
          <w:rFonts w:ascii="Times New Roman" w:eastAsia="Times New Roman" w:hAnsi="Times New Roman" w:cs="Times New Roman"/>
          <w:sz w:val="24"/>
          <w:szCs w:val="24"/>
          <w:lang w:val="en-US"/>
        </w:rPr>
        <w:t>č</w:t>
      </w:r>
      <w:r w:rsidRPr="007D4751">
        <w:rPr>
          <w:rFonts w:ascii="Times New Roman" w:eastAsia="Times New Roman" w:hAnsi="Times New Roman" w:cs="Times New Roman"/>
          <w:i/>
          <w:iCs/>
          <w:sz w:val="24"/>
          <w:szCs w:val="24"/>
          <w:lang w:val="en-US"/>
        </w:rPr>
        <w:t xml:space="preserve">ka </w:t>
      </w:r>
      <w:r w:rsidRPr="007D4751">
        <w:rPr>
          <w:rFonts w:ascii="Times New Roman" w:eastAsia="Times New Roman" w:hAnsi="Times New Roman" w:cs="Times New Roman"/>
          <w:sz w:val="24"/>
          <w:szCs w:val="24"/>
          <w:lang w:val="en-US"/>
        </w:rPr>
        <w:t>held that “perform[ing] subservient acts,” and “endur[ing] the constant fear of being subjected to physical, mental or sexual violence” in camps were outrages upon personal dignity. Sexual slavery, which may encompass rape and/or other types of sexual violence as well as enslavement, entails a similar humiliation and degradation of personal dignity.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720. “Any other form of Sexual Violence” in the context of crimes against humanity is a residual category of sexual crimes listed under Article 2(g) of the [2002 Statute of the Special Court for Sierra Leone], and may encompass an unlimited number of acts. The </w:t>
      </w:r>
      <w:r w:rsidRPr="007D4751">
        <w:rPr>
          <w:rFonts w:ascii="Times New Roman" w:eastAsia="Times New Roman" w:hAnsi="Times New Roman" w:cs="Times New Roman"/>
          <w:sz w:val="24"/>
          <w:szCs w:val="24"/>
          <w:lang w:val="en-US"/>
        </w:rPr>
        <w:lastRenderedPageBreak/>
        <w:t xml:space="preserve">Trial Chamber agrees with the conclusion of the ICTY Trial Chamber in </w:t>
      </w:r>
      <w:r w:rsidRPr="007D4751">
        <w:rPr>
          <w:rFonts w:ascii="Times New Roman" w:eastAsia="Times New Roman" w:hAnsi="Times New Roman" w:cs="Times New Roman"/>
          <w:i/>
          <w:iCs/>
          <w:sz w:val="24"/>
          <w:szCs w:val="24"/>
          <w:lang w:val="en-US"/>
        </w:rPr>
        <w:t>Kvo</w:t>
      </w:r>
      <w:r w:rsidRPr="007D4751">
        <w:rPr>
          <w:rFonts w:ascii="Times New Roman" w:eastAsia="Times New Roman" w:hAnsi="Times New Roman" w:cs="Times New Roman"/>
          <w:sz w:val="24"/>
          <w:szCs w:val="24"/>
          <w:lang w:val="en-US"/>
        </w:rPr>
        <w:t>č</w:t>
      </w:r>
      <w:r w:rsidRPr="007D4751">
        <w:rPr>
          <w:rFonts w:ascii="Times New Roman" w:eastAsia="Times New Roman" w:hAnsi="Times New Roman" w:cs="Times New Roman"/>
          <w:i/>
          <w:iCs/>
          <w:sz w:val="24"/>
          <w:szCs w:val="24"/>
          <w:lang w:val="en-US"/>
        </w:rPr>
        <w:t xml:space="preserve">ka </w:t>
      </w:r>
      <w:r w:rsidRPr="007D4751">
        <w:rPr>
          <w:rFonts w:ascii="Times New Roman" w:eastAsia="Times New Roman" w:hAnsi="Times New Roman" w:cs="Times New Roman"/>
          <w:sz w:val="24"/>
          <w:szCs w:val="24"/>
          <w:lang w:val="en-US"/>
        </w:rPr>
        <w:t>that “sexual violence is broader than rape”. The prohibition embraces all serious abuses of a sexual nature inflicted upon the physical and moral integrity of a person by means of coercion, threat of force or intimidation.</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721. The Indictment fails to provide any particulars as to the specific form of sexual violence alleged. One of the fundamental rights guaranteed to an accused under Article 17(4)(a) of the [2002 Statute of the Special Court for Sierra Leone] is the right to be informed “of the nature and cause of the charge against him”. An Indictment is defective if it does not state the material facts underpinning the charges with enough detail to enable an accused to prepare his or her defence. In the present case, given the broad scope of the offence of “any other form of sexual violence”, it was essential for the Indictment to clearly identify the specific offence or offences which the Accused are required to answer. The Trial Chamber finds that the Indictment is defective in this respect because it fails to plead material facts with sufficient specificity. For this reason, the charge of “any other form of sexual violence” [but not that of “sexual slavery”] is dismissed and thus will not be considered additionally or alternatively under Count 9.</w:t>
      </w:r>
      <w:r>
        <w:rPr>
          <w:rFonts w:ascii="Times New Roman" w:eastAsia="Times New Roman" w:hAnsi="Times New Roman" w:cs="Times New Roman"/>
          <w:noProof/>
          <w:sz w:val="24"/>
          <w:szCs w:val="24"/>
        </w:rPr>
        <w:drawing>
          <wp:inline distT="0" distB="0" distL="0" distR="0">
            <wp:extent cx="151130" cy="142875"/>
            <wp:effectExtent l="19050" t="0" r="1270" b="0"/>
            <wp:docPr id="1632" name="Imagen 16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its judgment in 2008, the Appeals Chamber ruled that forced marriage, distinct from sexual slavery, came within the scope of “other inhumane acts” as a crime against humanity under Article 2.i of the 2002 Statute of the Special Court for Sierra Leone, stating:</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182. The first issue for the Appeals Chamber’s determination relates to the scope of “Other Inhumane Acts” under Article 2.i of the [2002] Statute [of the Special Court for Sierra Leone]. The Trial Chamber concluded that in light of the exhaustive categorisation of sexual crimes under Article 2.g, [of the Statute of the Special Court for Sierra Leone] the offence of “Other Inhumane Acts” must be restrictively interpreted so as to exclude offences of a sexual nature. The Appeals Chamber considers that it is implicit in the Trial Chamber’s finding that it considered forced marriage as a sexual crime.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183. In order to assess the correctness of the Trial Chamber’s finding, regard must be given to the objective of the prohibition of “Other Inhumane Acts” in international criminal law. First introduced under Article 6.c of the [1945] Nuremberg Charter, the crime of “Other Inhumane Acts” is intended to be a residual provision so as to punish criminal acts not specifically recognised as crimes against humanity, but which, in context, are of comparable gravity to the listed crimes against humanity. It is therefore inclusive in nature, intended to avoid unduly restricting the Statute’s application to crimes against humanity. The prohibition against “Other Inhumane Acts” is now included in a large number of international legal instruments and forms part of customary international law.</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184. The jurisprudence of the international tribunals shows that a wide range of criminal acts, including sexual crimes, have been recognised as “Other Inhumane Acts.” These include forcible transfer, sexual and physical violence perpetrated upon dead human bodies, other serious physical and mental injury, forced undressing of women and marching them in public, forcing women to perform exercises naked, and forced disappearance, beatings, torture, sexual violence, humiliation, harassment, psychological abuse, and confinement in inhumane conditions. Case law at these tribunals further demonstrates that this category has been used to punish a series of violent acts that may vary depending upon the context. In effect, the determination of whether an alleged act qualifies as an “Other Inhumane Act” must be made on a case-by-case basis taking into account the nature of the alleged act or omission, the context </w:t>
      </w:r>
      <w:r w:rsidRPr="007D4751">
        <w:rPr>
          <w:rFonts w:ascii="Times New Roman" w:eastAsia="Times New Roman" w:hAnsi="Times New Roman" w:cs="Times New Roman"/>
          <w:sz w:val="24"/>
          <w:szCs w:val="24"/>
          <w:lang w:val="en-US"/>
        </w:rPr>
        <w:lastRenderedPageBreak/>
        <w:t>in which it took place, the personal circumstances of the victims including age, sex, health, and the physical, mental and moral effects of the perpetrator’s conduct upon the victims.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185. The Trial Chamber therefore erred in law by finding that “Other Inhumane Acts” under Article 2.i must be restrictively interpreted. A tribunal must take care not to adopt too restrictive an interpretation of the prohibition against “Other Inhumane Acts” which, as stated above, was intended to be a residual provision. At the same time, care must be taken not to make it too embracing as to make a surplusage of what has been expressly provided for, or to render the crime nebulous and incapable of concrete ascertainment. An over-broad interpretation will certainly infringe the rule requiring specificity of criminal prohibitions.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186. Furthermore, the Appeals Chamber sees no reason why the so-called “exhaustive” listing of sexual crimes under Article 2.g of the Statute should foreclose the possibility of charging as “Other Inhumane Acts” crimes which may among others have a sexual or gender component. As an ICTY Trial Chamber has recognised, “[h]owever much care [was] taken in establishing a list of all the various forms of infliction, one would never be able to catch up with the imagination of future torturers who wish to satisfy their bestial instincts; and the more specific and complete a list tries to be, the more restrictive it becomes.” [ICTY, </w:t>
      </w:r>
      <w:r w:rsidRPr="007D4751">
        <w:rPr>
          <w:rFonts w:ascii="Times New Roman" w:eastAsia="Times New Roman" w:hAnsi="Times New Roman" w:cs="Times New Roman"/>
          <w:i/>
          <w:iCs/>
          <w:sz w:val="24"/>
          <w:szCs w:val="24"/>
          <w:lang w:val="en-US"/>
        </w:rPr>
        <w:t>Blaškić case</w:t>
      </w:r>
      <w:r w:rsidRPr="007D4751">
        <w:rPr>
          <w:rFonts w:ascii="Times New Roman" w:eastAsia="Times New Roman" w:hAnsi="Times New Roman" w:cs="Times New Roman"/>
          <w:sz w:val="24"/>
          <w:szCs w:val="24"/>
          <w:lang w:val="en-US"/>
        </w:rPr>
        <w:t>, Judgement, § 237] The Trial Chamber therefore erred in finding that Article 2.i of the Statute excludes sexual crimes.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i/>
          <w:iCs/>
          <w:sz w:val="24"/>
          <w:szCs w:val="24"/>
          <w:lang w:val="en-US"/>
        </w:rPr>
        <w:t>(a) The Nature of “Forced Marriage” in the Sierra Leone Conflict and its Distinction from Sexual Slavery</w:t>
      </w:r>
      <w:r w:rsidRPr="00C74F6F">
        <w:rPr>
          <w:rFonts w:ascii="Times New Roman" w:eastAsia="Times New Roman" w:hAnsi="Times New Roman" w:cs="Times New Roman"/>
          <w:i/>
          <w:iCs/>
          <w:sz w:val="24"/>
          <w:szCs w:val="24"/>
          <w:lang w:val="en-US"/>
        </w:rPr>
        <w:br/>
      </w:r>
      <w:r w:rsidRPr="007D4751">
        <w:rPr>
          <w:rFonts w:ascii="Times New Roman" w:eastAsia="Times New Roman" w:hAnsi="Times New Roman" w:cs="Times New Roman"/>
          <w:sz w:val="24"/>
          <w:szCs w:val="24"/>
          <w:lang w:val="en-US"/>
        </w:rPr>
        <w:t>187. The Appeals Chamber recalls the Trial Chamber’s findings that the evidence adduced by the Prosecution did not establish the elements of a non-sexual offence of forced marriage independent of the crime of sexual slavery under Article 2.g of the Statute; and that the evidence is completely of the crime of sexual slavery, leaving no lacuna in the law that would necessitate a separate crime of forced marriage as an “Other Inhumane Act.”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188. The Trial Chamber defined sexual slavery as the perpetrator’s exercising any or all of the powers attaching to the right of ownership over one or more persons by imposing on them a deprivation of liberty, and causing them to engage in one or more acts of a sexual nature. In finding that the evidence of forced marriage was completely of the crime of sexual slavery, the Trial Chamber found that the relationship of the perpetrators to their “wives” was one of ownership, and that the use of the term “wife” was indicative of the perpetrator’s intent to exercise ownership rights over the victim. Implicitly, the Trial Chamber found that evidence of forced marriage was predominantly sexual in nature.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189. According to the Prosecution, the element that distinguishes forced marriage from other forms of sexual crimes is a “forced conjugal association by the perpetrator over the victim. It represents forcing a person into the appearance, the veneer of a conduct (i.e. marriage), by threat, physical assault or other coercion.” The Prosecution adds that while acts of forced marriage may in certain circumstances amount to sexual slavery, in practice they do not always involve the victim being subjected to non-consensual sex or even forced domestic labour. Therefore, the Prosecution contends that forced marriage is not a sexual crime.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190. The trial record contains ample evidence that the perpetrators of forced marriages intended to impose a forced conjugal association upon the victims rather than exercise an ownership interest and that forced marriage is not predominantly a sexual crime. There is substantial evidence in the Trial Judgment to establish that throughout the conflict in Sierra Leone, women and girls were systematically abducted from their </w:t>
      </w:r>
      <w:r w:rsidRPr="007D4751">
        <w:rPr>
          <w:rFonts w:ascii="Times New Roman" w:eastAsia="Times New Roman" w:hAnsi="Times New Roman" w:cs="Times New Roman"/>
          <w:sz w:val="24"/>
          <w:szCs w:val="24"/>
          <w:lang w:val="en-US"/>
        </w:rPr>
        <w:lastRenderedPageBreak/>
        <w:t>homes and communities by troops belonging to the AFRC [Armed Forces Revolutionary Council] and compelled to serve as conjugal partners to AFRC soldiers. They were often abducted in circumstances of extreme violence, compelled to move along with the fighting forces from place to place, and coerced to perform a variety of conjugal duties including regular sexual intercourse, forced domestic labour such as cleaning and cooking for the “husband,” endure forced pregnancy, and to care for and bring up children of the “marriage.” In return, the rebel “husband” was expected to provide food, clothing and protection to his “wife,” including protection from rape by other men, acts he did not perform when he used a female for sexual purposes only. As the Trial Chamber found, the relative benefits that victims of forced marriage received from the perpetrators neither signifies consent to the forced conjugal association, nor does it vitiate the criminal nature of the perpetrator’s conduct given the environment of violence and coercion in which these events took place.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191. The Trial Chamber findings also demonstrate that these forced conjugal associations were often organised and supervised by members of the AFRC or civilians assigned by them to such tasks. A “wife” was exclusive to a rebel “husband,” and any transgression of this exclusivity such as unfaithfulness, was severely punished. A “wife” who did not perform the conjugal duties demanded of her was deemed disloyal and could face serious punishment under the AFRC disciplinary system, including beating and possibly death.</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192. In addition to the Trial Chamber’s findings, other evidence in the trial record shows that the perpetrators intended to impose a forced conjugal association rather than exercise mere ownership over civilian women and girls. In particular, the Appeals Chamber notes the evidence and report of the Prosecution expert Mrs. Zainab Bangura which demonstrates the physical and psychological suffering to which victims of forced marriage were subjected during the civil war in Sierra Leone. According to the Prosecution expert: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[T]he most devastating effect on women of the war was the phenomenon called ‘bush wife’, rebel wife or jungle wife. This was a phenomenon adopted by rebels whereby young girls or women were captured or abducted and forcibly taken as wives … The use of the term ‘wife’ by the perpetrator was deliberate and strategic. The word ‘wife’ demonstrated a rebel’s control over a woman. His psychological manipulations of her feelings rendered her unable to deny him his wishes … By calling a woman ‘wife’, the man or ‘husband’ openly staked his claim and she was not allowed to have sex with any other person. If she did, she would be deemed unfaithful and the penalty was severe beating or death.</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‘Bush wives’ were expected to carry out all the functions of a wife and more … [S]he was expected to show undying loyalty to her husband for his protection and reward him with ‘love and affection’ … ‘Bush wives’ were constantly sexually abused, physically battered during and after pregnancies, and psychologically terrorised by their husbands, who thereby demonstrated their control over their wives. Physically, most of these girls experienced miscarriages, and received no medical attention at the time … Some now experience diverse medical problems such as severe stomach pains … some have had their uterus removed; menstrual cycles are irregular; some were infected with sexually transmitted diseases and others tested HIV positive.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193. In light of all the evidence at trial, Judge Doherty, in her Partly Dissenting Opinion, expressed the view that forced marriage involves “the imposition, by threat or physical force arising from the perpetrator’s words or other conduct, of a forced conjugal association by the perpetrator over the victim.” [SCSL, </w:t>
      </w:r>
      <w:r w:rsidRPr="007D4751">
        <w:rPr>
          <w:rFonts w:ascii="Times New Roman" w:eastAsia="Times New Roman" w:hAnsi="Times New Roman" w:cs="Times New Roman"/>
          <w:i/>
          <w:iCs/>
          <w:sz w:val="24"/>
          <w:szCs w:val="24"/>
          <w:lang w:val="en-US"/>
        </w:rPr>
        <w:t>Brima case</w:t>
      </w:r>
      <w:r w:rsidRPr="007D4751">
        <w:rPr>
          <w:rFonts w:ascii="Times New Roman" w:eastAsia="Times New Roman" w:hAnsi="Times New Roman" w:cs="Times New Roman"/>
          <w:sz w:val="24"/>
          <w:szCs w:val="24"/>
          <w:lang w:val="en-US"/>
        </w:rPr>
        <w:t xml:space="preserve">, Judgement, Partly Dissenting Opinion of Judge Doherty, § 53] She further considered </w:t>
      </w:r>
      <w:r w:rsidRPr="007D4751">
        <w:rPr>
          <w:rFonts w:ascii="Times New Roman" w:eastAsia="Times New Roman" w:hAnsi="Times New Roman" w:cs="Times New Roman"/>
          <w:sz w:val="24"/>
          <w:szCs w:val="24"/>
          <w:lang w:val="en-US"/>
        </w:rPr>
        <w:lastRenderedPageBreak/>
        <w:t>that this crime satisfied the elements of “Other Inhumane Acts” because victims were subjected to mental trauma by being labelled as rebel “wives”; further, they were stigmatised and found it difficult to reintegrate into their communities. According to Judge Doherty, forced marriage qualifies as an “Other Inhumane Acts” causing mental and moral suffering, which in the context of the Sierra Leone conflict, is of comparable seriousness to the other crimes against humanity listed in the Statute.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194. Furthermore, the Appeals Chamber also notes that in their respective Concurring and Partly Dissenting Opinions, both Justice Sebutinde and Justice Doherty make a clear and convincing distinction between forced marriages in a war context and the peacetime practice of “arranged marriages” among certain traditional communities, noting that arranged marriages are not to be equated to or confused with forced marriage during armed conflict. Justice Sebutinde goes further to add, correctly in our view, that while traditionally arranged marriages involving minors violate certain international human rights norms such as the Convention on the Elimination of all Forms of Discrimination against Women (CEDAW), forced marriages which involve the abduction and detention of women and girls and their use for sexual and other purposes is clearly criminal in nature.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195. Based on the evidence on record, the Appeals Chamber finds that no tribunal could reasonably have found that forced marriage was subsumed in the crime against humanity of sexual slavery. While forced marriage shares certain elements with sexual slavery such as non-consensual sex and deprivation of liberty, there are also distinguishing factors. First, forced marriage involves a perpetrator compelling a person by force or threat of force, through the words or conduct of the perpetrator or those associated with him, into a forced conjugal association with another person resulting in great suffering, or serious physical or mental injury on the part of the victim. Second, unlike sexual slavery, forced marriage implies a relationship of exclusivity between the “husband” and “wife,” which could lead to disciplinary consequences for breach of this exclusive arrangement. These distinctions imply that forced marriage is not predominantly a sexual crime. The Trial Chamber, therefore, erred in holding that the evidence of forced marriage is subsumed in the elements of sexual slavery.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196. In light of the distinctions between forced marriage and sexual slavery, the Appeals Chamber finds that in the context of the Sierra Leone conflict, forced marriage describes a situation in which the perpetrator through his words or conduct, or those of someone for whose actions he is responsible, compels a person by force, threat of force, or coercion to serve as a conjugal partner resulting in severe suffering, or physical, mental or psychological injury to the victim.</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198. The Appeals Chamber agrees with the Prosecution that the notion of “Other Inhumane Acts” contained in Article 2.i of the Statute forms part of customary international law. As noted above, it serves as a residual category designed to punish acts or omissions not specifically listed as crimes against humanity provided these acts or omissions meet the following requirements: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 inflict great suffering, or serious injury to body or to mental or physical health;</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 are sufficiently similar in gravity to the acts referred to in Article 2.a to Article 2.h of the Statute;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(iii) the perpetrator was aware of the factual circumstances that established the character of the gravity of the act.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The acts must also satisfy the general </w:t>
      </w:r>
      <w:r w:rsidRPr="007D4751">
        <w:rPr>
          <w:rFonts w:ascii="Times New Roman" w:eastAsia="Times New Roman" w:hAnsi="Times New Roman" w:cs="Times New Roman"/>
          <w:i/>
          <w:iCs/>
          <w:sz w:val="24"/>
          <w:szCs w:val="24"/>
          <w:lang w:val="en-US"/>
        </w:rPr>
        <w:t>chapeau</w:t>
      </w:r>
      <w:r w:rsidRPr="007D4751">
        <w:rPr>
          <w:rFonts w:ascii="Times New Roman" w:eastAsia="Times New Roman" w:hAnsi="Times New Roman" w:cs="Times New Roman"/>
          <w:sz w:val="24"/>
          <w:szCs w:val="24"/>
          <w:lang w:val="en-US"/>
        </w:rPr>
        <w:t xml:space="preserve"> requirements of crimes against humanity.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199. The Appeals Chamber finds that the evidence before the Trial Chamber established that victims of forced marriage endured physical injury by being subjected to repeated </w:t>
      </w:r>
      <w:r w:rsidRPr="007D4751">
        <w:rPr>
          <w:rFonts w:ascii="Times New Roman" w:eastAsia="Times New Roman" w:hAnsi="Times New Roman" w:cs="Times New Roman"/>
          <w:sz w:val="24"/>
          <w:szCs w:val="24"/>
          <w:lang w:val="en-US"/>
        </w:rPr>
        <w:lastRenderedPageBreak/>
        <w:t>acts of rape and sexual violence, forced labour, corporal punishment, and deprivation of liberty. Many were psychologically traumatised by being forced to watch the killing or mutilation of close family members, before becoming “wives” to those who committed these atrocities and from being labelled rebel “wives” which resulted in them being ostracised from their communities. In cases where they became pregnant from the forced marriage, both they and their children suffered long-term social stigmatisation.</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200. In assessing the gravity of forced marriage in the Sierra Leone conflict, the Appeals Chamber has taken into account the nature of the perpetrators’ conduct especially the atmosphere of violence in which victims were abducted and the vulnerability of the women and girls especially those of a very young age. Many of the victims of forced marriage were children themselves. Similarly, the Appeals Chamber has considered the effects of the perpetrators’ conduct on the physical, moral, and psychological health of the victims. The Appeals Chamber is firmly of the view that acts of forced marriage were of similar gravity to several enumerated crimes against humanity including enslavement, imprisonment, torture, rape, sexual slavery and sexual violence.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201. The Appeals Chamber is also satisfied that in each case, the perpetrators intended to force a conjugal partnership upon the victims, and were aware that their conduct would cause serious suffering or physical, mental or psychological injury to the victims. Considering the systematic and forcible abduction of the victims of forced marriage, and the prevailing environment of coercion and intimidation, the Appeals Chamber finds that the perpetrators of these acts could not have been under any illusion that their conduct was not criminal. This conclusion is fortified by the fact that the acts described as forced marriage may have involved the commission of one or more international crimes such as enslavement, imprisonment, rape, sexual slavery, abduction among others.</w:t>
      </w:r>
      <w:r>
        <w:rPr>
          <w:rFonts w:ascii="Times New Roman" w:eastAsia="Times New Roman" w:hAnsi="Times New Roman" w:cs="Times New Roman"/>
          <w:noProof/>
          <w:sz w:val="24"/>
          <w:szCs w:val="24"/>
        </w:rPr>
        <w:drawing>
          <wp:inline distT="0" distB="0" distL="0" distR="0">
            <wp:extent cx="151130" cy="142875"/>
            <wp:effectExtent l="19050" t="0" r="1270" b="0"/>
            <wp:docPr id="1633" name="Imagen 16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In the </w:t>
      </w:r>
      <w:r w:rsidRPr="007D4751">
        <w:rPr>
          <w:rFonts w:ascii="Times New Roman" w:eastAsia="Times New Roman" w:hAnsi="Times New Roman" w:cs="Times New Roman"/>
          <w:i/>
          <w:iCs/>
          <w:sz w:val="24"/>
          <w:szCs w:val="24"/>
          <w:lang w:val="en-US"/>
        </w:rPr>
        <w:t>Sesay case</w:t>
      </w:r>
      <w:r w:rsidRPr="007D4751">
        <w:rPr>
          <w:rFonts w:ascii="Times New Roman" w:eastAsia="Times New Roman" w:hAnsi="Times New Roman" w:cs="Times New Roman"/>
          <w:sz w:val="24"/>
          <w:szCs w:val="24"/>
          <w:lang w:val="en-US"/>
        </w:rPr>
        <w:t xml:space="preserve"> before the SCSL in 2006, the accused Sesay and Kallon, senior commanders in the Revolutionary United Front (RUF), Junta and Armed Forces Revolutionary Council (AFRC)/RUF forces, and the accused Gbao, senior commander in the RUF and AFRC/RUF forces, were charged,</w:t>
      </w:r>
      <w:r w:rsidRPr="007D4751">
        <w:rPr>
          <w:rFonts w:ascii="Times New Roman" w:eastAsia="Times New Roman" w:hAnsi="Times New Roman" w:cs="Times New Roman"/>
          <w:i/>
          <w:iCs/>
          <w:sz w:val="24"/>
          <w:szCs w:val="24"/>
          <w:lang w:val="en-US"/>
        </w:rPr>
        <w:t xml:space="preserve"> inter alia</w:t>
      </w:r>
      <w:r w:rsidRPr="007D4751">
        <w:rPr>
          <w:rFonts w:ascii="Times New Roman" w:eastAsia="Times New Roman" w:hAnsi="Times New Roman" w:cs="Times New Roman"/>
          <w:sz w:val="24"/>
          <w:szCs w:val="24"/>
          <w:lang w:val="en-US"/>
        </w:rPr>
        <w:t xml:space="preserve">, with rape, sexual slavery, “any other form of sexual violence”, and “other inhumane acts” as crimes against humanity, punishable under Article 2(g) and (i) of the 2002 Statute of the Special Court for Sierra Leone, and, in addition or in the alternative, with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[o]utrages upon personal dignity, a </w:t>
      </w:r>
      <w:r w:rsidRPr="007D4751">
        <w:rPr>
          <w:rFonts w:ascii="Times New Roman" w:eastAsia="Times New Roman" w:hAnsi="Times New Roman" w:cs="Times New Roman"/>
          <w:i/>
          <w:iCs/>
          <w:sz w:val="24"/>
          <w:szCs w:val="24"/>
          <w:lang w:val="en-US"/>
        </w:rPr>
        <w:t>VIOLATION OF ARTICLE 3 COMMON TO THE GENEVA CONVENTIONS AND OF ADDITIONAL PROTOCOL II</w:t>
      </w:r>
      <w:r w:rsidRPr="007D4751">
        <w:rPr>
          <w:rFonts w:ascii="Times New Roman" w:eastAsia="Times New Roman" w:hAnsi="Times New Roman" w:cs="Times New Roman"/>
          <w:sz w:val="24"/>
          <w:szCs w:val="24"/>
          <w:lang w:val="en-US"/>
        </w:rPr>
        <w:t>, punishable under Article 3.e. of the [2002 Statute of the Special Court for Sierra Leone].</w:t>
      </w:r>
      <w:r>
        <w:rPr>
          <w:rFonts w:ascii="Times New Roman" w:eastAsia="Times New Roman" w:hAnsi="Times New Roman" w:cs="Times New Roman"/>
          <w:noProof/>
          <w:sz w:val="24"/>
          <w:szCs w:val="24"/>
        </w:rPr>
        <w:drawing>
          <wp:inline distT="0" distB="0" distL="0" distR="0">
            <wp:extent cx="151130" cy="142875"/>
            <wp:effectExtent l="19050" t="0" r="1270" b="0"/>
            <wp:docPr id="1634" name="Imagen 16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xml:space="preserve">  [emphasis in original]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its judgment in the case in 2009, the Trial Chamber set out the elements of the crime of rape, stating:</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144. This Chamber opines that the offence of rape has long been prohibited as a war crime in international humanitarian law. It is also prohibited as a crime against humanity in the Allied Control Council Law No. 10 and in the Statutes of the ICTY, the ICTR and the ICC. The status of rape as an offence under customary international law entailing individual criminal responsibility has been reaffirmed before the </w:t>
      </w:r>
      <w:r w:rsidRPr="007D4751">
        <w:rPr>
          <w:rFonts w:ascii="Times New Roman" w:eastAsia="Times New Roman" w:hAnsi="Times New Roman" w:cs="Times New Roman"/>
          <w:i/>
          <w:iCs/>
          <w:sz w:val="24"/>
          <w:szCs w:val="24"/>
          <w:lang w:val="en-US"/>
        </w:rPr>
        <w:t>Ad Hoc</w:t>
      </w:r>
      <w:r w:rsidRPr="007D4751">
        <w:rPr>
          <w:rFonts w:ascii="Times New Roman" w:eastAsia="Times New Roman" w:hAnsi="Times New Roman" w:cs="Times New Roman"/>
          <w:sz w:val="24"/>
          <w:szCs w:val="24"/>
          <w:lang w:val="en-US"/>
        </w:rPr>
        <w:t xml:space="preserve"> tribunals. Indeed, the ICTY Trial Chamber in </w:t>
      </w:r>
      <w:r w:rsidRPr="007D4751">
        <w:rPr>
          <w:rFonts w:ascii="Times New Roman" w:eastAsia="Times New Roman" w:hAnsi="Times New Roman" w:cs="Times New Roman"/>
          <w:i/>
          <w:iCs/>
          <w:sz w:val="24"/>
          <w:szCs w:val="24"/>
          <w:lang w:val="en-US"/>
        </w:rPr>
        <w:t>Kunarac</w:t>
      </w:r>
      <w:r w:rsidRPr="007D4751">
        <w:rPr>
          <w:rFonts w:ascii="Times New Roman" w:eastAsia="Times New Roman" w:hAnsi="Times New Roman" w:cs="Times New Roman"/>
          <w:sz w:val="24"/>
          <w:szCs w:val="24"/>
          <w:lang w:val="en-US"/>
        </w:rPr>
        <w:t xml:space="preserve"> declared that “[r]ape is one of the worst sufferings a human being can inflict upon another.”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 655]</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145. Thus, the Chamber has held that the constitutive elements of rape are as follows: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 The Accused invaded the body of a person by conduct resulting in penetration, however slight, of any part of the body of the victim or of the Accused with a sexual </w:t>
      </w:r>
      <w:r w:rsidRPr="00C74F6F">
        <w:rPr>
          <w:rFonts w:ascii="Times New Roman" w:eastAsia="Times New Roman" w:hAnsi="Times New Roman" w:cs="Times New Roman"/>
          <w:sz w:val="24"/>
          <w:szCs w:val="24"/>
          <w:lang w:val="en-US"/>
        </w:rPr>
        <w:lastRenderedPageBreak/>
        <w:t>organ, or of the anal or genital opening of the victim with any object or any other part of the body;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 The invasion was committed by force, or by threat of force or coercion, such as that caused by fear of violence, duress, detention, psychological oppression or abuse of power against such person or another person or by taking advantage of a coercive environment, or the invasion was committed against a person incapable of giving genuine consent;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(iii) The Accused intended to effect the sexual penetration or acted in the reasonable knowledge that this was likely to occur;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(iv) The Accused knew or had reason to know that the victim did not consent.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146. The first element of the </w:t>
      </w:r>
      <w:r w:rsidRPr="007D4751">
        <w:rPr>
          <w:rFonts w:ascii="Times New Roman" w:eastAsia="Times New Roman" w:hAnsi="Times New Roman" w:cs="Times New Roman"/>
          <w:i/>
          <w:iCs/>
          <w:sz w:val="24"/>
          <w:szCs w:val="24"/>
          <w:lang w:val="en-US"/>
        </w:rPr>
        <w:t>actus reus</w:t>
      </w:r>
      <w:r w:rsidRPr="007D4751">
        <w:rPr>
          <w:rFonts w:ascii="Times New Roman" w:eastAsia="Times New Roman" w:hAnsi="Times New Roman" w:cs="Times New Roman"/>
          <w:sz w:val="24"/>
          <w:szCs w:val="24"/>
          <w:lang w:val="en-US"/>
        </w:rPr>
        <w:t xml:space="preserve"> defines the type of invasion that is required to constitute the offence of rape and covers two types of penetration, however slight. The first part of the provision refers to the penetration of any part of the body of either the victim or the Accused with a sexual organ. The “any part of the body” in this part includes genital, anal or oral penetration. The second part of the provision refers to the penetration of the genital or anal opening of the victim with any object or any other part of the body. This part is meant to cover penetration with something other than a sexual organ which could include either other body parts or any other object. This definition of invasion is broad enough to be gender neutral as both men and women can be victims of rape.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147. The second element of the </w:t>
      </w:r>
      <w:r w:rsidRPr="007D4751">
        <w:rPr>
          <w:rFonts w:ascii="Times New Roman" w:eastAsia="Times New Roman" w:hAnsi="Times New Roman" w:cs="Times New Roman"/>
          <w:i/>
          <w:iCs/>
          <w:sz w:val="24"/>
          <w:szCs w:val="24"/>
          <w:lang w:val="en-US"/>
        </w:rPr>
        <w:t>actus reus</w:t>
      </w:r>
      <w:r w:rsidRPr="007D4751">
        <w:rPr>
          <w:rFonts w:ascii="Times New Roman" w:eastAsia="Times New Roman" w:hAnsi="Times New Roman" w:cs="Times New Roman"/>
          <w:sz w:val="24"/>
          <w:szCs w:val="24"/>
          <w:lang w:val="en-US"/>
        </w:rPr>
        <w:t xml:space="preserve"> of rape refers to the circumstances which would render the sexual act in the first element criminal. The essence of this element is that it describes those circumstances in which the person could not be said to have voluntarily and genuinely consented to the act. The use or threat of force provides clear evidence of non-consent, but it is not required. The ICTY Appeals Chamber has emphasised that the circumstances “that prevail in most cases charged as either war crimes or crimes against humanity will be almost universally coercive. That is to say, true consent will not be possible.”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on Appeal, § 130]</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148. The last part of this element refers to those situations where, even in the absence of force or coercion, a person cannot be said to genuinely have consented to the act. A person may not, for instance, be capable of genuinely consenting if he or she is too young, under the influence of some substance, or suffering from an illness or disability.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149. The Chamber observes that the very specific circumstances of an armed conflict where rapes on a large scale are alleged to have occurred, coupled with the social stigma which is borne by victims of rape in certain societies, render the restrictive test set out in the elements of the crime difficult to satisfy. Circumstantial evidence may therefore be used to demonstrate the </w:t>
      </w:r>
      <w:r w:rsidRPr="007D4751">
        <w:rPr>
          <w:rFonts w:ascii="Times New Roman" w:eastAsia="Times New Roman" w:hAnsi="Times New Roman" w:cs="Times New Roman"/>
          <w:i/>
          <w:iCs/>
          <w:sz w:val="24"/>
          <w:szCs w:val="24"/>
          <w:lang w:val="en-US"/>
        </w:rPr>
        <w:t>actus reus</w:t>
      </w:r>
      <w:r w:rsidRPr="007D4751">
        <w:rPr>
          <w:rFonts w:ascii="Times New Roman" w:eastAsia="Times New Roman" w:hAnsi="Times New Roman" w:cs="Times New Roman"/>
          <w:sz w:val="24"/>
          <w:szCs w:val="24"/>
          <w:lang w:val="en-US"/>
        </w:rPr>
        <w:t xml:space="preserve"> of rape.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150. The </w:t>
      </w:r>
      <w:r w:rsidRPr="007D4751">
        <w:rPr>
          <w:rFonts w:ascii="Times New Roman" w:eastAsia="Times New Roman" w:hAnsi="Times New Roman" w:cs="Times New Roman"/>
          <w:i/>
          <w:iCs/>
          <w:sz w:val="24"/>
          <w:szCs w:val="24"/>
          <w:lang w:val="en-US"/>
        </w:rPr>
        <w:t xml:space="preserve">mens rea </w:t>
      </w:r>
      <w:r w:rsidRPr="007D4751">
        <w:rPr>
          <w:rFonts w:ascii="Times New Roman" w:eastAsia="Times New Roman" w:hAnsi="Times New Roman" w:cs="Times New Roman"/>
          <w:sz w:val="24"/>
          <w:szCs w:val="24"/>
          <w:lang w:val="en-US"/>
        </w:rPr>
        <w:t>requirements for the offence of rape are that the invasion was intentional and that it was done in the knowledge that the victim was not consenting.</w:t>
      </w:r>
      <w:r>
        <w:rPr>
          <w:rFonts w:ascii="Times New Roman" w:eastAsia="Times New Roman" w:hAnsi="Times New Roman" w:cs="Times New Roman"/>
          <w:noProof/>
          <w:sz w:val="24"/>
          <w:szCs w:val="24"/>
        </w:rPr>
        <w:drawing>
          <wp:inline distT="0" distB="0" distL="0" distR="0">
            <wp:extent cx="151130" cy="142875"/>
            <wp:effectExtent l="19050" t="0" r="1270" b="0"/>
            <wp:docPr id="1635" name="Imagen 16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154. The specific offence of sexual slavery was included for the first time as a war crime and a crime against humanity in the [1998] ICC Statute. The offence is characterised as a crime against humanity under Article 2(g) of the [2002] Statute [of the Special Court for Sierra Leone] and the Indictments before the Special Court were the first to specifically indict persons with the crime of sexual slavery.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155. By this assertion, the Chamber does not suggest that the offence is entirely new. It is the Chamber’s view that sexual slavery is a particularised form of slavery or enslavement and acts which could be classified as sexual slavery have been prosecuted as enslavement in the past. In the </w:t>
      </w:r>
      <w:r w:rsidRPr="007D4751">
        <w:rPr>
          <w:rFonts w:ascii="Times New Roman" w:eastAsia="Times New Roman" w:hAnsi="Times New Roman" w:cs="Times New Roman"/>
          <w:i/>
          <w:iCs/>
          <w:sz w:val="24"/>
          <w:szCs w:val="24"/>
          <w:lang w:val="en-US"/>
        </w:rPr>
        <w:t>Kunarac</w:t>
      </w:r>
      <w:r w:rsidRPr="007D4751">
        <w:rPr>
          <w:rFonts w:ascii="Times New Roman" w:eastAsia="Times New Roman" w:hAnsi="Times New Roman" w:cs="Times New Roman"/>
          <w:sz w:val="24"/>
          <w:szCs w:val="24"/>
          <w:lang w:val="en-US"/>
        </w:rPr>
        <w:t xml:space="preserve"> case, for instance, the Accused were convicted of the offences of enslavement, rape and outrages on personal dignity for </w:t>
      </w:r>
      <w:r w:rsidRPr="007D4751">
        <w:rPr>
          <w:rFonts w:ascii="Times New Roman" w:eastAsia="Times New Roman" w:hAnsi="Times New Roman" w:cs="Times New Roman"/>
          <w:sz w:val="24"/>
          <w:szCs w:val="24"/>
          <w:lang w:val="en-US"/>
        </w:rPr>
        <w:lastRenderedPageBreak/>
        <w:t xml:space="preserve">having detained women for months and subjected them to rape and other sexual acts. In that case, the ICTY Appeals Chamber emphasised that “it finds that enslavement, even if based on sexual exploitation, is a distinct offence from that of rape.”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on Appeal, § 186]</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156. The Chamber opines that the prohibition of the more particular offences such as sexual slavery and sexual violence criminalises actions that were already criminal. The Chamber considers that the specific offences are designed to draw attention to serious crimes that have been historically overlooked and to recognise the particular nature of sexual violence that has been used, often with impunity, as a tactic of war to humiliate, dominate and instil fear in victims, their families and communities during armed conflict.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157. As discussed in more detail below, this Chamber takes the view that the offence of enslavement is prohibited at customary international law and entails individual criminal responsibility. The Chamber is satisfied that this would equally apply to the offence of sexual slavery which is “an international crime and a violation of </w:t>
      </w:r>
      <w:r w:rsidRPr="007D4751">
        <w:rPr>
          <w:rFonts w:ascii="Times New Roman" w:eastAsia="Times New Roman" w:hAnsi="Times New Roman" w:cs="Times New Roman"/>
          <w:i/>
          <w:iCs/>
          <w:sz w:val="24"/>
          <w:szCs w:val="24"/>
          <w:lang w:val="en-US"/>
        </w:rPr>
        <w:t>jus cogens</w:t>
      </w:r>
      <w:r w:rsidRPr="007D4751">
        <w:rPr>
          <w:rFonts w:ascii="Times New Roman" w:eastAsia="Times New Roman" w:hAnsi="Times New Roman" w:cs="Times New Roman"/>
          <w:sz w:val="24"/>
          <w:szCs w:val="24"/>
          <w:lang w:val="en-US"/>
        </w:rPr>
        <w:t xml:space="preserve"> norms in the exact same manner as slavery.”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158. Consistent with the Rule 98 Decision, the Chamber has held that the relevant constitutive elements of sexual slavery are: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 The Accused exercised any or all the powers attaching to the right of ownership over one or more persons, such as by purchasing, selling, lending or bartering such a person or persons, or by imposing on them a similar deprivation of liberty;</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(ii) The Accused caused such person or persons to engage in one or more acts of a sexual nature; and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(iii) The Accused intended to exercise the act of sexual slavery or acted in the reasonable knowledge that this was likely to occur. [SCSL, </w:t>
      </w:r>
      <w:r w:rsidRPr="00C74F6F">
        <w:rPr>
          <w:rFonts w:ascii="Times New Roman" w:eastAsia="Times New Roman" w:hAnsi="Times New Roman" w:cs="Times New Roman"/>
          <w:i/>
          <w:iCs/>
          <w:sz w:val="24"/>
          <w:szCs w:val="24"/>
          <w:lang w:val="en-US"/>
        </w:rPr>
        <w:t>Sesay case</w:t>
      </w:r>
      <w:r w:rsidRPr="00C74F6F">
        <w:rPr>
          <w:rFonts w:ascii="Times New Roman" w:eastAsia="Times New Roman" w:hAnsi="Times New Roman" w:cs="Times New Roman"/>
          <w:sz w:val="24"/>
          <w:szCs w:val="24"/>
          <w:lang w:val="en-US"/>
        </w:rPr>
        <w:t>, Oral Rule 98 Decision, Transcript of 25 October 2006, page 22]</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159. This Chamber considers that the </w:t>
      </w:r>
      <w:r w:rsidRPr="007D4751">
        <w:rPr>
          <w:rFonts w:ascii="Times New Roman" w:eastAsia="Times New Roman" w:hAnsi="Times New Roman" w:cs="Times New Roman"/>
          <w:i/>
          <w:iCs/>
          <w:sz w:val="24"/>
          <w:szCs w:val="24"/>
          <w:lang w:val="en-US"/>
        </w:rPr>
        <w:t>actus reus</w:t>
      </w:r>
      <w:r w:rsidRPr="007D4751">
        <w:rPr>
          <w:rFonts w:ascii="Times New Roman" w:eastAsia="Times New Roman" w:hAnsi="Times New Roman" w:cs="Times New Roman"/>
          <w:sz w:val="24"/>
          <w:szCs w:val="24"/>
          <w:lang w:val="en-US"/>
        </w:rPr>
        <w:t xml:space="preserve"> of the offence of sexual slavery is made up of two elements: first, that the Accused exercised any or all of the powers attaching to the right of ownership over a person or persons (the slavery element) and second, that the enslavement involved sexual acts (the sexual element).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160. In determining whether or not the enslavement element of the </w:t>
      </w:r>
      <w:r w:rsidRPr="007D4751">
        <w:rPr>
          <w:rFonts w:ascii="Times New Roman" w:eastAsia="Times New Roman" w:hAnsi="Times New Roman" w:cs="Times New Roman"/>
          <w:i/>
          <w:iCs/>
          <w:sz w:val="24"/>
          <w:szCs w:val="24"/>
          <w:lang w:val="en-US"/>
        </w:rPr>
        <w:t>actus reus</w:t>
      </w:r>
      <w:r w:rsidRPr="007D4751">
        <w:rPr>
          <w:rFonts w:ascii="Times New Roman" w:eastAsia="Times New Roman" w:hAnsi="Times New Roman" w:cs="Times New Roman"/>
          <w:sz w:val="24"/>
          <w:szCs w:val="24"/>
          <w:lang w:val="en-US"/>
        </w:rPr>
        <w:t xml:space="preserve"> has been established, the Chamber notes that the list of actions that reflect the exercise of a power of ownership that is included in the element is not exhaustive. The Chamber adopts the following indicia of enslavement identified by the ICTY in </w:t>
      </w:r>
      <w:r w:rsidRPr="007D4751">
        <w:rPr>
          <w:rFonts w:ascii="Times New Roman" w:eastAsia="Times New Roman" w:hAnsi="Times New Roman" w:cs="Times New Roman"/>
          <w:i/>
          <w:iCs/>
          <w:sz w:val="24"/>
          <w:szCs w:val="24"/>
          <w:lang w:val="en-US"/>
        </w:rPr>
        <w:t>Kunarac et al</w:t>
      </w:r>
      <w:r w:rsidRPr="007D4751">
        <w:rPr>
          <w:rFonts w:ascii="Times New Roman" w:eastAsia="Times New Roman" w:hAnsi="Times New Roman" w:cs="Times New Roman"/>
          <w:sz w:val="24"/>
          <w:szCs w:val="24"/>
          <w:lang w:val="en-US"/>
        </w:rPr>
        <w:t xml:space="preserve">.: “control of someone’s movement, control of physical environment, psychological control, measures taken to prevent or deter escape, force, threat of force or coercion, duration, assertion of exclusivity, subjection to cruel treatment and abuse, control of sexuality and forced labour.”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 543]</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161. The Chamber also notes that the expression “similar deprivation of liberty” may cover situations in which the victims may not have been physically confined, but were otherwise unable to leave as they would have nowhere else to go and feared for their lives.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162. To convict an Accused for this offence, the Prosecution must also prove that the Accused caused the enslaved person to engage in acts of a sexual nature. The acts of sexual violence are the additional element that, when combined with evidence of slavery, constitutes sexual slavery.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163. The Chamber emphasises that the lack of consent of the victim to the enslavement or to the sexual acts is not an element to be proved by the Prosecution, although whether or not there was consent may be relevant from an evidentiary perspective in establishing whether or not the Accused exercised any of the powers attaching to the right of </w:t>
      </w:r>
      <w:r w:rsidRPr="007D4751">
        <w:rPr>
          <w:rFonts w:ascii="Times New Roman" w:eastAsia="Times New Roman" w:hAnsi="Times New Roman" w:cs="Times New Roman"/>
          <w:sz w:val="24"/>
          <w:szCs w:val="24"/>
          <w:lang w:val="en-US"/>
        </w:rPr>
        <w:lastRenderedPageBreak/>
        <w:t xml:space="preserve">ownership. The Chamber subscribes to the statement of the ICTY Appeals Chamber that “circumstances which render it impossible to express consent may be sufficient to presume the absence of consent.”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on Appeal, § 120] The duration of the enslavement is not an element of the crime, although it may be relevant in determining the quality of the relationship.</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2305. … [S]exual slavery requires the exercise of powers attaching to the right of ownership and acts of sexual nature. As the acts of a sexual nature do not necessarily require sexual penetration, and rape does not require that the right to ownership is exercised, the Chamber finds that sexual slavery is distinct from rape. Where the commission of sexual slavery, however, entails acts of rape, the Chamber finds that the act of rape is subsumed by the act of sexual slavery.</w:t>
      </w:r>
      <w:r>
        <w:rPr>
          <w:rFonts w:ascii="Times New Roman" w:eastAsia="Times New Roman" w:hAnsi="Times New Roman" w:cs="Times New Roman"/>
          <w:noProof/>
          <w:sz w:val="24"/>
          <w:szCs w:val="24"/>
        </w:rPr>
        <w:drawing>
          <wp:inline distT="0" distB="0" distL="0" distR="0">
            <wp:extent cx="151130" cy="142875"/>
            <wp:effectExtent l="19050" t="0" r="1270" b="0"/>
            <wp:docPr id="1636" name="Imagen 16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xml:space="preserve">   [footnotes in original omitted]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733. … The Trial Chamber found that the hostile and coercive circumstances were such that “</w:t>
      </w:r>
      <w:r w:rsidRPr="007D4751">
        <w:rPr>
          <w:rFonts w:ascii="Times New Roman" w:eastAsia="Times New Roman" w:hAnsi="Times New Roman" w:cs="Times New Roman"/>
          <w:i/>
          <w:iCs/>
          <w:sz w:val="24"/>
          <w:szCs w:val="24"/>
          <w:lang w:val="en-US"/>
        </w:rPr>
        <w:t>genuine consent was not possible</w:t>
      </w:r>
      <w:r w:rsidRPr="007D4751">
        <w:rPr>
          <w:rFonts w:ascii="Times New Roman" w:eastAsia="Times New Roman" w:hAnsi="Times New Roman" w:cs="Times New Roman"/>
          <w:sz w:val="24"/>
          <w:szCs w:val="24"/>
          <w:lang w:val="en-US"/>
        </w:rPr>
        <w:t>,” and it concluded that “[i]n light of the foregoing and given the violent, hostile and coercive environment in which these women suddenly found themselves … the sexual relations with the rebels … [</w:t>
      </w:r>
      <w:r w:rsidRPr="007D4751">
        <w:rPr>
          <w:rFonts w:ascii="Times New Roman" w:eastAsia="Times New Roman" w:hAnsi="Times New Roman" w:cs="Times New Roman"/>
          <w:i/>
          <w:iCs/>
          <w:sz w:val="24"/>
          <w:szCs w:val="24"/>
          <w:lang w:val="en-US"/>
        </w:rPr>
        <w:t>were</w:t>
      </w:r>
      <w:r w:rsidRPr="007D4751">
        <w:rPr>
          <w:rFonts w:ascii="Times New Roman" w:eastAsia="Times New Roman" w:hAnsi="Times New Roman" w:cs="Times New Roman"/>
          <w:sz w:val="24"/>
          <w:szCs w:val="24"/>
          <w:lang w:val="en-US"/>
        </w:rPr>
        <w:t xml:space="preserve">], in [the] circumstances, </w:t>
      </w:r>
      <w:r w:rsidRPr="007D4751">
        <w:rPr>
          <w:rFonts w:ascii="Times New Roman" w:eastAsia="Times New Roman" w:hAnsi="Times New Roman" w:cs="Times New Roman"/>
          <w:i/>
          <w:iCs/>
          <w:sz w:val="24"/>
          <w:szCs w:val="24"/>
          <w:lang w:val="en-US"/>
        </w:rPr>
        <w:t>not consensual</w:t>
      </w:r>
      <w:r w:rsidRPr="007D4751">
        <w:rPr>
          <w:rFonts w:ascii="Times New Roman" w:eastAsia="Times New Roman" w:hAnsi="Times New Roman" w:cs="Times New Roman"/>
          <w:sz w:val="24"/>
          <w:szCs w:val="24"/>
          <w:lang w:val="en-US"/>
        </w:rPr>
        <w:t xml:space="preserve"> because of the state of uncertainty and subjugation in which they lived in captivity.” [SCSL, </w:t>
      </w:r>
      <w:r w:rsidRPr="007D4751">
        <w:rPr>
          <w:rFonts w:ascii="Times New Roman" w:eastAsia="Times New Roman" w:hAnsi="Times New Roman" w:cs="Times New Roman"/>
          <w:i/>
          <w:iCs/>
          <w:sz w:val="24"/>
          <w:szCs w:val="24"/>
          <w:lang w:val="en-US"/>
        </w:rPr>
        <w:t>Sesay case</w:t>
      </w:r>
      <w:r w:rsidRPr="007D4751">
        <w:rPr>
          <w:rFonts w:ascii="Times New Roman" w:eastAsia="Times New Roman" w:hAnsi="Times New Roman" w:cs="Times New Roman"/>
          <w:sz w:val="24"/>
          <w:szCs w:val="24"/>
          <w:lang w:val="en-US"/>
        </w:rPr>
        <w:t>, Judgement, § 1470]</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734. The Trial Chamber’s reasoning led to a finding of the exercise of rights of ownership and of the force, threats of force and coercion used to compel victims. In part, the reasoning results in a finding of the absence of consent, not a presumption thereof, however, the absence of consent is neither an element of sexual slavery nor of forced marriage. Sexual slavery, a form of enslavement, “flows from claimed rights of ownership”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on Appeal, § 120] to which consent is impossible.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735. With respect to forced marriage, the Appeals Chamber recalls that the offence “describes a situation in which the perpetrator … compels a person by force, threat of force, or coercion to serve as a conjugal partner.” [SCSL, </w:t>
      </w:r>
      <w:r w:rsidRPr="007D4751">
        <w:rPr>
          <w:rFonts w:ascii="Times New Roman" w:eastAsia="Times New Roman" w:hAnsi="Times New Roman" w:cs="Times New Roman"/>
          <w:i/>
          <w:iCs/>
          <w:sz w:val="24"/>
          <w:szCs w:val="24"/>
          <w:lang w:val="en-US"/>
        </w:rPr>
        <w:t>Brima case</w:t>
      </w:r>
      <w:r w:rsidRPr="007D4751">
        <w:rPr>
          <w:rFonts w:ascii="Times New Roman" w:eastAsia="Times New Roman" w:hAnsi="Times New Roman" w:cs="Times New Roman"/>
          <w:sz w:val="24"/>
          <w:szCs w:val="24"/>
          <w:lang w:val="en-US"/>
        </w:rPr>
        <w:t>, Judgement on Appeal, § 196] The conduct must constitute an “other inhumane act,” which entails that the perpetrator: (i) inflict great suffering, or serious injury to body or to mental or physical health; (ii) sufficiently similar in gravity to the acts referred to in Article 2.a through Article 2.h of the [2002] Statute [of the Special Court for Sierra Leone]; and that (iii) the perpetrator was aware of the factual circumstances that established the character of the gravity of the act. As a crime against humanity, the offence also requires that the acts of the accused formed part of a widespread or systematic attack against the civilian population, and that the accused knew that his crimes were so related.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736. The Appeals Chamber considers that where the Prosecution has proved the legal requirements of the offence, that is, that an accused, by force, threat of force, or coercion, or by taking advantage of coercive circumstances, causes one or more persons to serve as a conjugal partner, and the perpetrator’s acts are knowingly part of a widespread or systematic attack against a civilian population and amount to the infliction of great suffering, or serious injury to body or to mental or physical health sufficiently similar in gravity to the enumerated crimes against humanity, then consent is impossible and therefore is not a relevant consideration. As found by the Trial Chamber, “given the violent, hostile and coercive environment in which these women suddenly found themselves … the sexual relations with the rebels … could not [be], and was, in [the] circumstances, not consensual because of the state of uncertainty and subjugation in which they lived in captivity.” [SCSL, </w:t>
      </w:r>
      <w:r w:rsidRPr="007D4751">
        <w:rPr>
          <w:rFonts w:ascii="Times New Roman" w:eastAsia="Times New Roman" w:hAnsi="Times New Roman" w:cs="Times New Roman"/>
          <w:i/>
          <w:iCs/>
          <w:sz w:val="24"/>
          <w:szCs w:val="24"/>
          <w:lang w:val="en-US"/>
        </w:rPr>
        <w:t>Sesay case</w:t>
      </w:r>
      <w:r w:rsidRPr="007D4751">
        <w:rPr>
          <w:rFonts w:ascii="Times New Roman" w:eastAsia="Times New Roman" w:hAnsi="Times New Roman" w:cs="Times New Roman"/>
          <w:sz w:val="24"/>
          <w:szCs w:val="24"/>
          <w:lang w:val="en-US"/>
        </w:rPr>
        <w:t xml:space="preserve">, Judgement, § 1470] Such captivity in itself would have vitiated consent in the circumstances under </w:t>
      </w:r>
      <w:r w:rsidRPr="007D4751">
        <w:rPr>
          <w:rFonts w:ascii="Times New Roman" w:eastAsia="Times New Roman" w:hAnsi="Times New Roman" w:cs="Times New Roman"/>
          <w:sz w:val="24"/>
          <w:szCs w:val="24"/>
          <w:lang w:val="en-US"/>
        </w:rPr>
        <w:lastRenderedPageBreak/>
        <w:t>consideration.</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737. After finding the absence of consent, the Trial Chamber went on to opine generally that, in circumstances such as the ones it had just found, “there </w:t>
      </w:r>
      <w:r w:rsidRPr="007D4751">
        <w:rPr>
          <w:rFonts w:ascii="Times New Roman" w:eastAsia="Times New Roman" w:hAnsi="Times New Roman" w:cs="Times New Roman"/>
          <w:i/>
          <w:iCs/>
          <w:sz w:val="24"/>
          <w:szCs w:val="24"/>
          <w:lang w:val="en-US"/>
        </w:rPr>
        <w:t xml:space="preserve">should be </w:t>
      </w:r>
      <w:r w:rsidRPr="007D4751">
        <w:rPr>
          <w:rFonts w:ascii="Times New Roman" w:eastAsia="Times New Roman" w:hAnsi="Times New Roman" w:cs="Times New Roman"/>
          <w:sz w:val="24"/>
          <w:szCs w:val="24"/>
          <w:lang w:val="en-US"/>
        </w:rPr>
        <w:t xml:space="preserve">a presumption of absence of genuine consent to having sexual relations or contracting marriages with the said RUF [Revolutionary United Front] fighters.” [SCSL, </w:t>
      </w:r>
      <w:r w:rsidRPr="007D4751">
        <w:rPr>
          <w:rFonts w:ascii="Times New Roman" w:eastAsia="Times New Roman" w:hAnsi="Times New Roman" w:cs="Times New Roman"/>
          <w:i/>
          <w:iCs/>
          <w:sz w:val="24"/>
          <w:szCs w:val="24"/>
          <w:lang w:val="en-US"/>
        </w:rPr>
        <w:t>Sesay case</w:t>
      </w:r>
      <w:r w:rsidRPr="007D4751">
        <w:rPr>
          <w:rFonts w:ascii="Times New Roman" w:eastAsia="Times New Roman" w:hAnsi="Times New Roman" w:cs="Times New Roman"/>
          <w:sz w:val="24"/>
          <w:szCs w:val="24"/>
          <w:lang w:val="en-US"/>
        </w:rPr>
        <w:t xml:space="preserve">, Judgement, § 1471] This additional statement did not provide the framework for its analysis and nothing suggests that it informed its findings on the elements of the offences. Rather, it is precatory, conditional, and follows the Trial Chamber’s analysis of the circumstances that eliminated the possibility of genuine consent. The impugned statement is therefore an </w:t>
      </w:r>
      <w:r w:rsidRPr="007D4751">
        <w:rPr>
          <w:rFonts w:ascii="Times New Roman" w:eastAsia="Times New Roman" w:hAnsi="Times New Roman" w:cs="Times New Roman"/>
          <w:i/>
          <w:iCs/>
          <w:sz w:val="24"/>
          <w:szCs w:val="24"/>
          <w:lang w:val="en-US"/>
        </w:rPr>
        <w:t>obiter dicta</w:t>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740. The Trial Chamber’s findings were sufficient to establish the </w:t>
      </w:r>
      <w:r w:rsidRPr="007D4751">
        <w:rPr>
          <w:rFonts w:ascii="Times New Roman" w:eastAsia="Times New Roman" w:hAnsi="Times New Roman" w:cs="Times New Roman"/>
          <w:i/>
          <w:iCs/>
          <w:sz w:val="24"/>
          <w:szCs w:val="24"/>
          <w:lang w:val="en-US"/>
        </w:rPr>
        <w:t>actus reas</w:t>
      </w:r>
      <w:r w:rsidRPr="007D4751">
        <w:rPr>
          <w:rFonts w:ascii="Times New Roman" w:eastAsia="Times New Roman" w:hAnsi="Times New Roman" w:cs="Times New Roman"/>
          <w:sz w:val="24"/>
          <w:szCs w:val="24"/>
          <w:lang w:val="en-US"/>
        </w:rPr>
        <w:t xml:space="preserve"> of sexual slavery and forced marriage. Having thus found, </w:t>
      </w:r>
      <w:r w:rsidRPr="007D4751">
        <w:rPr>
          <w:rFonts w:ascii="Times New Roman" w:eastAsia="Times New Roman" w:hAnsi="Times New Roman" w:cs="Times New Roman"/>
          <w:i/>
          <w:iCs/>
          <w:sz w:val="24"/>
          <w:szCs w:val="24"/>
          <w:lang w:val="en-US"/>
        </w:rPr>
        <w:t>inter alia</w:t>
      </w:r>
      <w:r w:rsidRPr="007D4751">
        <w:rPr>
          <w:rFonts w:ascii="Times New Roman" w:eastAsia="Times New Roman" w:hAnsi="Times New Roman" w:cs="Times New Roman"/>
          <w:sz w:val="24"/>
          <w:szCs w:val="24"/>
          <w:lang w:val="en-US"/>
        </w:rPr>
        <w:t>, that the victims were subject to enslavement, force and coercion, the Trial Chamber did not have to examine the issue of consent, and in particular to have assessed whether every victim did not consent.</w:t>
      </w:r>
      <w:r>
        <w:rPr>
          <w:rFonts w:ascii="Times New Roman" w:eastAsia="Times New Roman" w:hAnsi="Times New Roman" w:cs="Times New Roman"/>
          <w:noProof/>
          <w:sz w:val="24"/>
          <w:szCs w:val="24"/>
        </w:rPr>
        <w:drawing>
          <wp:inline distT="0" distB="0" distL="0" distR="0">
            <wp:extent cx="151130" cy="142875"/>
            <wp:effectExtent l="19050" t="0" r="1270" b="0"/>
            <wp:docPr id="1637" name="Imagen 16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[footnotes in original omitted;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In the </w:t>
      </w:r>
      <w:r w:rsidRPr="007D4751">
        <w:rPr>
          <w:rFonts w:ascii="Times New Roman" w:eastAsia="Times New Roman" w:hAnsi="Times New Roman" w:cs="Times New Roman"/>
          <w:i/>
          <w:iCs/>
          <w:sz w:val="24"/>
          <w:szCs w:val="24"/>
          <w:lang w:val="en-US"/>
        </w:rPr>
        <w:t>Taylor case</w:t>
      </w:r>
      <w:r w:rsidRPr="007D4751">
        <w:rPr>
          <w:rFonts w:ascii="Times New Roman" w:eastAsia="Times New Roman" w:hAnsi="Times New Roman" w:cs="Times New Roman"/>
          <w:sz w:val="24"/>
          <w:szCs w:val="24"/>
          <w:lang w:val="en-US"/>
        </w:rPr>
        <w:t xml:space="preserve"> before the SCSL in 2007, the accused, former president of the Republic of Liberia, was charged,</w:t>
      </w:r>
      <w:r w:rsidRPr="007D4751">
        <w:rPr>
          <w:rFonts w:ascii="Times New Roman" w:eastAsia="Times New Roman" w:hAnsi="Times New Roman" w:cs="Times New Roman"/>
          <w:i/>
          <w:iCs/>
          <w:sz w:val="24"/>
          <w:szCs w:val="24"/>
          <w:lang w:val="en-US"/>
        </w:rPr>
        <w:t xml:space="preserve"> inter alia</w:t>
      </w:r>
      <w:r w:rsidRPr="007D4751">
        <w:rPr>
          <w:rFonts w:ascii="Times New Roman" w:eastAsia="Times New Roman" w:hAnsi="Times New Roman" w:cs="Times New Roman"/>
          <w:sz w:val="24"/>
          <w:szCs w:val="24"/>
          <w:lang w:val="en-US"/>
        </w:rPr>
        <w:t xml:space="preserve">, with rape and sexual slavery as crimes against humanity, punishable under Article 2(g) of the 2002 Statute of the Special Court for Sierra Leone, and, in addition or in the alternative, with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[o]utrages upon personal dignity, a </w:t>
      </w:r>
      <w:r w:rsidRPr="007D4751">
        <w:rPr>
          <w:rFonts w:ascii="Times New Roman" w:eastAsia="Times New Roman" w:hAnsi="Times New Roman" w:cs="Times New Roman"/>
          <w:b/>
          <w:bCs/>
          <w:sz w:val="24"/>
          <w:szCs w:val="24"/>
          <w:lang w:val="en-US"/>
        </w:rPr>
        <w:t>VIOLATION OF ARTICLE 3 COMMON TO THE GENEVA CONVENTIONS AND OF ADDITIONAL PROTOCOL II</w:t>
      </w:r>
      <w:r w:rsidRPr="007D4751">
        <w:rPr>
          <w:rFonts w:ascii="Times New Roman" w:eastAsia="Times New Roman" w:hAnsi="Times New Roman" w:cs="Times New Roman"/>
          <w:sz w:val="24"/>
          <w:szCs w:val="24"/>
          <w:lang w:val="en-US"/>
        </w:rPr>
        <w:t>, punishable under Article 3.e. of the [2002 Statute of the Special Court for Sierra Leone].</w:t>
      </w:r>
      <w:r>
        <w:rPr>
          <w:rFonts w:ascii="Times New Roman" w:eastAsia="Times New Roman" w:hAnsi="Times New Roman" w:cs="Times New Roman"/>
          <w:noProof/>
          <w:sz w:val="24"/>
          <w:szCs w:val="24"/>
        </w:rPr>
        <w:drawing>
          <wp:inline distT="0" distB="0" distL="0" distR="0">
            <wp:extent cx="151130" cy="142875"/>
            <wp:effectExtent l="19050" t="0" r="1270" b="0"/>
            <wp:docPr id="1638" name="Imagen 16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xml:space="preserve">  [emphasis in original]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Between about 30 November 1996 and about 18 January 2002, members of RUF, AFRC, AFRC/RUF Junta or alliance, and/or Liberian fighters, assisted and encouraged by, acting in concert with, under the direction and/or control of, and/or subordinate to the </w:t>
      </w:r>
      <w:r w:rsidRPr="007D4751">
        <w:rPr>
          <w:rFonts w:ascii="Times New Roman" w:eastAsia="Times New Roman" w:hAnsi="Times New Roman" w:cs="Times New Roman"/>
          <w:b/>
          <w:bCs/>
          <w:sz w:val="24"/>
          <w:szCs w:val="24"/>
          <w:lang w:val="en-US"/>
        </w:rPr>
        <w:t>ACCUSED</w:t>
      </w:r>
      <w:r w:rsidRPr="007D4751">
        <w:rPr>
          <w:rFonts w:ascii="Times New Roman" w:eastAsia="Times New Roman" w:hAnsi="Times New Roman" w:cs="Times New Roman"/>
          <w:sz w:val="24"/>
          <w:szCs w:val="24"/>
          <w:lang w:val="en-US"/>
        </w:rPr>
        <w:t>, committed widespread acts of sexual violence against civilian women and girls.</w:t>
      </w:r>
      <w:r>
        <w:rPr>
          <w:rFonts w:ascii="Times New Roman" w:eastAsia="Times New Roman" w:hAnsi="Times New Roman" w:cs="Times New Roman"/>
          <w:noProof/>
          <w:sz w:val="24"/>
          <w:szCs w:val="24"/>
        </w:rPr>
        <w:drawing>
          <wp:inline distT="0" distB="0" distL="0" distR="0">
            <wp:extent cx="151130" cy="142875"/>
            <wp:effectExtent l="19050" t="0" r="1270" b="0"/>
            <wp:docPr id="1639" name="Imagen 16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Extraordinary Chambers in the Courts of Cambodia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the Kaing case before the ECCC, the accused was charged, both individually and as a superior, with, inter alia, various crimes against humanity and grave breaches of the 1949 Geneva Conventions. In its judgment in 2010, the Trial Chamber considered the offence of rape, stating:</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361. Rape has long been prohibited in customary international law and has been described as “one of the worst suffering a human being can inflict upon another.”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xml:space="preserve">, Judgement, § 655]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362. Rape is the sexual penetration, however slight of the vagina or anus of the victim by the penis of the perpetrator or any other object used by the perpetrator; or the mouth of the victim by the penis of the perpetrator, where such sexual penetration occurs without the consent of the victim.</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363. Most cases of rape as a crime against humanity will be committed in coercive circumstances in which true consent will not be possible. Absence of consent may be evidenced by the use of force. Neither force nor threat of force by the perpetrator is an element </w:t>
      </w:r>
      <w:r w:rsidRPr="007D4751">
        <w:rPr>
          <w:rFonts w:ascii="Times New Roman" w:eastAsia="Times New Roman" w:hAnsi="Times New Roman" w:cs="Times New Roman"/>
          <w:i/>
          <w:iCs/>
          <w:sz w:val="24"/>
          <w:szCs w:val="24"/>
          <w:lang w:val="en-US"/>
        </w:rPr>
        <w:t>per se</w:t>
      </w:r>
      <w:r w:rsidRPr="007D4751">
        <w:rPr>
          <w:rFonts w:ascii="Times New Roman" w:eastAsia="Times New Roman" w:hAnsi="Times New Roman" w:cs="Times New Roman"/>
          <w:sz w:val="24"/>
          <w:szCs w:val="24"/>
          <w:lang w:val="en-US"/>
        </w:rPr>
        <w:t xml:space="preserve"> of rape, as there are factors other than force which would render an act of sexual penetration non-consensual, and there is no requirement of resistance on the part of the victim.</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364. The social stigma attaching to rape victims in certain societies might render any proof of this crime difficult. The international jurisprudence has therefore accepted that circumstantial evidence may be used to demonstrate rape.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lastRenderedPageBreak/>
        <w:t xml:space="preserve">365. The requisite intention for rape is that the perpetrator acted with the intent to “effect this sexual penetration, and the knowledge that it occurs without the consent of the victim.” [ICTY, </w:t>
      </w:r>
      <w:r w:rsidRPr="007D4751">
        <w:rPr>
          <w:rFonts w:ascii="Times New Roman" w:eastAsia="Times New Roman" w:hAnsi="Times New Roman" w:cs="Times New Roman"/>
          <w:i/>
          <w:iCs/>
          <w:sz w:val="24"/>
          <w:szCs w:val="24"/>
          <w:lang w:val="en-US"/>
        </w:rPr>
        <w:t>Kunarac case</w:t>
      </w:r>
      <w:r w:rsidRPr="007D4751">
        <w:rPr>
          <w:rFonts w:ascii="Times New Roman" w:eastAsia="Times New Roman" w:hAnsi="Times New Roman" w:cs="Times New Roman"/>
          <w:sz w:val="24"/>
          <w:szCs w:val="24"/>
          <w:lang w:val="en-US"/>
        </w:rPr>
        <w:t>, Judgement on Appeal, §§ 127–129].</w:t>
      </w:r>
      <w:r>
        <w:rPr>
          <w:rFonts w:ascii="Times New Roman" w:eastAsia="Times New Roman" w:hAnsi="Times New Roman" w:cs="Times New Roman"/>
          <w:noProof/>
          <w:sz w:val="24"/>
          <w:szCs w:val="24"/>
        </w:rPr>
        <w:drawing>
          <wp:inline distT="0" distB="0" distL="0" distR="0">
            <wp:extent cx="151130" cy="142875"/>
            <wp:effectExtent l="19050" t="0" r="1270" b="0"/>
            <wp:docPr id="1640" name="Imagen 16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[footnotes in original omitted]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Human Rights Committee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In its concluding observations on the fifth periodic report of Colombia in 2004, the Human Rights Committee stated: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The Committee is particularly disturbed about the limited number of investigations into cases of domestic violence and sexual violence experienced by women during the internal armed conflict and by internally displaced women. The Committee also continues to be concerned about the current rules for prosecuting cases of rape, which require the consent of the victim in order to proceed further.</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i/>
          <w:iCs/>
          <w:sz w:val="24"/>
          <w:szCs w:val="24"/>
          <w:lang w:val="en-US"/>
        </w:rPr>
        <w:t>… The State party should revise its legislation on investigations into cases of rape with respect to the role of consent of the victim in the process (arts. 3, 7 and 26</w:t>
      </w:r>
      <w:r w:rsidRPr="007D4751">
        <w:rPr>
          <w:rFonts w:ascii="Times New Roman" w:eastAsia="Times New Roman" w:hAnsi="Times New Roman" w:cs="Times New Roman"/>
          <w:sz w:val="24"/>
          <w:szCs w:val="24"/>
          <w:lang w:val="en-US"/>
        </w:rPr>
        <w:t xml:space="preserve"> [of the 1966 International Covenant on Civil and Political Rights]).</w:t>
      </w:r>
      <w:r>
        <w:rPr>
          <w:rFonts w:ascii="Times New Roman" w:eastAsia="Times New Roman" w:hAnsi="Times New Roman" w:cs="Times New Roman"/>
          <w:noProof/>
          <w:sz w:val="24"/>
          <w:szCs w:val="24"/>
        </w:rPr>
        <w:drawing>
          <wp:inline distT="0" distB="0" distL="0" distR="0">
            <wp:extent cx="151130" cy="142875"/>
            <wp:effectExtent l="19050" t="0" r="1270" b="0"/>
            <wp:docPr id="1641" name="Imagen 16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its concluding observations on the third periodic report of the Democratic Republic of the Congo in 2006, the Human Rights Committee stated: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view of article 15 of the Constitution, which stipulates that the authorities should ensure the elimination of sexual violence, the Committee is concerned at the number of acts of aggravated assault, including sexual abuse and many cases of rape, committed against women and children in the war zones. It also notes the reports alleging that members of the United Nations Organization Mission in the Democratic Republic of the Congo (MONUC) committed sexual abuse (articles 3, 6 and 7 of the [1966 International Covenant on Civil and Political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i/>
          <w:iCs/>
          <w:sz w:val="24"/>
          <w:szCs w:val="24"/>
          <w:lang w:val="en-US"/>
        </w:rPr>
        <w:t>The State party should take all necessary steps to strengthen its capacity to protect civilians in the zones of armed conflict, especially women and children. Relevant guidelines should be made available to all members of the armed forces and human rights training should be made compulsory for all members of the State party’s armed forces. The State party should prevail upon the States of origin of MONUC troops suspected of having committed acts of sexual abuse to open inquiries into the matter and take the appropriate measures</w:t>
      </w:r>
      <w:r w:rsidRPr="00C74F6F">
        <w:rPr>
          <w:rFonts w:ascii="Times New Roman" w:eastAsia="Times New Roman" w:hAnsi="Times New Roman" w:cs="Times New Roman"/>
          <w:sz w:val="24"/>
          <w:szCs w:val="24"/>
          <w:lang w:val="en-US"/>
        </w:rPr>
        <w:t>.</w:t>
      </w:r>
      <w:r>
        <w:rPr>
          <w:rFonts w:ascii="Times New Roman" w:eastAsia="Times New Roman" w:hAnsi="Times New Roman" w:cs="Times New Roman"/>
          <w:noProof/>
          <w:sz w:val="24"/>
          <w:szCs w:val="24"/>
        </w:rPr>
        <w:drawing>
          <wp:inline distT="0" distB="0" distL="0" distR="0">
            <wp:extent cx="151130" cy="142875"/>
            <wp:effectExtent l="19050" t="0" r="1270" b="0"/>
            <wp:docPr id="1642" name="Imagen 16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Committee on the Elimination of Discrimination Against Women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its General Recommendation on Violence against Women in 1992, CEDAW provided: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 Gender-based violence is a form of discrimination that seriously inhibits women’s ability to enjoy rights and freedoms on a basis of equality with men.</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6. The [1979 Convention on the Elimination of Discrimination against Women] in article 1 defines discrimination against women. The definition of discrimination includes gender-based violence, that is, violence that is directed against a woman because she is a woman or that affects women disproportionately. It includes acts that inflict physical, mental or sexual harm or suffering, threats of such acts, coercion and other deprivations of liberty. Gender-based violence may breach specific provisions of the Convention, regardless of whether those provisions expressly mention violence.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16. Wars, armed conflicts and the occupation of territories often lead to increased prostitution, trafficking in women and sexual assault of women, which require specific protective and punitive measures.</w:t>
      </w:r>
      <w:r>
        <w:rPr>
          <w:rFonts w:ascii="Times New Roman" w:eastAsia="Times New Roman" w:hAnsi="Times New Roman" w:cs="Times New Roman"/>
          <w:noProof/>
          <w:sz w:val="24"/>
          <w:szCs w:val="24"/>
        </w:rPr>
        <w:drawing>
          <wp:inline distT="0" distB="0" distL="0" distR="0">
            <wp:extent cx="151130" cy="142875"/>
            <wp:effectExtent l="19050" t="0" r="1270" b="0"/>
            <wp:docPr id="1643" name="Imagen 16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In a letter to the Special Rapporteur on the Situation of Human Rights in the Former Yugoslavia, the Chair of CEDAW emphasized that rape and other attacks on women’s </w:t>
      </w:r>
      <w:r w:rsidRPr="007D4751">
        <w:rPr>
          <w:rFonts w:ascii="Times New Roman" w:eastAsia="Times New Roman" w:hAnsi="Times New Roman" w:cs="Times New Roman"/>
          <w:sz w:val="24"/>
          <w:szCs w:val="24"/>
          <w:lang w:val="en-US"/>
        </w:rPr>
        <w:lastRenderedPageBreak/>
        <w:t>physical and mental integrity violated international human rights guarantees and constituted grave breaches of the 1949 Geneva Convention IV and of customary international law. The Special Rapporteur replied that he shared the Committee’s preoccupation with the reported occurrence of mass rape and other attacks on the physical and mental integrity of women in the conflict in the former Yugoslavia.</w:t>
      </w:r>
      <w:r>
        <w:rPr>
          <w:rFonts w:ascii="Times New Roman" w:eastAsia="Times New Roman" w:hAnsi="Times New Roman" w:cs="Times New Roman"/>
          <w:noProof/>
          <w:sz w:val="24"/>
          <w:szCs w:val="24"/>
        </w:rPr>
        <w:drawing>
          <wp:inline distT="0" distB="0" distL="0" distR="0">
            <wp:extent cx="151130" cy="142875"/>
            <wp:effectExtent l="19050" t="0" r="1270" b="0"/>
            <wp:docPr id="1644" name="Imagen 16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1998, CEDAW stated in relation to Indonesia:</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The Committee is concerned that the information provided on the situation of women in areas of armed conflict reflects a limited understanding of the problem. The Government’s remarks are confined to the participation of women in armed forces and do not address the vulnerability of women to sexual exploitation in conflict situations.</w:t>
      </w:r>
      <w:r>
        <w:rPr>
          <w:rFonts w:ascii="Times New Roman" w:eastAsia="Times New Roman" w:hAnsi="Times New Roman" w:cs="Times New Roman"/>
          <w:noProof/>
          <w:sz w:val="24"/>
          <w:szCs w:val="24"/>
        </w:rPr>
        <w:drawing>
          <wp:inline distT="0" distB="0" distL="0" distR="0">
            <wp:extent cx="151130" cy="142875"/>
            <wp:effectExtent l="19050" t="0" r="1270" b="0"/>
            <wp:docPr id="1645" name="Imagen 16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2000, CEDAW stated in relation to India:</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The Committee is concerned that women are exposed to the risk of high levels of violence, rape, sexual harassment, humiliation and torture in areas where there are armed insurrections.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The Committee recommends a review of prevention of terrorism legislation and the Armed Forces Special Provisions Act … so that special powers given to the security forces do not prevent the investigation and prosecution of acts of violence against women in conflict areas and during detention and arrest.</w:t>
      </w:r>
      <w:r>
        <w:rPr>
          <w:rFonts w:ascii="Times New Roman" w:eastAsia="Times New Roman" w:hAnsi="Times New Roman" w:cs="Times New Roman"/>
          <w:noProof/>
          <w:sz w:val="24"/>
          <w:szCs w:val="24"/>
        </w:rPr>
        <w:drawing>
          <wp:inline distT="0" distB="0" distL="0" distR="0">
            <wp:extent cx="151130" cy="142875"/>
            <wp:effectExtent l="19050" t="0" r="1270" b="0"/>
            <wp:docPr id="1646" name="Imagen 16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Committee on the Rights of the Child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1997, in its recommendations on Myanmar, the Committee on the Rights of the Child expressed grave concern with regard to “numerous documented cases of rape of young girls by soldiers” and strongly recommended that: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all reported cases of abuse, rape and/or violence against children committed by members of the armed forces be rapidly, impartially, thoroughly and systematically investigated. Appropriate judicial sanctions should be applied to perpetrators and wide publicity should be given to such sanctions.</w:t>
      </w:r>
      <w:r>
        <w:rPr>
          <w:rFonts w:ascii="Times New Roman" w:eastAsia="Times New Roman" w:hAnsi="Times New Roman" w:cs="Times New Roman"/>
          <w:noProof/>
          <w:sz w:val="24"/>
          <w:szCs w:val="24"/>
        </w:rPr>
        <w:drawing>
          <wp:inline distT="0" distB="0" distL="0" distR="0">
            <wp:extent cx="151130" cy="142875"/>
            <wp:effectExtent l="19050" t="0" r="1270" b="0"/>
            <wp:docPr id="1647" name="Imagen 16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European Court of Human Rights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In </w:t>
      </w:r>
      <w:r w:rsidRPr="007D4751">
        <w:rPr>
          <w:rFonts w:ascii="Times New Roman" w:eastAsia="Times New Roman" w:hAnsi="Times New Roman" w:cs="Times New Roman"/>
          <w:i/>
          <w:iCs/>
          <w:sz w:val="24"/>
          <w:szCs w:val="24"/>
          <w:lang w:val="en-US"/>
        </w:rPr>
        <w:t>S.W. v. UK</w:t>
      </w:r>
      <w:r w:rsidRPr="007D4751">
        <w:rPr>
          <w:rFonts w:ascii="Times New Roman" w:eastAsia="Times New Roman" w:hAnsi="Times New Roman" w:cs="Times New Roman"/>
          <w:sz w:val="24"/>
          <w:szCs w:val="24"/>
          <w:lang w:val="en-US"/>
        </w:rPr>
        <w:t xml:space="preserve"> in 1995, the European Court of Human Rights stated: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43. The decisions of the Court of Appeal and then the House of Lords did no more than continue a perceptible line of case-law development dismantling the immunity of a husband from prosecution for rape upon his wife … There was no doubt under the law as it stood on 18 September 1990 that a husband who forcibly had sexual intercourse with his wife could, in various circumstances, be found guilty of rape. Moreover, there was an evident evolution, which was consistent with the very essence of the offence, of the criminal law through judicial interpretation towards treating such conduct generally as within the scope of the offence of rape. This evolution had reached a stage where judicial recognition of the absence of immunity had become a reasonably foreseeable development of the law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44. The essentially debasing character of rape is so manifest that the result of the decisions of the Court of Appeal and the House of Lords – that the applicant could be convicted of attempted rape, irrespective of his relationship with the victim – cannot be said to be at variance with the object and purpose of Article 7 (art. 7) of the [1950 European Convention on Human Rights], namely to ensure that no one should be subjected to arbitrary prosecution, conviction or punishment … What is more, the abandonment of the unacceptable idea of a husband being immune against prosecution for rape of his wife was in conformity not only with a civilised concept of marriage but also, and above all, with the fundamental objectives of the Convention, the very essence of which is respect for human dignity and human freedom.</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45. Consequently, … Mr Justice Rose did not render a decision permitting a finding of </w:t>
      </w:r>
      <w:r w:rsidRPr="007D4751">
        <w:rPr>
          <w:rFonts w:ascii="Times New Roman" w:eastAsia="Times New Roman" w:hAnsi="Times New Roman" w:cs="Times New Roman"/>
          <w:sz w:val="24"/>
          <w:szCs w:val="24"/>
          <w:lang w:val="en-US"/>
        </w:rPr>
        <w:lastRenderedPageBreak/>
        <w:t>guilt incompatible with Article 7 (art. 7) of the [1950 European Convention on Human Rights].</w:t>
      </w:r>
      <w:r>
        <w:rPr>
          <w:rFonts w:ascii="Times New Roman" w:eastAsia="Times New Roman" w:hAnsi="Times New Roman" w:cs="Times New Roman"/>
          <w:noProof/>
          <w:sz w:val="24"/>
          <w:szCs w:val="24"/>
        </w:rPr>
        <w:drawing>
          <wp:inline distT="0" distB="0" distL="0" distR="0">
            <wp:extent cx="151130" cy="142875"/>
            <wp:effectExtent l="19050" t="0" r="1270" b="0"/>
            <wp:docPr id="1648" name="Imagen 16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In its judgment in </w:t>
      </w:r>
      <w:r w:rsidRPr="007D4751">
        <w:rPr>
          <w:rFonts w:ascii="Times New Roman" w:eastAsia="Times New Roman" w:hAnsi="Times New Roman" w:cs="Times New Roman"/>
          <w:i/>
          <w:iCs/>
          <w:sz w:val="24"/>
          <w:szCs w:val="24"/>
          <w:lang w:val="en-US"/>
        </w:rPr>
        <w:t>Aydin v. Turkey</w:t>
      </w:r>
      <w:r w:rsidRPr="007D4751">
        <w:rPr>
          <w:rFonts w:ascii="Times New Roman" w:eastAsia="Times New Roman" w:hAnsi="Times New Roman" w:cs="Times New Roman"/>
          <w:sz w:val="24"/>
          <w:szCs w:val="24"/>
          <w:lang w:val="en-US"/>
        </w:rPr>
        <w:t xml:space="preserve"> in 1997, the European Court of Human Rights stated: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83. While being held in detention the applicant was raped by a person whose identity has still to be determined. Rape of a detainee by an official of the State must be considered to be an especially grave and abhorrent form of ill-treatment given the ease with which the offender can exploit the vulnerability and weakened resistance of his victim. Furthermore, rape leaves deep psychological scars on the victim which do not respond to the passage of time as quickly as other forms of physical and mental violence. The applicant also experienced the acute physical pain of forced penetration, which must have left her feeling debased and violated both physically and emotionally.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86. Against this background the Court is satisfied that the accumulation of acts of physical and mental violence inflicted on the applicant and the especially cruel act of rape to which she was subjected amounted to torture in breach of article 3 of the [1950 European Convention on Human Rights]. Indeed the court would have reached this conclusion on either of these grounds taken separately.</w:t>
      </w:r>
      <w:r>
        <w:rPr>
          <w:rFonts w:ascii="Times New Roman" w:eastAsia="Times New Roman" w:hAnsi="Times New Roman" w:cs="Times New Roman"/>
          <w:noProof/>
          <w:sz w:val="24"/>
          <w:szCs w:val="24"/>
        </w:rPr>
        <w:drawing>
          <wp:inline distT="0" distB="0" distL="0" distR="0">
            <wp:extent cx="151130" cy="142875"/>
            <wp:effectExtent l="19050" t="0" r="1270" b="0"/>
            <wp:docPr id="1649" name="Imagen 16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In 2001, in </w:t>
      </w:r>
      <w:r w:rsidRPr="007D4751">
        <w:rPr>
          <w:rFonts w:ascii="Times New Roman" w:eastAsia="Times New Roman" w:hAnsi="Times New Roman" w:cs="Times New Roman"/>
          <w:i/>
          <w:iCs/>
          <w:sz w:val="24"/>
          <w:szCs w:val="24"/>
          <w:lang w:val="en-US"/>
        </w:rPr>
        <w:t>Valasinas v. Lithuania</w:t>
      </w:r>
      <w:r w:rsidRPr="007D4751">
        <w:rPr>
          <w:rFonts w:ascii="Times New Roman" w:eastAsia="Times New Roman" w:hAnsi="Times New Roman" w:cs="Times New Roman"/>
          <w:sz w:val="24"/>
          <w:szCs w:val="24"/>
          <w:lang w:val="en-US"/>
        </w:rPr>
        <w:t>, the European Court of Human Rights stated: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117. The Court considers that, while strip-searches may be necessary on occasions to ensure prison security or prevent disorder or crime, they must be conducted in an appropriate manner. Obliging the applicant to strip naked in the presence of a woman, and then touching his sexual organs and food with bare hands showed a clear lack of respect for the applicant, and diminished in effect his human dignity. It must have left him with feelings of anguish and inferiority capable of humiliating and debasing him. The Court concludes, therefore, that the search of 7 May 1998 amounted to degrading treatment within the meaning of Article 3 of the [1950 European Convention on Human Rights].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118. Accordingly, there has been a violation of Article 3 [of the 1950 European Convention on Human Rights] in this respect.</w:t>
      </w:r>
      <w:r>
        <w:rPr>
          <w:rFonts w:ascii="Times New Roman" w:eastAsia="Times New Roman" w:hAnsi="Times New Roman" w:cs="Times New Roman"/>
          <w:noProof/>
          <w:sz w:val="24"/>
          <w:szCs w:val="24"/>
        </w:rPr>
        <w:drawing>
          <wp:inline distT="0" distB="0" distL="0" distR="0">
            <wp:extent cx="151130" cy="142875"/>
            <wp:effectExtent l="19050" t="0" r="1270" b="0"/>
            <wp:docPr id="1650" name="Imagen 16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Inter-American Commission on Human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 a case concerning Peru in 1996, the Inter-American Commission on Human Rights stated: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Current international law establishes that sexual abuse committed by members of security forces, whether as a result of a deliberate practice promoted by the State or as a result of failure by the State to 4prevent the occurrence of this crime, constitutes a violation of the victims’ human rights, especially the right to physical and mental integrity.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the context of international humanitarian law, Article 27 of the Fourth Geneva Convention of 1949 concerning the protection due to civilians in times of war explicitly prohibits sexual abuse. Article 147 of that Convention which lists acts considered as “serious offenses” or “war crimes” includes rape in that it constitutes “torture or inhuman treatment”. The International Committee of the Red Cross (ICRC) has declared that the “serious offense” of “deliberately causing great suffering or seriously harming physical integrity or health” includes sexual abuse.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Moreover, Article 76 of Additional Protocol I to the 1949 Geneva Conventions expressly prohibits rape or other types of sexual abuse. Article 85(4), for its part, states that when these practices are based on racial discrimination they constitute “serious offenses”. As established in the Fourth Convention and Protocol I, any act of rape committed individually constitutes a war crime.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In the case of non-international conflicts, both Article 3 common to the four [1949] </w:t>
      </w:r>
      <w:r w:rsidRPr="007D4751">
        <w:rPr>
          <w:rFonts w:ascii="Times New Roman" w:eastAsia="Times New Roman" w:hAnsi="Times New Roman" w:cs="Times New Roman"/>
          <w:sz w:val="24"/>
          <w:szCs w:val="24"/>
          <w:lang w:val="en-US"/>
        </w:rPr>
        <w:lastRenderedPageBreak/>
        <w:t>Geneva Conventions and Article 4(2) of [the 1977] Protocol II additional to the Conventions, include the prohibition against rape and other sexual abuse insofar as they are the outcome of harm deliberately influenced [</w:t>
      </w:r>
      <w:r w:rsidRPr="007D4751">
        <w:rPr>
          <w:rFonts w:ascii="Times New Roman" w:eastAsia="Times New Roman" w:hAnsi="Times New Roman" w:cs="Times New Roman"/>
          <w:i/>
          <w:iCs/>
          <w:sz w:val="24"/>
          <w:szCs w:val="24"/>
          <w:lang w:val="en-US"/>
        </w:rPr>
        <w:t>sic</w:t>
      </w:r>
      <w:r w:rsidRPr="007D4751">
        <w:rPr>
          <w:rFonts w:ascii="Times New Roman" w:eastAsia="Times New Roman" w:hAnsi="Times New Roman" w:cs="Times New Roman"/>
          <w:sz w:val="24"/>
          <w:szCs w:val="24"/>
          <w:lang w:val="en-US"/>
        </w:rPr>
        <w:t>] on a person. The ICRC has stated that the prohibition laid down in Protocol II reaffirms and complements the common Article 3 since it was necessary to strengthen the protection of women, who can be victims of rape, forced prostitution or other types of abuse.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Article 5 of the [1993 ICTY Statute] established for investigating the serious violations of international humanitarian law committed in the territory of the former Yugoslavia, considers rape practiced on a systematic and large scale a crime against humanity.</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the context of international human rights law, the American Convention on Human Rights stipulates in its Article 5 that: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Every person has the right to have his physical, mental and moral integrity respected.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2. No one shall be subjected to torture or to cruel, inhuman or degrading punishment or treatment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The letter of the Convention does not specify what is to be understood by torture. However, in the inter-American sphere, acts constituting torture are established in the Inter-American Convention to Prevent and Punish Torture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Accordingly, for torture to exist three elements have to be combined:</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1. it must be an intentional act through which physical and mental pain and suffering is inflicted on a person;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2. it must be committed with a purpose;</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3. it must be committed by a public official or by a private person acting at the instigation of the former.</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Regarding the first element, the Commission considers that rape is a physical and mental abuse that is perpetrated as a result of an act of violence. The definition of rape contained in Article 170 of the Peruvian Criminal Code confirms this by using the phrasing “[h]e who, </w:t>
      </w:r>
      <w:r w:rsidRPr="007D4751">
        <w:rPr>
          <w:rFonts w:ascii="Times New Roman" w:eastAsia="Times New Roman" w:hAnsi="Times New Roman" w:cs="Times New Roman"/>
          <w:i/>
          <w:iCs/>
          <w:sz w:val="24"/>
          <w:szCs w:val="24"/>
          <w:lang w:val="en-US"/>
        </w:rPr>
        <w:t>with violence</w:t>
      </w:r>
      <w:r w:rsidRPr="007D4751">
        <w:rPr>
          <w:rFonts w:ascii="Times New Roman" w:eastAsia="Times New Roman" w:hAnsi="Times New Roman" w:cs="Times New Roman"/>
          <w:sz w:val="24"/>
          <w:szCs w:val="24"/>
          <w:lang w:val="en-US"/>
        </w:rPr>
        <w:t xml:space="preserve"> or serious threat, obliges a person to practice the sex act …” The Special Rapporteur against Torture has noted that sexual abuse is one of the various methods of physical torture. Moreover, rape is considered to be a method of psychological torture because its objective, in many cases, is not just to humiliate the victim but also her family or community. In this connection, the above-mentioned Special Rapporteur has stated that, particularly in Peru, “… rape would appear to be a weapon used to punish, intimidate and humiliate.”</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Rape causes physical and mental suffering in the victim. In addition to the violence suffered at the time it is committed, the victims are commonly hurt or, in some cases, are even made pregnant. The fact of being made the subject of abuse of this nature also causes a psychological trauma that results, on the one hand, from having been humiliated and victimized, and on the other, from suffering the condemnation of the members of their community if they report what has been done to them.</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The second element establishes that for an act to be torture it must have been committed intentionally, i.e. to produce a certain result in the victim.</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The third requirement of the definition of torture is that the act must have been perpetrated by a public official or by a private individual at the instigation of the former.</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As concluded in the foregoing, the man who raped [the victim] was [a] member of the security forces who [was] himself accompanied by a large group of soldiers.</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 xml:space="preserve">Accordingly, the Commission, having established that the three elements of the definition of torture are present in the case under consideration, concludes that the </w:t>
      </w:r>
      <w:r w:rsidRPr="007D4751">
        <w:rPr>
          <w:rFonts w:ascii="Times New Roman" w:eastAsia="Times New Roman" w:hAnsi="Times New Roman" w:cs="Times New Roman"/>
          <w:sz w:val="24"/>
          <w:szCs w:val="24"/>
          <w:lang w:val="en-US"/>
        </w:rPr>
        <w:lastRenderedPageBreak/>
        <w:t>Peruvian State is responsible for violation of Article 5 of the [1969 American Convention on Human Rights].</w:t>
      </w:r>
      <w:r>
        <w:rPr>
          <w:rFonts w:ascii="Times New Roman" w:eastAsia="Times New Roman" w:hAnsi="Times New Roman" w:cs="Times New Roman"/>
          <w:noProof/>
          <w:sz w:val="24"/>
          <w:szCs w:val="24"/>
        </w:rPr>
        <w:drawing>
          <wp:inline distT="0" distB="0" distL="0" distR="0">
            <wp:extent cx="151130" cy="142875"/>
            <wp:effectExtent l="19050" t="0" r="1270" b="0"/>
            <wp:docPr id="1651" name="Imagen 16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Eritrea-Ethiopia Claims Commission</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In its </w:t>
      </w:r>
      <w:r w:rsidRPr="007D4751">
        <w:rPr>
          <w:rFonts w:ascii="Times New Roman" w:eastAsia="Times New Roman" w:hAnsi="Times New Roman" w:cs="Times New Roman"/>
          <w:i/>
          <w:iCs/>
          <w:sz w:val="24"/>
          <w:szCs w:val="24"/>
          <w:lang w:val="en-US"/>
        </w:rPr>
        <w:t xml:space="preserve">Central Front (Eritrea’s Claim) </w:t>
      </w:r>
      <w:r w:rsidRPr="007D4751">
        <w:rPr>
          <w:rFonts w:ascii="Times New Roman" w:eastAsia="Times New Roman" w:hAnsi="Times New Roman" w:cs="Times New Roman"/>
          <w:sz w:val="24"/>
          <w:szCs w:val="24"/>
          <w:lang w:val="en-US"/>
        </w:rPr>
        <w:t>partial award in 2004, the Eritrea-Ethiopia Claims Commission, in considering the crime of rape, stated:</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37. The Parties agree that rape of civilians by opposing or occupying forces is a violation of customary international law, as reflected in the [1949] Geneva Conventions. … Article 27 of the 1949 Geneva Convention relative to the Protection of Civilian Persons in Time of War (“Geneva Convention IV”) provides: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i/>
          <w:iCs/>
          <w:sz w:val="24"/>
          <w:szCs w:val="24"/>
          <w:lang w:val="en-US"/>
        </w:rPr>
        <w:t>… Women shall be especially protected against any attack on their honour, in particular against rape, enforced prostitution or any form of indecent assault.</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38. Article 76.1 of [the 1977] Protocol I adds: “Women shall be the object of special respect and shall be protected in particular against rape, forced prostitution and any other form of indecent assault”.</w:t>
      </w:r>
      <w:r>
        <w:rPr>
          <w:rFonts w:ascii="Times New Roman" w:eastAsia="Times New Roman" w:hAnsi="Times New Roman" w:cs="Times New Roman"/>
          <w:noProof/>
          <w:sz w:val="24"/>
          <w:szCs w:val="24"/>
        </w:rPr>
        <w:drawing>
          <wp:inline distT="0" distB="0" distL="0" distR="0">
            <wp:extent cx="151130" cy="142875"/>
            <wp:effectExtent l="19050" t="0" r="1270" b="0"/>
            <wp:docPr id="1652" name="Imagen 16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[emphasis in original]</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7" w:history="1">
        <w:r w:rsidRPr="007D4751">
          <w:rPr>
            <w:rFonts w:ascii="Times New Roman" w:eastAsia="Times New Roman" w:hAnsi="Times New Roman" w:cs="Times New Roman"/>
            <w:color w:val="0000FF"/>
            <w:sz w:val="24"/>
            <w:szCs w:val="24"/>
            <w:u w:val="single"/>
            <w:lang w:val="en-US"/>
          </w:rPr>
          <w:t>XI. International Red Cross and Red Crescent Movement</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ICRC</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To fulfil its task of disseminating IHL, the ICRC has delegates around the world teaching armed and security forces that: “Humiliating and degrading treatment (e.g. enforced prostitution, any form of indecent assault or other outrages upon personal dignity) is prohibited.”</w:t>
      </w:r>
      <w:r>
        <w:rPr>
          <w:rFonts w:ascii="Times New Roman" w:eastAsia="Times New Roman" w:hAnsi="Times New Roman" w:cs="Times New Roman"/>
          <w:noProof/>
          <w:sz w:val="24"/>
          <w:szCs w:val="24"/>
        </w:rPr>
        <w:drawing>
          <wp:inline distT="0" distB="0" distL="0" distR="0">
            <wp:extent cx="151130" cy="142875"/>
            <wp:effectExtent l="19050" t="0" r="1270" b="0"/>
            <wp:docPr id="1653" name="Imagen 16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1992, in a memorandum on the issue of rape as a war crime, the ICRC stated that the definition of grave breaches in Article 147 of the 1949 Geneva Convention IV, in particular wilfully causing great suffering or serious injury to body or health, “obviously covers not only rape, but also any other attack on a woman’s dignity”.</w:t>
      </w:r>
      <w:r>
        <w:rPr>
          <w:rFonts w:ascii="Times New Roman" w:eastAsia="Times New Roman" w:hAnsi="Times New Roman" w:cs="Times New Roman"/>
          <w:noProof/>
          <w:sz w:val="24"/>
          <w:szCs w:val="24"/>
        </w:rPr>
        <w:drawing>
          <wp:inline distT="0" distB="0" distL="0" distR="0">
            <wp:extent cx="151130" cy="142875"/>
            <wp:effectExtent l="19050" t="0" r="1270" b="0"/>
            <wp:docPr id="1654" name="Imagen 16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1997, in a working paper on war crimes submitted to the Preparatory Committee for the Establishment of an International Criminal Court, the ICRC proposed that the war crime of rape and enforced prostitution, as serious violations of international humanitarian law applicable in international and non-international conflicts, be subject to the jurisdiction of the Court.</w:t>
      </w:r>
      <w:r>
        <w:rPr>
          <w:rFonts w:ascii="Times New Roman" w:eastAsia="Times New Roman" w:hAnsi="Times New Roman" w:cs="Times New Roman"/>
          <w:noProof/>
          <w:sz w:val="24"/>
          <w:szCs w:val="24"/>
        </w:rPr>
        <w:drawing>
          <wp:inline distT="0" distB="0" distL="0" distR="0">
            <wp:extent cx="151130" cy="142875"/>
            <wp:effectExtent l="19050" t="0" r="1270" b="0"/>
            <wp:docPr id="1655" name="Imagen 16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xml:space="preserve">  </w:t>
      </w:r>
      <w:r w:rsidRPr="00C74F6F">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t>In its pledge to promote the respect of women in armed conflicts, made at the 27th International Conference of the Red Cross and Red Crescent in 1999, the ICRC expressed grave concern about “the occurrence of sexual violence in armed conflict” and stated that “sexual violence, in all its forms, is prohibited under international humanitarian law and should be vigorously prevented”. The ICRC pledged to place focus “on actively disseminating the prohibition of all forms of sexual violence to parties to an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1656" name="Imagen 16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Back to top</w:t>
      </w:r>
    </w:p>
    <w:p w:rsidR="00C74F6F" w:rsidRPr="00C74F6F" w:rsidRDefault="00C74F6F" w:rsidP="00C74F6F">
      <w:pPr>
        <w:spacing w:after="0" w:line="240" w:lineRule="auto"/>
        <w:rPr>
          <w:rFonts w:ascii="Times New Roman" w:eastAsia="Times New Roman" w:hAnsi="Times New Roman" w:cs="Times New Roman"/>
          <w:sz w:val="24"/>
          <w:szCs w:val="24"/>
          <w:lang w:val="en-US"/>
        </w:rPr>
      </w:pPr>
      <w:hyperlink r:id="rId18" w:history="1">
        <w:r w:rsidRPr="007D4751">
          <w:rPr>
            <w:rFonts w:ascii="Times New Roman" w:eastAsia="Times New Roman" w:hAnsi="Times New Roman" w:cs="Times New Roman"/>
            <w:color w:val="0000FF"/>
            <w:sz w:val="24"/>
            <w:szCs w:val="24"/>
            <w:u w:val="single"/>
            <w:lang w:val="en-US"/>
          </w:rPr>
          <w:t>XII. Other</w:t>
        </w:r>
      </w:hyperlink>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Turku Declaration of Minimum Humanitarian Standards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The Turku Declaration of Minimum Humanitarian Standards, adopted by an expert meeting convened by the Institute for Human Rights of Åbo Akademi University in Turku/Åbo, Finland in 1990, states that rape is and shall remain prohibited.</w:t>
      </w:r>
      <w:r>
        <w:rPr>
          <w:rFonts w:ascii="Times New Roman" w:eastAsia="Times New Roman" w:hAnsi="Times New Roman" w:cs="Times New Roman"/>
          <w:noProof/>
          <w:sz w:val="24"/>
          <w:szCs w:val="24"/>
        </w:rPr>
        <w:drawing>
          <wp:inline distT="0" distB="0" distL="0" distR="0">
            <wp:extent cx="151130" cy="142875"/>
            <wp:effectExtent l="19050" t="0" r="1270" b="0"/>
            <wp:docPr id="1657" name="Imagen 16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7D4751">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International Institute of Humanitarian Law</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 xml:space="preserve">In 1995, the International Institute of Humanitarian Law stated that any declaration on minimum humanitarian standards should be based on “principles … of </w:t>
      </w:r>
      <w:r w:rsidRPr="00C74F6F">
        <w:rPr>
          <w:rFonts w:ascii="Times New Roman" w:eastAsia="Times New Roman" w:hAnsi="Times New Roman" w:cs="Times New Roman"/>
          <w:i/>
          <w:iCs/>
          <w:sz w:val="24"/>
          <w:szCs w:val="24"/>
          <w:lang w:val="en-US"/>
        </w:rPr>
        <w:t>jus cogens</w:t>
      </w:r>
      <w:r w:rsidRPr="00C74F6F">
        <w:rPr>
          <w:rFonts w:ascii="Times New Roman" w:eastAsia="Times New Roman" w:hAnsi="Times New Roman" w:cs="Times New Roman"/>
          <w:sz w:val="24"/>
          <w:szCs w:val="24"/>
          <w:lang w:val="en-US"/>
        </w:rPr>
        <w:t xml:space="preserve">, expressing basic humanitarian consideration[s] which are recognized to be universally binding”. According to the Institute, women were a category calling for special mention, as they were exposed to additional forms of violence. It stated that an article should be inserted in the declaration which could read “women shall be especially </w:t>
      </w:r>
      <w:r w:rsidRPr="00C74F6F">
        <w:rPr>
          <w:rFonts w:ascii="Times New Roman" w:eastAsia="Times New Roman" w:hAnsi="Times New Roman" w:cs="Times New Roman"/>
          <w:sz w:val="24"/>
          <w:szCs w:val="24"/>
          <w:lang w:val="en-US"/>
        </w:rPr>
        <w:lastRenderedPageBreak/>
        <w:t>protected against any attack on their honour, in particular against rape, enforced prostitution, or any other form of indecent assault. They are entitled to treatment which takes into account their special needs.”</w:t>
      </w:r>
      <w:r>
        <w:rPr>
          <w:rFonts w:ascii="Times New Roman" w:eastAsia="Times New Roman" w:hAnsi="Times New Roman" w:cs="Times New Roman"/>
          <w:noProof/>
          <w:sz w:val="24"/>
          <w:szCs w:val="24"/>
        </w:rPr>
        <w:drawing>
          <wp:inline distT="0" distB="0" distL="0" distR="0">
            <wp:extent cx="151130" cy="142875"/>
            <wp:effectExtent l="19050" t="0" r="1270" b="0"/>
            <wp:docPr id="1658" name="Imagen 16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Asia Watch and Physicians for Human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In 1993, in a report on Kashmir, Asia Watch and Physicians for Human Rights stated: “Indian security forces and militant forces in Kashmir use rape as a weapon: to punish, intimidate, coerce, humiliate and degrade their female victims.” They further stated that “Indian government authorities have rarely investigated charges of rape by security forces in Kashmir” and that they were “unaware of any efforts by the militant groups to prevent their forces from committing rape”.</w:t>
      </w:r>
      <w:r>
        <w:rPr>
          <w:rFonts w:ascii="Times New Roman" w:eastAsia="Times New Roman" w:hAnsi="Times New Roman" w:cs="Times New Roman"/>
          <w:noProof/>
          <w:sz w:val="24"/>
          <w:szCs w:val="24"/>
        </w:rPr>
        <w:drawing>
          <wp:inline distT="0" distB="0" distL="0" distR="0">
            <wp:extent cx="151130" cy="142875"/>
            <wp:effectExtent l="19050" t="0" r="1270" b="0"/>
            <wp:docPr id="1659" name="Imagen 16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Bangkok NGO Declaration on Human Rights</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The Bangkok NGO Declaration on Human Rights adopted in 1993 stated: “Crimes against women, including rape … and domestic violence, are rampant. Crimes against women are crimes against humanity, and the failure of governments to prosecute those responsible implies complicity.”</w:t>
      </w:r>
      <w:r>
        <w:rPr>
          <w:rFonts w:ascii="Times New Roman" w:eastAsia="Times New Roman" w:hAnsi="Times New Roman" w:cs="Times New Roman"/>
          <w:noProof/>
          <w:sz w:val="24"/>
          <w:szCs w:val="24"/>
        </w:rPr>
        <w:drawing>
          <wp:inline distT="0" distB="0" distL="0" distR="0">
            <wp:extent cx="151130" cy="142875"/>
            <wp:effectExtent l="19050" t="0" r="1270" b="0"/>
            <wp:docPr id="1660" name="Imagen 16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C74F6F">
        <w:rPr>
          <w:rFonts w:ascii="Times New Roman" w:eastAsia="Times New Roman" w:hAnsi="Times New Roman" w:cs="Times New Roman"/>
          <w:sz w:val="24"/>
          <w:szCs w:val="24"/>
          <w:lang w:val="en-US"/>
        </w:rPr>
        <w:t> </w:t>
      </w:r>
    </w:p>
    <w:p w:rsidR="00C74F6F" w:rsidRPr="00C74F6F" w:rsidRDefault="00C74F6F" w:rsidP="00C74F6F">
      <w:pPr>
        <w:spacing w:after="0" w:line="240" w:lineRule="auto"/>
        <w:rPr>
          <w:rFonts w:ascii="Times New Roman" w:eastAsia="Times New Roman" w:hAnsi="Times New Roman" w:cs="Times New Roman"/>
          <w:sz w:val="24"/>
          <w:szCs w:val="24"/>
          <w:lang w:val="en-US"/>
        </w:rPr>
      </w:pPr>
      <w:r w:rsidRPr="00C74F6F">
        <w:rPr>
          <w:rFonts w:ascii="Times New Roman" w:eastAsia="Times New Roman" w:hAnsi="Times New Roman" w:cs="Times New Roman"/>
          <w:sz w:val="24"/>
          <w:szCs w:val="24"/>
          <w:lang w:val="en-US"/>
        </w:rPr>
        <w:t>VAWW-NET Japan</w:t>
      </w:r>
    </w:p>
    <w:p w:rsidR="00A52B0A" w:rsidRPr="00C74F6F" w:rsidRDefault="00C74F6F" w:rsidP="00C74F6F">
      <w:pPr>
        <w:rPr>
          <w:lang w:val="en-US"/>
        </w:rPr>
      </w:pPr>
      <w:r w:rsidRPr="00C74F6F">
        <w:rPr>
          <w:rFonts w:ascii="Times New Roman" w:eastAsia="Times New Roman" w:hAnsi="Times New Roman" w:cs="Times New Roman"/>
          <w:sz w:val="24"/>
          <w:szCs w:val="24"/>
          <w:lang w:val="en-US"/>
        </w:rPr>
        <w:t>In December 2000, a Japanese NGO simulated a “Women’s International War Crimes Tribunal on Japan’s Military Sexual Slavery” which had jurisdiction over crimes committed against women, including sexual slavery</w:t>
      </w:r>
      <w:r>
        <w:rPr>
          <w:rFonts w:ascii="Times New Roman" w:eastAsia="Times New Roman" w:hAnsi="Times New Roman" w:cs="Times New Roman"/>
          <w:sz w:val="24"/>
          <w:szCs w:val="24"/>
          <w:lang w:val="en-US"/>
        </w:rPr>
        <w:t>.</w:t>
      </w:r>
    </w:p>
    <w:p w:rsidR="00A52B0A" w:rsidRDefault="00A52B0A">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A52B0A" w:rsidRDefault="00A52B0A">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4406D2" w:rsidRDefault="004406D2" w:rsidP="00E848A7">
      <w:pPr>
        <w:rPr>
          <w:b/>
          <w:sz w:val="28"/>
          <w:szCs w:val="28"/>
          <w:lang w:val="en-US"/>
        </w:rPr>
      </w:pPr>
    </w:p>
    <w:p w:rsidR="00E848A7" w:rsidRPr="00530144" w:rsidRDefault="00E848A7" w:rsidP="00E848A7">
      <w:pPr>
        <w:rPr>
          <w:b/>
          <w:sz w:val="28"/>
          <w:szCs w:val="28"/>
          <w:lang w:val="en-US"/>
        </w:rPr>
      </w:pPr>
      <w:r w:rsidRPr="00530144">
        <w:rPr>
          <w:b/>
          <w:sz w:val="28"/>
          <w:szCs w:val="28"/>
          <w:lang w:val="en-US"/>
        </w:rPr>
        <w:t>Part IV * Slavery and Slave Trade</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Slavery and Slave Trade</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b/>
          <w:bCs/>
          <w:sz w:val="24"/>
          <w:szCs w:val="24"/>
          <w:lang w:val="en-US"/>
        </w:rPr>
        <w:t>Rule 94. Slavery and the slave trade in all their forms are prohibited.</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Summary</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State practice establishes this rule as a norm of customary international law applicable in both international and non-international armed conflicts.</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International and non-international armed conflicts</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The prohibition of slavery was specified as early as the Lieber Code.</w:t>
      </w:r>
      <w:bookmarkStart w:id="211" w:name="refFn_14_1"/>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w:t>
      </w:r>
      <w:r w:rsidRPr="007D4751">
        <w:rPr>
          <w:rFonts w:ascii="Times New Roman" w:eastAsia="Times New Roman" w:hAnsi="Times New Roman" w:cs="Times New Roman"/>
          <w:sz w:val="24"/>
          <w:szCs w:val="24"/>
        </w:rPr>
        <w:fldChar w:fldCharType="end"/>
      </w:r>
      <w:bookmarkEnd w:id="211"/>
      <w:r w:rsidRPr="007D4751">
        <w:rPr>
          <w:rFonts w:ascii="Times New Roman" w:eastAsia="Times New Roman" w:hAnsi="Times New Roman" w:cs="Times New Roman"/>
          <w:sz w:val="24"/>
          <w:szCs w:val="24"/>
          <w:lang w:val="en-US"/>
        </w:rPr>
        <w:t>  Although not actually spelled out in the Hague and Geneva Conventions, nor in Additional Protocol I, it is clear that enslaving persons in an international armed conflict is prohibited. The various rules in the Geneva Conventions relating to the labour of prisoners of war and civilians, concerning their release and return, as well as the prohibition in the Hague Regulations of the forced allegiance of persons in occupied territory, presuppose the prohibition of slavery.</w:t>
      </w:r>
      <w:bookmarkStart w:id="212" w:name="refFn_14_2"/>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"Fn_14_2"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[2]</w:t>
      </w:r>
      <w:r w:rsidRPr="007D4751">
        <w:rPr>
          <w:rFonts w:ascii="Times New Roman" w:eastAsia="Times New Roman" w:hAnsi="Times New Roman" w:cs="Times New Roman"/>
          <w:sz w:val="24"/>
          <w:szCs w:val="24"/>
        </w:rPr>
        <w:fldChar w:fldCharType="end"/>
      </w:r>
      <w:bookmarkEnd w:id="212"/>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t xml:space="preserve">The prohibition of “slavery and the slave trade in all their forms” has been recognized in Additional Protocol II as a fundamental guarantee for civilians and persons </w:t>
      </w:r>
      <w:r w:rsidRPr="007D4751">
        <w:rPr>
          <w:rFonts w:ascii="Times New Roman" w:eastAsia="Times New Roman" w:hAnsi="Times New Roman" w:cs="Times New Roman"/>
          <w:i/>
          <w:iCs/>
          <w:sz w:val="24"/>
          <w:szCs w:val="24"/>
          <w:lang w:val="en-US"/>
        </w:rPr>
        <w:t>hors de combat</w:t>
      </w:r>
      <w:r w:rsidRPr="007D4751">
        <w:rPr>
          <w:rFonts w:ascii="Times New Roman" w:eastAsia="Times New Roman" w:hAnsi="Times New Roman" w:cs="Times New Roman"/>
          <w:sz w:val="24"/>
          <w:szCs w:val="24"/>
          <w:lang w:val="en-US"/>
        </w:rPr>
        <w:t>.</w:t>
      </w:r>
      <w:bookmarkStart w:id="213" w:name="refFn_14_3"/>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"Fn_14_3"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[3]</w:t>
      </w:r>
      <w:r w:rsidRPr="007D4751">
        <w:rPr>
          <w:rFonts w:ascii="Times New Roman" w:eastAsia="Times New Roman" w:hAnsi="Times New Roman" w:cs="Times New Roman"/>
          <w:sz w:val="24"/>
          <w:szCs w:val="24"/>
        </w:rPr>
        <w:fldChar w:fldCharType="end"/>
      </w:r>
      <w:bookmarkEnd w:id="213"/>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t>“Enslavement” was considered a crime against humanity in the Charters of the International Military Tribunals at Nuremberg and Tokyo.</w:t>
      </w:r>
      <w:bookmarkStart w:id="214" w:name="refFn_14_4"/>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"Fn_14_4"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[4]</w:t>
      </w:r>
      <w:r w:rsidRPr="007D4751">
        <w:rPr>
          <w:rFonts w:ascii="Times New Roman" w:eastAsia="Times New Roman" w:hAnsi="Times New Roman" w:cs="Times New Roman"/>
          <w:sz w:val="24"/>
          <w:szCs w:val="24"/>
        </w:rPr>
        <w:fldChar w:fldCharType="end"/>
      </w:r>
      <w:bookmarkEnd w:id="214"/>
      <w:r w:rsidRPr="007D4751">
        <w:rPr>
          <w:rFonts w:ascii="Times New Roman" w:eastAsia="Times New Roman" w:hAnsi="Times New Roman" w:cs="Times New Roman"/>
          <w:sz w:val="24"/>
          <w:szCs w:val="24"/>
          <w:lang w:val="en-US"/>
        </w:rPr>
        <w:t>  “Enslavement” is also listed as a crime against humanity under the Statutes of the International Criminal Court and of the International Criminal Tribunals for the former Yugoslavia and for Rwanda.</w:t>
      </w:r>
      <w:bookmarkStart w:id="215" w:name="refFn_14_5"/>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"Fn_14_5"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[5]</w:t>
      </w:r>
      <w:r w:rsidRPr="007D4751">
        <w:rPr>
          <w:rFonts w:ascii="Times New Roman" w:eastAsia="Times New Roman" w:hAnsi="Times New Roman" w:cs="Times New Roman"/>
          <w:sz w:val="24"/>
          <w:szCs w:val="24"/>
        </w:rPr>
        <w:fldChar w:fldCharType="end"/>
      </w:r>
      <w:bookmarkEnd w:id="215"/>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t>The military manuals and the legislation of many States prohibit slavery and the slave trade, or “enslavement”, which is often, but not always, referred to as a crime against humanity.</w:t>
      </w:r>
      <w:bookmarkStart w:id="216" w:name="refFn_14_6"/>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"Fn_14_6"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[6]</w:t>
      </w:r>
      <w:r w:rsidRPr="007D4751">
        <w:rPr>
          <w:rFonts w:ascii="Times New Roman" w:eastAsia="Times New Roman" w:hAnsi="Times New Roman" w:cs="Times New Roman"/>
          <w:sz w:val="24"/>
          <w:szCs w:val="24"/>
        </w:rPr>
        <w:fldChar w:fldCharType="end"/>
      </w:r>
      <w:bookmarkEnd w:id="216"/>
      <w:r w:rsidRPr="007D4751">
        <w:rPr>
          <w:rFonts w:ascii="Times New Roman" w:eastAsia="Times New Roman" w:hAnsi="Times New Roman" w:cs="Times New Roman"/>
          <w:sz w:val="24"/>
          <w:szCs w:val="24"/>
          <w:lang w:val="en-US"/>
        </w:rPr>
        <w:t xml:space="preserve">  In the </w:t>
      </w:r>
      <w:r w:rsidRPr="007D4751">
        <w:rPr>
          <w:rFonts w:ascii="Times New Roman" w:eastAsia="Times New Roman" w:hAnsi="Times New Roman" w:cs="Times New Roman"/>
          <w:i/>
          <w:iCs/>
          <w:sz w:val="24"/>
          <w:szCs w:val="24"/>
          <w:lang w:val="en-US"/>
        </w:rPr>
        <w:t>Krnojelac case</w:t>
      </w:r>
      <w:r w:rsidRPr="007D4751">
        <w:rPr>
          <w:rFonts w:ascii="Times New Roman" w:eastAsia="Times New Roman" w:hAnsi="Times New Roman" w:cs="Times New Roman"/>
          <w:sz w:val="24"/>
          <w:szCs w:val="24"/>
          <w:lang w:val="en-US"/>
        </w:rPr>
        <w:t xml:space="preserve"> before the International Criminal Tribunal for the former Yugoslavia, the defendant was accused, </w:t>
      </w:r>
      <w:r w:rsidRPr="007D4751">
        <w:rPr>
          <w:rFonts w:ascii="Times New Roman" w:eastAsia="Times New Roman" w:hAnsi="Times New Roman" w:cs="Times New Roman"/>
          <w:i/>
          <w:iCs/>
          <w:sz w:val="24"/>
          <w:szCs w:val="24"/>
          <w:lang w:val="en-US"/>
        </w:rPr>
        <w:t>inter alia</w:t>
      </w:r>
      <w:r w:rsidRPr="007D4751">
        <w:rPr>
          <w:rFonts w:ascii="Times New Roman" w:eastAsia="Times New Roman" w:hAnsi="Times New Roman" w:cs="Times New Roman"/>
          <w:sz w:val="24"/>
          <w:szCs w:val="24"/>
          <w:lang w:val="en-US"/>
        </w:rPr>
        <w:t>, of “enslavement as a crime against humanity” and of “slavery as a violation of the laws or customs of war” but was acquitted on these counts for lack of evidence.</w:t>
      </w:r>
      <w:bookmarkStart w:id="217" w:name="refFn_14_7"/>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"Fn_14_7"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[7]</w:t>
      </w:r>
      <w:r w:rsidRPr="007D4751">
        <w:rPr>
          <w:rFonts w:ascii="Times New Roman" w:eastAsia="Times New Roman" w:hAnsi="Times New Roman" w:cs="Times New Roman"/>
          <w:sz w:val="24"/>
          <w:szCs w:val="24"/>
        </w:rPr>
        <w:fldChar w:fldCharType="end"/>
      </w:r>
      <w:bookmarkEnd w:id="217"/>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t>Slavery and the slave trade are equally prohibited in international human rights law. The first universal treaty outlawing slavery and the slave trade was the Slavery Convention in 1926.</w:t>
      </w:r>
      <w:bookmarkStart w:id="218" w:name="refFn_14_8"/>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"Fn_14_8"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[8]</w:t>
      </w:r>
      <w:r w:rsidRPr="007D4751">
        <w:rPr>
          <w:rFonts w:ascii="Times New Roman" w:eastAsia="Times New Roman" w:hAnsi="Times New Roman" w:cs="Times New Roman"/>
          <w:sz w:val="24"/>
          <w:szCs w:val="24"/>
        </w:rPr>
        <w:fldChar w:fldCharType="end"/>
      </w:r>
      <w:bookmarkEnd w:id="218"/>
      <w:r w:rsidRPr="007D4751">
        <w:rPr>
          <w:rFonts w:ascii="Times New Roman" w:eastAsia="Times New Roman" w:hAnsi="Times New Roman" w:cs="Times New Roman"/>
          <w:sz w:val="24"/>
          <w:szCs w:val="24"/>
          <w:lang w:val="en-US"/>
        </w:rPr>
        <w:t>  This was supplemented in 1956 by the Supplementary Convention on the Abolition of Slavery, the Slave Trade, and Institutions and Practices similar to Slavery, outlawing debt bondage, serfdom and inheritance or transfer of women or children.</w:t>
      </w:r>
      <w:bookmarkStart w:id="219" w:name="refFn_14_9"/>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"Fn_14_9"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[9]</w:t>
      </w:r>
      <w:r w:rsidRPr="007D4751">
        <w:rPr>
          <w:rFonts w:ascii="Times New Roman" w:eastAsia="Times New Roman" w:hAnsi="Times New Roman" w:cs="Times New Roman"/>
          <w:sz w:val="24"/>
          <w:szCs w:val="24"/>
        </w:rPr>
        <w:fldChar w:fldCharType="end"/>
      </w:r>
      <w:bookmarkEnd w:id="219"/>
      <w:r w:rsidRPr="007D4751">
        <w:rPr>
          <w:rFonts w:ascii="Times New Roman" w:eastAsia="Times New Roman" w:hAnsi="Times New Roman" w:cs="Times New Roman"/>
          <w:sz w:val="24"/>
          <w:szCs w:val="24"/>
          <w:lang w:val="en-US"/>
        </w:rPr>
        <w:t>  The prohibition of slavery, servitude and the slave trade is a non-derogable right under the International Covenant on Civil and Political Rights and the regional human rights conventions.</w:t>
      </w:r>
      <w:bookmarkStart w:id="220" w:name="refFn_14_10"/>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"Fn_14_10"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[10]</w:t>
      </w:r>
      <w:r w:rsidRPr="007D4751">
        <w:rPr>
          <w:rFonts w:ascii="Times New Roman" w:eastAsia="Times New Roman" w:hAnsi="Times New Roman" w:cs="Times New Roman"/>
          <w:sz w:val="24"/>
          <w:szCs w:val="24"/>
        </w:rPr>
        <w:fldChar w:fldCharType="end"/>
      </w:r>
      <w:bookmarkEnd w:id="220"/>
      <w:r w:rsidRPr="007D4751">
        <w:rPr>
          <w:rFonts w:ascii="Times New Roman" w:eastAsia="Times New Roman" w:hAnsi="Times New Roman" w:cs="Times New Roman"/>
          <w:sz w:val="24"/>
          <w:szCs w:val="24"/>
          <w:lang w:val="en-US"/>
        </w:rPr>
        <w:t>  A series of recent treaties criminalize trafficking in persons, such as the Protocol on the Trafficking in Persons adopted in 2000.</w:t>
      </w:r>
      <w:bookmarkStart w:id="221" w:name="refFn_14_11"/>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"Fn_14_11"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[11]</w:t>
      </w:r>
      <w:r w:rsidRPr="007D4751">
        <w:rPr>
          <w:rFonts w:ascii="Times New Roman" w:eastAsia="Times New Roman" w:hAnsi="Times New Roman" w:cs="Times New Roman"/>
          <w:sz w:val="24"/>
          <w:szCs w:val="24"/>
        </w:rPr>
        <w:fldChar w:fldCharType="end"/>
      </w:r>
      <w:bookmarkEnd w:id="221"/>
      <w:r w:rsidRPr="007D4751">
        <w:rPr>
          <w:rFonts w:ascii="Times New Roman" w:eastAsia="Times New Roman" w:hAnsi="Times New Roman" w:cs="Times New Roman"/>
          <w:sz w:val="24"/>
          <w:szCs w:val="24"/>
          <w:lang w:val="en-US"/>
        </w:rPr>
        <w:t>  Slavery and the slave trade are also prohibited in other international instruments.</w:t>
      </w:r>
      <w:bookmarkStart w:id="222" w:name="refFn_14_12"/>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"Fn_14_12"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[12]</w:t>
      </w:r>
      <w:r w:rsidRPr="007D4751">
        <w:rPr>
          <w:rFonts w:ascii="Times New Roman" w:eastAsia="Times New Roman" w:hAnsi="Times New Roman" w:cs="Times New Roman"/>
          <w:sz w:val="24"/>
          <w:szCs w:val="24"/>
        </w:rPr>
        <w:fldChar w:fldCharType="end"/>
      </w:r>
      <w:bookmarkEnd w:id="222"/>
      <w:r w:rsidRPr="007D4751">
        <w:rPr>
          <w:rFonts w:ascii="Times New Roman" w:eastAsia="Times New Roman" w:hAnsi="Times New Roman" w:cs="Times New Roman"/>
          <w:sz w:val="24"/>
          <w:szCs w:val="24"/>
          <w:lang w:val="en-US"/>
        </w:rPr>
        <w:t> </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Definition of slavery and slave trade</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 xml:space="preserve">The Slavery Convention defines slavery as “the status or condition of a person over whom any or all of the powers attaching to the right of ownership are exercised”. It defines slave trade as including: </w:t>
      </w:r>
      <w:r w:rsidRPr="007D4751">
        <w:rPr>
          <w:rFonts w:ascii="Times New Roman" w:eastAsia="Times New Roman" w:hAnsi="Times New Roman" w:cs="Times New Roman"/>
          <w:sz w:val="24"/>
          <w:szCs w:val="24"/>
          <w:lang w:val="en-US"/>
        </w:rPr>
        <w:br/>
        <w:t>all acts involved in the capture, acquisition or disposal of a person with intent to reduce him to slavery; all acts involved in the acquisition of a slave with a view to selling or exchanging him; all acts of disposal by sale or exchange of a slave acquired with a view to being sold or exchanged, and, in general, every act of trade or transport in slaves.</w:t>
      </w:r>
      <w:bookmarkStart w:id="223" w:name="refFn_14_13"/>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"Fn_14_13"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[13]</w:t>
      </w:r>
      <w:r w:rsidRPr="007D4751">
        <w:rPr>
          <w:rFonts w:ascii="Times New Roman" w:eastAsia="Times New Roman" w:hAnsi="Times New Roman" w:cs="Times New Roman"/>
          <w:sz w:val="24"/>
          <w:szCs w:val="24"/>
        </w:rPr>
        <w:fldChar w:fldCharType="end"/>
      </w:r>
      <w:bookmarkEnd w:id="223"/>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r>
      <w:r w:rsidRPr="007D4751">
        <w:rPr>
          <w:rFonts w:ascii="Times New Roman" w:eastAsia="Times New Roman" w:hAnsi="Times New Roman" w:cs="Times New Roman"/>
          <w:sz w:val="24"/>
          <w:szCs w:val="24"/>
          <w:lang w:val="en-US"/>
        </w:rPr>
        <w:lastRenderedPageBreak/>
        <w:t>These definitions have served as the basis for the definition of “enslavement” in the Statute of the International Criminal Court as “the exercise of any or all of the powers attaching to the right of ownership over a person and includes the exercise of such power in the course of trafficking in persons, in particular women and children”.</w:t>
      </w:r>
      <w:bookmarkStart w:id="224" w:name="refFn_14_14"/>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"Fn_14_14"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[14]</w:t>
      </w:r>
      <w:r w:rsidRPr="007D4751">
        <w:rPr>
          <w:rFonts w:ascii="Times New Roman" w:eastAsia="Times New Roman" w:hAnsi="Times New Roman" w:cs="Times New Roman"/>
          <w:sz w:val="24"/>
          <w:szCs w:val="24"/>
        </w:rPr>
        <w:fldChar w:fldCharType="end"/>
      </w:r>
      <w:bookmarkEnd w:id="224"/>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t>The Supplementary Convention on the Abolition of Slavery, the Slave Trade, and Institutions and Practices similar to Slavery defines serfdom as “the condition or status of a tenant who is by law, custom or agreement bound to live and labour on land belonging to another person and to render some determinate service to such other person, whether for reward or not, and is not free to change his status”.</w:t>
      </w:r>
      <w:bookmarkStart w:id="225" w:name="refFn_14_15"/>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"Fn_14_15"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[15]</w:t>
      </w:r>
      <w:r w:rsidRPr="007D4751">
        <w:rPr>
          <w:rFonts w:ascii="Times New Roman" w:eastAsia="Times New Roman" w:hAnsi="Times New Roman" w:cs="Times New Roman"/>
          <w:sz w:val="24"/>
          <w:szCs w:val="24"/>
        </w:rPr>
        <w:fldChar w:fldCharType="end"/>
      </w:r>
      <w:bookmarkEnd w:id="225"/>
      <w:r w:rsidRPr="007D4751">
        <w:rPr>
          <w:rFonts w:ascii="Times New Roman" w:eastAsia="Times New Roman" w:hAnsi="Times New Roman" w:cs="Times New Roman"/>
          <w:sz w:val="24"/>
          <w:szCs w:val="24"/>
          <w:lang w:val="en-US"/>
        </w:rPr>
        <w:t xml:space="preserve">  In the </w:t>
      </w:r>
      <w:r w:rsidRPr="007D4751">
        <w:rPr>
          <w:rFonts w:ascii="Times New Roman" w:eastAsia="Times New Roman" w:hAnsi="Times New Roman" w:cs="Times New Roman"/>
          <w:i/>
          <w:iCs/>
          <w:sz w:val="24"/>
          <w:szCs w:val="24"/>
          <w:lang w:val="en-US"/>
        </w:rPr>
        <w:t>Pohl case</w:t>
      </w:r>
      <w:r w:rsidRPr="007D4751">
        <w:rPr>
          <w:rFonts w:ascii="Times New Roman" w:eastAsia="Times New Roman" w:hAnsi="Times New Roman" w:cs="Times New Roman"/>
          <w:sz w:val="24"/>
          <w:szCs w:val="24"/>
          <w:lang w:val="en-US"/>
        </w:rPr>
        <w:t xml:space="preserve"> in 1947, the US Military Tribunal at Nuremberg held that “involuntary servitude, even if tempered by humane treatment, is still slavery”.</w:t>
      </w:r>
      <w:bookmarkStart w:id="226" w:name="refFn_14_16"/>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"Fn_14_16"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[16]</w:t>
      </w:r>
      <w:r w:rsidRPr="007D4751">
        <w:rPr>
          <w:rFonts w:ascii="Times New Roman" w:eastAsia="Times New Roman" w:hAnsi="Times New Roman" w:cs="Times New Roman"/>
          <w:sz w:val="24"/>
          <w:szCs w:val="24"/>
        </w:rPr>
        <w:fldChar w:fldCharType="end"/>
      </w:r>
      <w:bookmarkEnd w:id="226"/>
      <w:r w:rsidRPr="007D4751">
        <w:rPr>
          <w:rFonts w:ascii="Times New Roman" w:eastAsia="Times New Roman" w:hAnsi="Times New Roman" w:cs="Times New Roman"/>
          <w:sz w:val="24"/>
          <w:szCs w:val="24"/>
          <w:lang w:val="en-US"/>
        </w:rPr>
        <w:t> </w:t>
      </w:r>
    </w:p>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Sexual slavery</w:t>
      </w:r>
    </w:p>
    <w:p w:rsidR="007D4751" w:rsidRPr="007D4751" w:rsidRDefault="007D4751" w:rsidP="007D4751">
      <w:pPr>
        <w:spacing w:after="24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lang w:val="en-US"/>
        </w:rPr>
        <w:t>Under the Statute of the International Criminal Court, sexual slavery is a war crime in both international and non-international armed conflicts.</w:t>
      </w:r>
      <w:bookmarkStart w:id="227" w:name="refFn_14_17"/>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"Fn_14_17"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[17]</w:t>
      </w:r>
      <w:r w:rsidRPr="007D4751">
        <w:rPr>
          <w:rFonts w:ascii="Times New Roman" w:eastAsia="Times New Roman" w:hAnsi="Times New Roman" w:cs="Times New Roman"/>
          <w:sz w:val="24"/>
          <w:szCs w:val="24"/>
        </w:rPr>
        <w:fldChar w:fldCharType="end"/>
      </w:r>
      <w:bookmarkEnd w:id="227"/>
      <w:r w:rsidRPr="007D4751">
        <w:rPr>
          <w:rFonts w:ascii="Times New Roman" w:eastAsia="Times New Roman" w:hAnsi="Times New Roman" w:cs="Times New Roman"/>
          <w:sz w:val="24"/>
          <w:szCs w:val="24"/>
          <w:lang w:val="en-US"/>
        </w:rPr>
        <w:t>  The elements of crimes for this offence were deliberately drafted to avoid too narrow an interpretation of “sexual slavery”, defining it as the exercise of “any or all of the powers attaching to the right of ownership over one or more persons, such as by purchasing, selling, lending or bartering such a person or persons, or by imposing on them a similar deprivation of liberty” combined with the causing of such person or persons “to engage in one or more acts of a sexual nature”. In relation to the first element of this war crime, the Elements of Crimes specifies that “it is understood that such deprivation of liberty may, in some circumstances, include exacting forced labour or otherwise reducing a person to servile status” as defined in the Supplementary Convention on the Abolition of Slavery, the Slave Trade, and Institutions and Practices similar to Slavery and that “it is also understood that the conduct described in this element includes trafficking in persons, in particular women and children”.</w:t>
      </w:r>
      <w:bookmarkStart w:id="228" w:name="refFn_14_18"/>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"Fn_14_18"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[18]</w:t>
      </w:r>
      <w:r w:rsidRPr="007D4751">
        <w:rPr>
          <w:rFonts w:ascii="Times New Roman" w:eastAsia="Times New Roman" w:hAnsi="Times New Roman" w:cs="Times New Roman"/>
          <w:sz w:val="24"/>
          <w:szCs w:val="24"/>
        </w:rPr>
        <w:fldChar w:fldCharType="end"/>
      </w:r>
      <w:bookmarkEnd w:id="228"/>
      <w:r w:rsidRPr="007D4751">
        <w:rPr>
          <w:rFonts w:ascii="Times New Roman" w:eastAsia="Times New Roman" w:hAnsi="Times New Roman" w:cs="Times New Roman"/>
          <w:sz w:val="24"/>
          <w:szCs w:val="24"/>
          <w:lang w:val="en-US"/>
        </w:rPr>
        <w:t> </w:t>
      </w:r>
      <w:r w:rsidRPr="007D4751">
        <w:rPr>
          <w:rFonts w:ascii="Times New Roman" w:eastAsia="Times New Roman" w:hAnsi="Times New Roman" w:cs="Times New Roman"/>
          <w:sz w:val="24"/>
          <w:szCs w:val="24"/>
          <w:lang w:val="en-US"/>
        </w:rPr>
        <w:br/>
        <w:t xml:space="preserve">In a report submitted in 1998 to the UN Sub-Commission on Human Rights, the Special Rapporteur on the Situation of Systematic Rape, Sexual Slavery and Slavery-like Practices during Wartime stated that “sexual slavery is slavery and its prohibition is a </w:t>
      </w:r>
      <w:r w:rsidRPr="007D4751">
        <w:rPr>
          <w:rFonts w:ascii="Times New Roman" w:eastAsia="Times New Roman" w:hAnsi="Times New Roman" w:cs="Times New Roman"/>
          <w:i/>
          <w:iCs/>
          <w:sz w:val="24"/>
          <w:szCs w:val="24"/>
          <w:lang w:val="en-US"/>
        </w:rPr>
        <w:t>jus cogens</w:t>
      </w:r>
      <w:r w:rsidRPr="007D4751">
        <w:rPr>
          <w:rFonts w:ascii="Times New Roman" w:eastAsia="Times New Roman" w:hAnsi="Times New Roman" w:cs="Times New Roman"/>
          <w:sz w:val="24"/>
          <w:szCs w:val="24"/>
          <w:lang w:val="en-US"/>
        </w:rPr>
        <w:t xml:space="preserve"> norm”.</w:t>
      </w:r>
      <w:bookmarkStart w:id="229" w:name="refFn_14_19"/>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"Fn_14_19"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[19]</w:t>
      </w:r>
      <w:r w:rsidRPr="007D4751">
        <w:rPr>
          <w:rFonts w:ascii="Times New Roman" w:eastAsia="Times New Roman" w:hAnsi="Times New Roman" w:cs="Times New Roman"/>
          <w:sz w:val="24"/>
          <w:szCs w:val="24"/>
        </w:rPr>
        <w:fldChar w:fldCharType="end"/>
      </w:r>
      <w:bookmarkEnd w:id="229"/>
      <w:r w:rsidRPr="007D4751">
        <w:rPr>
          <w:rFonts w:ascii="Times New Roman" w:eastAsia="Times New Roman" w:hAnsi="Times New Roman" w:cs="Times New Roman"/>
          <w:sz w:val="24"/>
          <w:szCs w:val="24"/>
          <w:lang w:val="en-US"/>
        </w:rPr>
        <w:t>  In the ongoing debate surrounding the so-called “comfort women” during the Second World War, both the Special Rapporteur on the Situation of Systematic Rape, Sexual Slavery and Slavery-like Practices during Wartime and the Special Rapporteur on Violence against Women, its Causes and Consequences have stated that they consider the practice of “comfort women” to be a case of sexual slavery. Japan, on the other hand, maintains that the definition of slavery does not apply to the treatment of the women in question.</w:t>
      </w:r>
      <w:bookmarkStart w:id="230" w:name="refFn_14_20"/>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"Fn_14_20"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[20]</w:t>
      </w:r>
      <w:r w:rsidRPr="007D4751">
        <w:rPr>
          <w:rFonts w:ascii="Times New Roman" w:eastAsia="Times New Roman" w:hAnsi="Times New Roman" w:cs="Times New Roman"/>
          <w:sz w:val="24"/>
          <w:szCs w:val="24"/>
        </w:rPr>
        <w:fldChar w:fldCharType="end"/>
      </w:r>
      <w:bookmarkEnd w:id="230"/>
      <w:r w:rsidRPr="007D4751">
        <w:rPr>
          <w:rFonts w:ascii="Times New Roman" w:eastAsia="Times New Roman" w:hAnsi="Times New Roman" w:cs="Times New Roman"/>
          <w:sz w:val="24"/>
          <w:szCs w:val="24"/>
          <w:lang w:val="en-US"/>
        </w:rPr>
        <w:t> </w:t>
      </w:r>
    </w:p>
    <w:bookmarkStart w:id="231" w:name="Fn_14_1"/>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w:t>
      </w:r>
      <w:r w:rsidRPr="007D4751">
        <w:rPr>
          <w:rFonts w:ascii="Times New Roman" w:eastAsia="Times New Roman" w:hAnsi="Times New Roman" w:cs="Times New Roman"/>
          <w:sz w:val="24"/>
          <w:szCs w:val="24"/>
        </w:rPr>
        <w:fldChar w:fldCharType="end"/>
      </w:r>
      <w:bookmarkEnd w:id="231"/>
      <w:r w:rsidRPr="007D4751">
        <w:rPr>
          <w:rFonts w:ascii="Times New Roman" w:eastAsia="Times New Roman" w:hAnsi="Times New Roman" w:cs="Times New Roman"/>
          <w:sz w:val="24"/>
          <w:szCs w:val="24"/>
          <w:lang w:val="en-US"/>
        </w:rPr>
        <w:t xml:space="preserve"> Lieber Code, Article 23 (cited in Vol. II, Ch. 32, § 1782), Article 42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1783) and Article 58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1784).</w:t>
      </w:r>
    </w:p>
    <w:bookmarkStart w:id="232" w:name="Fn_14_2"/>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"refFn_14_2"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[2]</w:t>
      </w:r>
      <w:r w:rsidRPr="007D4751">
        <w:rPr>
          <w:rFonts w:ascii="Times New Roman" w:eastAsia="Times New Roman" w:hAnsi="Times New Roman" w:cs="Times New Roman"/>
          <w:sz w:val="24"/>
          <w:szCs w:val="24"/>
        </w:rPr>
        <w:fldChar w:fldCharType="end"/>
      </w:r>
      <w:bookmarkEnd w:id="232"/>
      <w:r w:rsidRPr="007D4751">
        <w:rPr>
          <w:rFonts w:ascii="Times New Roman" w:eastAsia="Times New Roman" w:hAnsi="Times New Roman" w:cs="Times New Roman"/>
          <w:sz w:val="24"/>
          <w:szCs w:val="24"/>
          <w:lang w:val="en-US"/>
        </w:rPr>
        <w:t xml:space="preserve"> Third Geneva Convention, Articles 49–68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1760–1762) and Articles 109–119 (cited in Vol. II, Ch. 37, §§ 606–607); Fourth Geneva Convention, Article 40 (cited in Vol. II, Ch. 32, § 1763), Articles 51–52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1764), Articles 95–96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1765) and Articles 132–135 (cited in Vol</w:t>
      </w:r>
      <w:r w:rsidRPr="007D4751">
        <w:rPr>
          <w:rFonts w:ascii="Times New Roman" w:eastAsia="Times New Roman" w:hAnsi="Times New Roman" w:cs="Times New Roman"/>
          <w:i/>
          <w:iCs/>
          <w:sz w:val="24"/>
          <w:szCs w:val="24"/>
          <w:lang w:val="en-US"/>
        </w:rPr>
        <w:t xml:space="preserve">. </w:t>
      </w:r>
      <w:r w:rsidRPr="007D4751">
        <w:rPr>
          <w:rFonts w:ascii="Times New Roman" w:eastAsia="Times New Roman" w:hAnsi="Times New Roman" w:cs="Times New Roman"/>
          <w:sz w:val="24"/>
          <w:szCs w:val="24"/>
          <w:lang w:val="en-US"/>
        </w:rPr>
        <w:t>II, Ch. 37, §§ 608–610); Hague Regulations, Article 45.</w:t>
      </w:r>
    </w:p>
    <w:bookmarkStart w:id="233" w:name="Fn_14_3"/>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"refFn_14_3"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[3]</w:t>
      </w:r>
      <w:r w:rsidRPr="007D4751">
        <w:rPr>
          <w:rFonts w:ascii="Times New Roman" w:eastAsia="Times New Roman" w:hAnsi="Times New Roman" w:cs="Times New Roman"/>
          <w:sz w:val="24"/>
          <w:szCs w:val="24"/>
        </w:rPr>
        <w:fldChar w:fldCharType="end"/>
      </w:r>
      <w:bookmarkEnd w:id="233"/>
      <w:r w:rsidRPr="007D4751">
        <w:rPr>
          <w:rFonts w:ascii="Times New Roman" w:eastAsia="Times New Roman" w:hAnsi="Times New Roman" w:cs="Times New Roman"/>
          <w:sz w:val="24"/>
          <w:szCs w:val="24"/>
          <w:lang w:val="en-US"/>
        </w:rPr>
        <w:t xml:space="preserve"> Additional Protocol II, Article 4(2)(f) (adopted by consensus) (cited in Vol. II, Ch. 32, § 1772).</w:t>
      </w:r>
    </w:p>
    <w:bookmarkStart w:id="234" w:name="Fn_14_4"/>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"refFn_14_4"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[4]</w:t>
      </w:r>
      <w:r w:rsidRPr="007D4751">
        <w:rPr>
          <w:rFonts w:ascii="Times New Roman" w:eastAsia="Times New Roman" w:hAnsi="Times New Roman" w:cs="Times New Roman"/>
          <w:sz w:val="24"/>
          <w:szCs w:val="24"/>
        </w:rPr>
        <w:fldChar w:fldCharType="end"/>
      </w:r>
      <w:bookmarkEnd w:id="234"/>
      <w:r w:rsidRPr="007D4751">
        <w:rPr>
          <w:rFonts w:ascii="Times New Roman" w:eastAsia="Times New Roman" w:hAnsi="Times New Roman" w:cs="Times New Roman"/>
          <w:sz w:val="24"/>
          <w:szCs w:val="24"/>
          <w:lang w:val="en-US"/>
        </w:rPr>
        <w:t xml:space="preserve"> IMT Charter (Nuremberg), Article 6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1759); IMT Charter (Tokyo), Article 5(c)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1787).</w:t>
      </w:r>
    </w:p>
    <w:bookmarkStart w:id="235" w:name="Fn_14_5"/>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"refFn_14_5"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[5]</w:t>
      </w:r>
      <w:r w:rsidRPr="007D4751">
        <w:rPr>
          <w:rFonts w:ascii="Times New Roman" w:eastAsia="Times New Roman" w:hAnsi="Times New Roman" w:cs="Times New Roman"/>
          <w:sz w:val="24"/>
          <w:szCs w:val="24"/>
        </w:rPr>
        <w:fldChar w:fldCharType="end"/>
      </w:r>
      <w:bookmarkEnd w:id="235"/>
      <w:r w:rsidRPr="007D4751">
        <w:rPr>
          <w:rFonts w:ascii="Times New Roman" w:eastAsia="Times New Roman" w:hAnsi="Times New Roman" w:cs="Times New Roman"/>
          <w:sz w:val="24"/>
          <w:szCs w:val="24"/>
          <w:lang w:val="en-US"/>
        </w:rPr>
        <w:t xml:space="preserve"> ICTY Statute, Article 5(c)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1793); ICTR Statute, Article 3(c)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1794); ICC Statute, Article 7(1)(c)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1777).</w:t>
      </w:r>
    </w:p>
    <w:bookmarkStart w:id="236" w:name="Fn_14_6"/>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lastRenderedPageBreak/>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"refFn_14_6"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[6]</w:t>
      </w:r>
      <w:r w:rsidRPr="007D4751">
        <w:rPr>
          <w:rFonts w:ascii="Times New Roman" w:eastAsia="Times New Roman" w:hAnsi="Times New Roman" w:cs="Times New Roman"/>
          <w:sz w:val="24"/>
          <w:szCs w:val="24"/>
        </w:rPr>
        <w:fldChar w:fldCharType="end"/>
      </w:r>
      <w:bookmarkEnd w:id="236"/>
      <w:r w:rsidRPr="007D4751">
        <w:rPr>
          <w:rFonts w:ascii="Times New Roman" w:eastAsia="Times New Roman" w:hAnsi="Times New Roman" w:cs="Times New Roman"/>
          <w:sz w:val="24"/>
          <w:szCs w:val="24"/>
          <w:lang w:val="en-US"/>
        </w:rPr>
        <w:t xml:space="preserve"> See, e.g., the military manuals of Canada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1800), France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1802), Israel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1803), Netherlands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1804), New Zealand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1805), Senegal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1807) and United States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1813) and the legislation of Armenia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1815), Australia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1818), Belgium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1823), Canada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1826), China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1827), Congo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1829), Croatia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1831), France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1833), Ireland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1834), Kenya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1837), Mali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1841), Netherlands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1842), New Zealand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1844), Niger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1846), Norway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1847), Philippines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1849), United Kingdom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1853) and United States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1854–1855); see also the draft legislation of Burundi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1825) and Trinidad and Tobago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1851).</w:t>
      </w:r>
    </w:p>
    <w:bookmarkStart w:id="237" w:name="Fn_14_7"/>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"refFn_14_7"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[7]</w:t>
      </w:r>
      <w:r w:rsidRPr="007D4751">
        <w:rPr>
          <w:rFonts w:ascii="Times New Roman" w:eastAsia="Times New Roman" w:hAnsi="Times New Roman" w:cs="Times New Roman"/>
          <w:sz w:val="24"/>
          <w:szCs w:val="24"/>
        </w:rPr>
        <w:fldChar w:fldCharType="end"/>
      </w:r>
      <w:bookmarkEnd w:id="237"/>
      <w:r w:rsidRPr="007D4751">
        <w:rPr>
          <w:rFonts w:ascii="Times New Roman" w:eastAsia="Times New Roman" w:hAnsi="Times New Roman" w:cs="Times New Roman"/>
          <w:sz w:val="24"/>
          <w:szCs w:val="24"/>
          <w:lang w:val="en-US"/>
        </w:rPr>
        <w:t xml:space="preserve"> ICTY, </w:t>
      </w:r>
      <w:r w:rsidRPr="007D4751">
        <w:rPr>
          <w:rFonts w:ascii="Times New Roman" w:eastAsia="Times New Roman" w:hAnsi="Times New Roman" w:cs="Times New Roman"/>
          <w:i/>
          <w:iCs/>
          <w:sz w:val="24"/>
          <w:szCs w:val="24"/>
          <w:lang w:val="en-US"/>
        </w:rPr>
        <w:t>Krnojelac case</w:t>
      </w:r>
      <w:r w:rsidRPr="007D4751">
        <w:rPr>
          <w:rFonts w:ascii="Times New Roman" w:eastAsia="Times New Roman" w:hAnsi="Times New Roman" w:cs="Times New Roman"/>
          <w:sz w:val="24"/>
          <w:szCs w:val="24"/>
          <w:lang w:val="en-US"/>
        </w:rPr>
        <w:t>, Judgment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1895).</w:t>
      </w:r>
    </w:p>
    <w:bookmarkStart w:id="238" w:name="Fn_14_8"/>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"refFn_14_8"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[8]</w:t>
      </w:r>
      <w:r w:rsidRPr="007D4751">
        <w:rPr>
          <w:rFonts w:ascii="Times New Roman" w:eastAsia="Times New Roman" w:hAnsi="Times New Roman" w:cs="Times New Roman"/>
          <w:sz w:val="24"/>
          <w:szCs w:val="24"/>
        </w:rPr>
        <w:fldChar w:fldCharType="end"/>
      </w:r>
      <w:bookmarkEnd w:id="238"/>
      <w:r w:rsidRPr="007D4751">
        <w:rPr>
          <w:rFonts w:ascii="Times New Roman" w:eastAsia="Times New Roman" w:hAnsi="Times New Roman" w:cs="Times New Roman"/>
          <w:sz w:val="24"/>
          <w:szCs w:val="24"/>
          <w:lang w:val="en-US"/>
        </w:rPr>
        <w:t xml:space="preserve"> Slavery Convention, Article 2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1756).</w:t>
      </w:r>
    </w:p>
    <w:bookmarkStart w:id="239" w:name="Fn_14_9"/>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"refFn_14_9"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[9]</w:t>
      </w:r>
      <w:r w:rsidRPr="007D4751">
        <w:rPr>
          <w:rFonts w:ascii="Times New Roman" w:eastAsia="Times New Roman" w:hAnsi="Times New Roman" w:cs="Times New Roman"/>
          <w:sz w:val="24"/>
          <w:szCs w:val="24"/>
        </w:rPr>
        <w:fldChar w:fldCharType="end"/>
      </w:r>
      <w:bookmarkEnd w:id="239"/>
      <w:r w:rsidRPr="007D4751">
        <w:rPr>
          <w:rFonts w:ascii="Times New Roman" w:eastAsia="Times New Roman" w:hAnsi="Times New Roman" w:cs="Times New Roman"/>
          <w:sz w:val="24"/>
          <w:szCs w:val="24"/>
          <w:lang w:val="en-US"/>
        </w:rPr>
        <w:t xml:space="preserve"> Supplementary Convention on the Abolition of Slavery, the Slave Trade and Institutions similar to Slavery, Article 1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1767).</w:t>
      </w:r>
    </w:p>
    <w:bookmarkStart w:id="240" w:name="Fn_14_10"/>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"refFn_14_10"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[10]</w:t>
      </w:r>
      <w:r w:rsidRPr="007D4751">
        <w:rPr>
          <w:rFonts w:ascii="Times New Roman" w:eastAsia="Times New Roman" w:hAnsi="Times New Roman" w:cs="Times New Roman"/>
          <w:sz w:val="24"/>
          <w:szCs w:val="24"/>
        </w:rPr>
        <w:fldChar w:fldCharType="end"/>
      </w:r>
      <w:bookmarkEnd w:id="240"/>
      <w:r w:rsidRPr="007D4751">
        <w:rPr>
          <w:rFonts w:ascii="Times New Roman" w:eastAsia="Times New Roman" w:hAnsi="Times New Roman" w:cs="Times New Roman"/>
          <w:sz w:val="24"/>
          <w:szCs w:val="24"/>
          <w:lang w:val="en-US"/>
        </w:rPr>
        <w:t xml:space="preserve"> International Covenant on Civil and Political Rights, Article 8 (slavery, slave-trade and servitude)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1770); European Convention on Human Rights, Article 4(1) (slavery and servitude)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1766); American Convention on Human Rights, Article 6(1) (slavery, involuntary servitude and slave trade)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1771); African Charter on Human and Peoples’ Rights, Article 5 (slavery and slave trade)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1774).</w:t>
      </w:r>
    </w:p>
    <w:bookmarkStart w:id="241" w:name="Fn_14_11"/>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"refFn_14_11"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[11]</w:t>
      </w:r>
      <w:r w:rsidRPr="007D4751">
        <w:rPr>
          <w:rFonts w:ascii="Times New Roman" w:eastAsia="Times New Roman" w:hAnsi="Times New Roman" w:cs="Times New Roman"/>
          <w:sz w:val="24"/>
          <w:szCs w:val="24"/>
        </w:rPr>
        <w:fldChar w:fldCharType="end"/>
      </w:r>
      <w:bookmarkEnd w:id="241"/>
      <w:r w:rsidRPr="007D4751">
        <w:rPr>
          <w:rFonts w:ascii="Times New Roman" w:eastAsia="Times New Roman" w:hAnsi="Times New Roman" w:cs="Times New Roman"/>
          <w:sz w:val="24"/>
          <w:szCs w:val="24"/>
          <w:lang w:val="en-US"/>
        </w:rPr>
        <w:t xml:space="preserve"> Protocol on Trafficking in Persons, Articles 1, 3 and 5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1781).</w:t>
      </w:r>
    </w:p>
    <w:bookmarkStart w:id="242" w:name="Fn_14_12"/>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"refFn_14_12"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[12]</w:t>
      </w:r>
      <w:r w:rsidRPr="007D4751">
        <w:rPr>
          <w:rFonts w:ascii="Times New Roman" w:eastAsia="Times New Roman" w:hAnsi="Times New Roman" w:cs="Times New Roman"/>
          <w:sz w:val="24"/>
          <w:szCs w:val="24"/>
        </w:rPr>
        <w:fldChar w:fldCharType="end"/>
      </w:r>
      <w:bookmarkEnd w:id="242"/>
      <w:r w:rsidRPr="007D4751">
        <w:rPr>
          <w:rFonts w:ascii="Times New Roman" w:eastAsia="Times New Roman" w:hAnsi="Times New Roman" w:cs="Times New Roman"/>
          <w:sz w:val="24"/>
          <w:szCs w:val="24"/>
          <w:lang w:val="en-US"/>
        </w:rPr>
        <w:t xml:space="preserve"> See, e.g., Universal Declaration on Human Rights, Article 4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1788); Cairo Declaration on Human Rights in Islam, Article 11(a)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1791); EU Charter of Fundamental Rights, Article 5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1798).</w:t>
      </w:r>
    </w:p>
    <w:bookmarkStart w:id="243" w:name="Fn_14_13"/>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"refFn_14_13"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[13]</w:t>
      </w:r>
      <w:r w:rsidRPr="007D4751">
        <w:rPr>
          <w:rFonts w:ascii="Times New Roman" w:eastAsia="Times New Roman" w:hAnsi="Times New Roman" w:cs="Times New Roman"/>
          <w:sz w:val="24"/>
          <w:szCs w:val="24"/>
        </w:rPr>
        <w:fldChar w:fldCharType="end"/>
      </w:r>
      <w:bookmarkEnd w:id="243"/>
      <w:r w:rsidRPr="007D4751">
        <w:rPr>
          <w:rFonts w:ascii="Times New Roman" w:eastAsia="Times New Roman" w:hAnsi="Times New Roman" w:cs="Times New Roman"/>
          <w:sz w:val="24"/>
          <w:szCs w:val="24"/>
          <w:lang w:val="en-US"/>
        </w:rPr>
        <w:t xml:space="preserve"> Slavery Convention, Article 1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1756).</w:t>
      </w:r>
    </w:p>
    <w:bookmarkStart w:id="244" w:name="Fn_14_14"/>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"refFn_14_14"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[14]</w:t>
      </w:r>
      <w:r w:rsidRPr="007D4751">
        <w:rPr>
          <w:rFonts w:ascii="Times New Roman" w:eastAsia="Times New Roman" w:hAnsi="Times New Roman" w:cs="Times New Roman"/>
          <w:sz w:val="24"/>
          <w:szCs w:val="24"/>
        </w:rPr>
        <w:fldChar w:fldCharType="end"/>
      </w:r>
      <w:bookmarkEnd w:id="244"/>
      <w:r w:rsidRPr="007D4751">
        <w:rPr>
          <w:rFonts w:ascii="Times New Roman" w:eastAsia="Times New Roman" w:hAnsi="Times New Roman" w:cs="Times New Roman"/>
          <w:sz w:val="24"/>
          <w:szCs w:val="24"/>
          <w:lang w:val="en-US"/>
        </w:rPr>
        <w:t xml:space="preserve"> ICC Statute, Article 7(2)(c)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1777).</w:t>
      </w:r>
    </w:p>
    <w:bookmarkStart w:id="245" w:name="Fn_14_15"/>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"refFn_14_15"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[15]</w:t>
      </w:r>
      <w:r w:rsidRPr="007D4751">
        <w:rPr>
          <w:rFonts w:ascii="Times New Roman" w:eastAsia="Times New Roman" w:hAnsi="Times New Roman" w:cs="Times New Roman"/>
          <w:sz w:val="24"/>
          <w:szCs w:val="24"/>
        </w:rPr>
        <w:fldChar w:fldCharType="end"/>
      </w:r>
      <w:bookmarkEnd w:id="245"/>
      <w:r w:rsidRPr="007D4751">
        <w:rPr>
          <w:rFonts w:ascii="Times New Roman" w:eastAsia="Times New Roman" w:hAnsi="Times New Roman" w:cs="Times New Roman"/>
          <w:sz w:val="24"/>
          <w:szCs w:val="24"/>
          <w:lang w:val="en-US"/>
        </w:rPr>
        <w:t xml:space="preserve"> Supplementary Convention on the Abolition of Slavery, the Slave Trade and Institutions similar to Slavery, Article 1(b). For an application of this definition, see European Commission of Human Rights, </w:t>
      </w:r>
      <w:r w:rsidRPr="007D4751">
        <w:rPr>
          <w:rFonts w:ascii="Times New Roman" w:eastAsia="Times New Roman" w:hAnsi="Times New Roman" w:cs="Times New Roman"/>
          <w:i/>
          <w:iCs/>
          <w:sz w:val="24"/>
          <w:szCs w:val="24"/>
          <w:lang w:val="en-US"/>
        </w:rPr>
        <w:t>Van Droogenbroeck v. Belgium</w:t>
      </w:r>
      <w:r w:rsidRPr="007D4751">
        <w:rPr>
          <w:rFonts w:ascii="Times New Roman" w:eastAsia="Times New Roman" w:hAnsi="Times New Roman" w:cs="Times New Roman"/>
          <w:sz w:val="24"/>
          <w:szCs w:val="24"/>
          <w:lang w:val="en-US"/>
        </w:rPr>
        <w:t xml:space="preserv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1898).</w:t>
      </w:r>
    </w:p>
    <w:bookmarkStart w:id="246" w:name="Fn_14_16"/>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"refFn_14_16"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[16]</w:t>
      </w:r>
      <w:r w:rsidRPr="007D4751">
        <w:rPr>
          <w:rFonts w:ascii="Times New Roman" w:eastAsia="Times New Roman" w:hAnsi="Times New Roman" w:cs="Times New Roman"/>
          <w:sz w:val="24"/>
          <w:szCs w:val="24"/>
        </w:rPr>
        <w:fldChar w:fldCharType="end"/>
      </w:r>
      <w:bookmarkEnd w:id="246"/>
      <w:r w:rsidRPr="007D4751">
        <w:rPr>
          <w:rFonts w:ascii="Times New Roman" w:eastAsia="Times New Roman" w:hAnsi="Times New Roman" w:cs="Times New Roman"/>
          <w:sz w:val="24"/>
          <w:szCs w:val="24"/>
          <w:lang w:val="en-US"/>
        </w:rPr>
        <w:t xml:space="preserve"> United States, Military Tribunal at Nuremberg, </w:t>
      </w:r>
      <w:r w:rsidRPr="007D4751">
        <w:rPr>
          <w:rFonts w:ascii="Times New Roman" w:eastAsia="Times New Roman" w:hAnsi="Times New Roman" w:cs="Times New Roman"/>
          <w:i/>
          <w:iCs/>
          <w:sz w:val="24"/>
          <w:szCs w:val="24"/>
          <w:lang w:val="en-US"/>
        </w:rPr>
        <w:t>Pohl case</w:t>
      </w:r>
      <w:r w:rsidRPr="007D4751">
        <w:rPr>
          <w:rFonts w:ascii="Times New Roman" w:eastAsia="Times New Roman" w:hAnsi="Times New Roman" w:cs="Times New Roman"/>
          <w:sz w:val="24"/>
          <w:szCs w:val="24"/>
          <w:lang w:val="en-US"/>
        </w:rPr>
        <w:t xml:space="preserve">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1867).</w:t>
      </w:r>
    </w:p>
    <w:bookmarkStart w:id="247" w:name="Fn_14_17"/>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"refFn_14_17"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[17]</w:t>
      </w:r>
      <w:r w:rsidRPr="007D4751">
        <w:rPr>
          <w:rFonts w:ascii="Times New Roman" w:eastAsia="Times New Roman" w:hAnsi="Times New Roman" w:cs="Times New Roman"/>
          <w:sz w:val="24"/>
          <w:szCs w:val="24"/>
        </w:rPr>
        <w:fldChar w:fldCharType="end"/>
      </w:r>
      <w:bookmarkEnd w:id="247"/>
      <w:r w:rsidRPr="007D4751">
        <w:rPr>
          <w:rFonts w:ascii="Times New Roman" w:eastAsia="Times New Roman" w:hAnsi="Times New Roman" w:cs="Times New Roman"/>
          <w:sz w:val="24"/>
          <w:szCs w:val="24"/>
          <w:lang w:val="en-US"/>
        </w:rPr>
        <w:t xml:space="preserve"> ICC Statute, Article 8(2)(b)(xxii) and (e)(vi)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1778).</w:t>
      </w:r>
    </w:p>
    <w:bookmarkStart w:id="248" w:name="Fn_14_18"/>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"refFn_14_18"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[18]</w:t>
      </w:r>
      <w:r w:rsidRPr="007D4751">
        <w:rPr>
          <w:rFonts w:ascii="Times New Roman" w:eastAsia="Times New Roman" w:hAnsi="Times New Roman" w:cs="Times New Roman"/>
          <w:sz w:val="24"/>
          <w:szCs w:val="24"/>
        </w:rPr>
        <w:fldChar w:fldCharType="end"/>
      </w:r>
      <w:bookmarkEnd w:id="248"/>
      <w:r w:rsidRPr="007D4751">
        <w:rPr>
          <w:rFonts w:ascii="Times New Roman" w:eastAsia="Times New Roman" w:hAnsi="Times New Roman" w:cs="Times New Roman"/>
          <w:sz w:val="24"/>
          <w:szCs w:val="24"/>
          <w:lang w:val="en-US"/>
        </w:rPr>
        <w:t xml:space="preserve"> Elements of Crimes for the ICC, Definition of sexual slavery (ICC Statute, Article 8(2)(b)(xxii), including Footnote 53, and Article 8(2)(e)(vi), including Footnote 65).</w:t>
      </w:r>
    </w:p>
    <w:bookmarkStart w:id="249" w:name="Fn_14_19"/>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"refFn_14_19"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[19]</w:t>
      </w:r>
      <w:r w:rsidRPr="007D4751">
        <w:rPr>
          <w:rFonts w:ascii="Times New Roman" w:eastAsia="Times New Roman" w:hAnsi="Times New Roman" w:cs="Times New Roman"/>
          <w:sz w:val="24"/>
          <w:szCs w:val="24"/>
        </w:rPr>
        <w:fldChar w:fldCharType="end"/>
      </w:r>
      <w:bookmarkEnd w:id="249"/>
      <w:r w:rsidRPr="007D4751">
        <w:rPr>
          <w:rFonts w:ascii="Times New Roman" w:eastAsia="Times New Roman" w:hAnsi="Times New Roman" w:cs="Times New Roman"/>
          <w:sz w:val="24"/>
          <w:szCs w:val="24"/>
          <w:lang w:val="en-US"/>
        </w:rPr>
        <w:t xml:space="preserve"> UN Sub-Commission on Human Rights, Special Rapporteur on the Situation of Systematic Rape, Sexual Slavery and Slavery-like Practices during Wartime, Final report (cited in Vol. II, Ch. 32, § 1885).</w:t>
      </w:r>
    </w:p>
    <w:bookmarkStart w:id="250" w:name="Fn_14_20"/>
    <w:p w:rsidR="007D4751" w:rsidRPr="007D4751" w:rsidRDefault="007D4751" w:rsidP="007D4751">
      <w:pPr>
        <w:spacing w:after="0" w:line="240" w:lineRule="auto"/>
        <w:rPr>
          <w:rFonts w:ascii="Times New Roman" w:eastAsia="Times New Roman" w:hAnsi="Times New Roman" w:cs="Times New Roman"/>
          <w:sz w:val="24"/>
          <w:szCs w:val="24"/>
          <w:lang w:val="en-US"/>
        </w:rPr>
      </w:pPr>
      <w:r w:rsidRPr="007D4751">
        <w:rPr>
          <w:rFonts w:ascii="Times New Roman" w:eastAsia="Times New Roman" w:hAnsi="Times New Roman" w:cs="Times New Roman"/>
          <w:sz w:val="24"/>
          <w:szCs w:val="24"/>
        </w:rPr>
        <w:fldChar w:fldCharType="begin"/>
      </w:r>
      <w:r w:rsidRPr="007D4751">
        <w:rPr>
          <w:rFonts w:ascii="Times New Roman" w:eastAsia="Times New Roman" w:hAnsi="Times New Roman" w:cs="Times New Roman"/>
          <w:sz w:val="24"/>
          <w:szCs w:val="24"/>
          <w:lang w:val="en-US"/>
        </w:rPr>
        <w:instrText xml:space="preserve"> HYPERLINK "https://ihl-databases.icrc.org/customary-ihl/eng/docs/v1_rul_rule94" \l "refFn_14_20" </w:instrText>
      </w:r>
      <w:r w:rsidRPr="007D4751">
        <w:rPr>
          <w:rFonts w:ascii="Times New Roman" w:eastAsia="Times New Roman" w:hAnsi="Times New Roman" w:cs="Times New Roman"/>
          <w:sz w:val="24"/>
          <w:szCs w:val="24"/>
        </w:rPr>
        <w:fldChar w:fldCharType="separate"/>
      </w:r>
      <w:r w:rsidRPr="007D4751">
        <w:rPr>
          <w:rFonts w:ascii="Times New Roman" w:eastAsia="Times New Roman" w:hAnsi="Times New Roman" w:cs="Times New Roman"/>
          <w:color w:val="0000FF"/>
          <w:sz w:val="24"/>
          <w:szCs w:val="24"/>
          <w:u w:val="single"/>
          <w:lang w:val="en-US"/>
        </w:rPr>
        <w:t>[20]</w:t>
      </w:r>
      <w:r w:rsidRPr="007D4751">
        <w:rPr>
          <w:rFonts w:ascii="Times New Roman" w:eastAsia="Times New Roman" w:hAnsi="Times New Roman" w:cs="Times New Roman"/>
          <w:sz w:val="24"/>
          <w:szCs w:val="24"/>
        </w:rPr>
        <w:fldChar w:fldCharType="end"/>
      </w:r>
      <w:bookmarkEnd w:id="250"/>
      <w:r w:rsidRPr="007D4751">
        <w:rPr>
          <w:rFonts w:ascii="Times New Roman" w:eastAsia="Times New Roman" w:hAnsi="Times New Roman" w:cs="Times New Roman"/>
          <w:sz w:val="24"/>
          <w:szCs w:val="24"/>
          <w:lang w:val="en-US"/>
        </w:rPr>
        <w:t xml:space="preserve"> UN Commission on Human Rights, Special Rapporteur on Violence against Women, its Causes and Consequences, Report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1883); UN Sub-Commission on Human Rights, Special Rapporteur on the Situation of Systematic Rape, Sexual Slavery and Slavery-like Practices during Wartime, Final report (</w:t>
      </w:r>
      <w:r w:rsidRPr="007D4751">
        <w:rPr>
          <w:rFonts w:ascii="Times New Roman" w:eastAsia="Times New Roman" w:hAnsi="Times New Roman" w:cs="Times New Roman"/>
          <w:i/>
          <w:iCs/>
          <w:sz w:val="24"/>
          <w:szCs w:val="24"/>
          <w:lang w:val="en-US"/>
        </w:rPr>
        <w:t>ibid.</w:t>
      </w:r>
      <w:r w:rsidRPr="007D4751">
        <w:rPr>
          <w:rFonts w:ascii="Times New Roman" w:eastAsia="Times New Roman" w:hAnsi="Times New Roman" w:cs="Times New Roman"/>
          <w:sz w:val="24"/>
          <w:szCs w:val="24"/>
          <w:lang w:val="en-US"/>
        </w:rPr>
        <w:t>, § 1885).</w:t>
      </w:r>
    </w:p>
    <w:p w:rsidR="00C74F6F" w:rsidRDefault="00C74F6F">
      <w:pPr>
        <w:rPr>
          <w:lang w:val="en-US"/>
        </w:rPr>
      </w:pPr>
    </w:p>
    <w:p w:rsidR="00C74F6F" w:rsidRDefault="00C74F6F">
      <w:pPr>
        <w:rPr>
          <w:lang w:val="en-US"/>
        </w:rPr>
      </w:pP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Practice Related to Rule 94. Slavery and Slave Trade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Quick navigation</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19" w:history="1">
        <w:r w:rsidRPr="00615181">
          <w:rPr>
            <w:rFonts w:ascii="Times New Roman" w:eastAsia="Times New Roman" w:hAnsi="Times New Roman" w:cs="Times New Roman"/>
            <w:color w:val="0000FF"/>
            <w:sz w:val="24"/>
            <w:szCs w:val="24"/>
            <w:u w:val="single"/>
            <w:lang w:val="en-US"/>
          </w:rPr>
          <w:t>I. Treaties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Slavery Convention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In Article 2 of the 1926 Slavery Convention, the contracting parties agreed to “prevent and suppress the slave trade” and to “bring about, progressively and as soon as possible, the complete abolition of slavery in all its forms”.</w:t>
      </w:r>
      <w:r>
        <w:rPr>
          <w:rFonts w:ascii="Times New Roman" w:eastAsia="Times New Roman" w:hAnsi="Times New Roman" w:cs="Times New Roman"/>
          <w:noProof/>
          <w:sz w:val="24"/>
          <w:szCs w:val="24"/>
        </w:rPr>
        <w:drawing>
          <wp:inline distT="0" distB="0" distL="0" distR="0">
            <wp:extent cx="151130" cy="142875"/>
            <wp:effectExtent l="19050" t="0" r="1270" b="0"/>
            <wp:docPr id="2179" name="Imagen 21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xml:space="preserve">  </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lastRenderedPageBreak/>
        <w:t>(1) Slavery is the status or condition of a person over whom any or all of the powers attaching to the right of ownership are exercised.</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(2) The slave trade includes all acts involved in the capture, acquisition or disposal of a person with intent to reduce him to slavery; all acts involved in the acquisition of a slave with a view to selling or exchanging him; all acts of disposal by sale or exchange of a slave acquired with a view to being sold or exchanged, and, in general, every act of trade or transport in slaves.</w:t>
      </w:r>
      <w:r>
        <w:rPr>
          <w:rFonts w:ascii="Times New Roman" w:eastAsia="Times New Roman" w:hAnsi="Times New Roman" w:cs="Times New Roman"/>
          <w:noProof/>
          <w:sz w:val="24"/>
          <w:szCs w:val="24"/>
        </w:rPr>
        <w:drawing>
          <wp:inline distT="0" distB="0" distL="0" distR="0">
            <wp:extent cx="151130" cy="142875"/>
            <wp:effectExtent l="19050" t="0" r="1270" b="0"/>
            <wp:docPr id="2180" name="Imagen 21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IMT Charter (Nuremberg)</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6 of the 1945 IMT Charter (Nuremberg) provides that “deportation to slave labor or for any other purpose of civilian population of or in occupied territory” is a war crime and that “enslavement”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181" name="Imagen 21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European Convention on Human Rights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4(1) of the 1950 European Convention on Human Rights provides: “No one shall be held in slavery or servitude.” According to Article 15(2), Article 4(1) is non-derogable.</w:t>
      </w:r>
      <w:r>
        <w:rPr>
          <w:rFonts w:ascii="Times New Roman" w:eastAsia="Times New Roman" w:hAnsi="Times New Roman" w:cs="Times New Roman"/>
          <w:noProof/>
          <w:sz w:val="24"/>
          <w:szCs w:val="24"/>
        </w:rPr>
        <w:drawing>
          <wp:inline distT="0" distB="0" distL="0" distR="0">
            <wp:extent cx="151130" cy="142875"/>
            <wp:effectExtent l="19050" t="0" r="1270" b="0"/>
            <wp:docPr id="2182" name="Imagen 21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Supplementary Convention on the Abolition of Slavery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1 of the 1956 Supplementary Convention on the Abolition of Slavery provides that “each of the States Parties … shall take all practicable and necessary legislative and other measures to bring about progressively and as soon as possible the complete abolition or abandonment” of slavery and institutions and practices similar to slavery, such as debt bondage, serfdom and inheritance or transfer of women or children.</w:t>
      </w:r>
      <w:r>
        <w:rPr>
          <w:rFonts w:ascii="Times New Roman" w:eastAsia="Times New Roman" w:hAnsi="Times New Roman" w:cs="Times New Roman"/>
          <w:noProof/>
          <w:sz w:val="24"/>
          <w:szCs w:val="24"/>
        </w:rPr>
        <w:drawing>
          <wp:inline distT="0" distB="0" distL="0" distR="0">
            <wp:extent cx="151130" cy="142875"/>
            <wp:effectExtent l="19050" t="0" r="1270" b="0"/>
            <wp:docPr id="2183" name="Imagen 21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International Covenant on Civil and Political Rights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8 of the 1966 International Covenant on Civil and Political Rights provides: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1. No one shall be held in slavery; slavery and the slave-trade in all their forms shall be prohibited.</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2. No one shall be held in servitude.</w:t>
      </w:r>
      <w:r>
        <w:rPr>
          <w:rFonts w:ascii="Times New Roman" w:eastAsia="Times New Roman" w:hAnsi="Times New Roman" w:cs="Times New Roman"/>
          <w:noProof/>
          <w:sz w:val="24"/>
          <w:szCs w:val="24"/>
        </w:rPr>
        <w:drawing>
          <wp:inline distT="0" distB="0" distL="0" distR="0">
            <wp:extent cx="151130" cy="142875"/>
            <wp:effectExtent l="19050" t="0" r="1270" b="0"/>
            <wp:docPr id="2184" name="Imagen 21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American Convention on Human Rights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6(1) of the 1969 American Convention on Human Rights provides: “No one shall be subject to slavery or to involuntary servitude, which are prohibited in all their forms, as are the slave trade and traffic in women.” Article 27(2) states that this prohibition is non-derogable.</w:t>
      </w:r>
      <w:r>
        <w:rPr>
          <w:rFonts w:ascii="Times New Roman" w:eastAsia="Times New Roman" w:hAnsi="Times New Roman" w:cs="Times New Roman"/>
          <w:noProof/>
          <w:sz w:val="24"/>
          <w:szCs w:val="24"/>
        </w:rPr>
        <w:drawing>
          <wp:inline distT="0" distB="0" distL="0" distR="0">
            <wp:extent cx="151130" cy="142875"/>
            <wp:effectExtent l="19050" t="0" r="1270" b="0"/>
            <wp:docPr id="2185" name="Imagen 21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Additional Protocol II</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4(2)(f) of the 1977 Additional Protocol II provides that “slavery and the slave trade in all their forms” are and shall remain prohibited at any time and in any place whatsoever.</w:t>
      </w:r>
      <w:r>
        <w:rPr>
          <w:rFonts w:ascii="Times New Roman" w:eastAsia="Times New Roman" w:hAnsi="Times New Roman" w:cs="Times New Roman"/>
          <w:noProof/>
          <w:sz w:val="24"/>
          <w:szCs w:val="24"/>
        </w:rPr>
        <w:drawing>
          <wp:inline distT="0" distB="0" distL="0" distR="0">
            <wp:extent cx="151130" cy="142875"/>
            <wp:effectExtent l="19050" t="0" r="1270" b="0"/>
            <wp:docPr id="2186" name="Imagen 21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African Charter on Human and Peoples’ Rights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5 of the 1981 African Charter on Human and Peoples’ Rights states: “All forms of exploitation and degradation of man, particularly slavery, slave trade … shall be prohibited.”</w:t>
      </w:r>
      <w:r>
        <w:rPr>
          <w:rFonts w:ascii="Times New Roman" w:eastAsia="Times New Roman" w:hAnsi="Times New Roman" w:cs="Times New Roman"/>
          <w:noProof/>
          <w:sz w:val="24"/>
          <w:szCs w:val="24"/>
        </w:rPr>
        <w:drawing>
          <wp:inline distT="0" distB="0" distL="0" distR="0">
            <wp:extent cx="151130" cy="142875"/>
            <wp:effectExtent l="19050" t="0" r="1270" b="0"/>
            <wp:docPr id="2187" name="Imagen 21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African Charter on the Rights and Welfare of the Child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29(a) of the 1990 African Charter on the Rights and Welfare of the Child provides: “States Parties to the present Charter shall take appropriate measures to prevent: (a) the abduction, the sale of, or traffic in children for any purpose or in any form, by any person, including parents or legal guardians of the child.”</w:t>
      </w:r>
      <w:r>
        <w:rPr>
          <w:rFonts w:ascii="Times New Roman" w:eastAsia="Times New Roman" w:hAnsi="Times New Roman" w:cs="Times New Roman"/>
          <w:noProof/>
          <w:sz w:val="24"/>
          <w:szCs w:val="24"/>
        </w:rPr>
        <w:drawing>
          <wp:inline distT="0" distB="0" distL="0" distR="0">
            <wp:extent cx="151130" cy="142875"/>
            <wp:effectExtent l="19050" t="0" r="1270" b="0"/>
            <wp:docPr id="2188" name="Imagen 21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Agreement on Human Rights annexed to the Dayton Accords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According to Article 1(3) of the 1995 Agreement on Human Rights annexed to the Dayton Accords, the parties shall “secure to all persons within their jurisdiction the right not to be held in slavery”.</w:t>
      </w:r>
      <w:r>
        <w:rPr>
          <w:rFonts w:ascii="Times New Roman" w:eastAsia="Times New Roman" w:hAnsi="Times New Roman" w:cs="Times New Roman"/>
          <w:noProof/>
          <w:sz w:val="24"/>
          <w:szCs w:val="24"/>
        </w:rPr>
        <w:drawing>
          <wp:inline distT="0" distB="0" distL="0" distR="0">
            <wp:extent cx="151130" cy="142875"/>
            <wp:effectExtent l="19050" t="0" r="1270" b="0"/>
            <wp:docPr id="2189" name="Imagen 21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ICC Statute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lastRenderedPageBreak/>
        <w:t>Article 7(1)(c) of the 1998 ICC Statute provides that “[e]nslavement”, “when committed as part of a widespread or systematic attack directed against any civilian population, with knowledge of the attack”, constitutes a crime against humanity. Article 7(2)(c) defines “[e]nslavement” as “the exercise of any or all of the powers attaching to the right of ownership over a person and includes the exercise of such power in the course of trafficking in persons, in particular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2190" name="Imagen 21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Article 8(2)(b)(xxii) and (e)(vi) of the 1998 ICC Statute provides that “sexual slavery” constitutes a war crime in international and non-international armed conflicts respectively.</w:t>
      </w:r>
      <w:r>
        <w:rPr>
          <w:rFonts w:ascii="Times New Roman" w:eastAsia="Times New Roman" w:hAnsi="Times New Roman" w:cs="Times New Roman"/>
          <w:noProof/>
          <w:sz w:val="24"/>
          <w:szCs w:val="24"/>
        </w:rPr>
        <w:drawing>
          <wp:inline distT="0" distB="0" distL="0" distR="0">
            <wp:extent cx="151130" cy="142875"/>
            <wp:effectExtent l="19050" t="0" r="1270" b="0"/>
            <wp:docPr id="2191" name="Imagen 21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Convention on the Worst Forms of Child Labour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1 of the 1999 Convention on the Worst Forms of Child Labour provides that States “shall take immediate and effective measures to secure the prohibition and elimination of the worst forms of child labour as a matter of urgency”. Article 3(a) provides that the term “the worst forms of child labour” comprises “all forms of slavery or practices similar to slavery, such as the sale and trafficking of children, debt bondage and serfdom”.</w:t>
      </w:r>
      <w:r>
        <w:rPr>
          <w:rFonts w:ascii="Times New Roman" w:eastAsia="Times New Roman" w:hAnsi="Times New Roman" w:cs="Times New Roman"/>
          <w:noProof/>
          <w:sz w:val="24"/>
          <w:szCs w:val="24"/>
        </w:rPr>
        <w:drawing>
          <wp:inline distT="0" distB="0" distL="0" distR="0">
            <wp:extent cx="151130" cy="142875"/>
            <wp:effectExtent l="19050" t="0" r="1270" b="0"/>
            <wp:docPr id="2192" name="Imagen 21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Optional Protocol on Child Trade, Prostitution and Pornography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1 of the 2000 Optional Protocol on Child Trade, Prostitution and Pornography provides that the States parties shall prohibit the sale of children. It also contains detailed implementation measures to be adopted.</w:t>
      </w:r>
      <w:r>
        <w:rPr>
          <w:rFonts w:ascii="Times New Roman" w:eastAsia="Times New Roman" w:hAnsi="Times New Roman" w:cs="Times New Roman"/>
          <w:noProof/>
          <w:sz w:val="24"/>
          <w:szCs w:val="24"/>
        </w:rPr>
        <w:drawing>
          <wp:inline distT="0" distB="0" distL="0" distR="0">
            <wp:extent cx="151130" cy="142875"/>
            <wp:effectExtent l="19050" t="0" r="1270" b="0"/>
            <wp:docPr id="2193" name="Imagen 21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Protocol on Trafficking in Persons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Articles 1, 3 and 5 of the 2000 Protocol on Trafficking in Persons provides that States Parties shall criminalize attempts to commit trafficking in persons, participation as an accomplice in trafficking in persons and organization or direction of other persons to commit trafficking in persons.</w:t>
      </w:r>
      <w:r>
        <w:rPr>
          <w:rFonts w:ascii="Times New Roman" w:eastAsia="Times New Roman" w:hAnsi="Times New Roman" w:cs="Times New Roman"/>
          <w:noProof/>
          <w:sz w:val="24"/>
          <w:szCs w:val="24"/>
        </w:rPr>
        <w:drawing>
          <wp:inline distT="0" distB="0" distL="0" distR="0">
            <wp:extent cx="151130" cy="142875"/>
            <wp:effectExtent l="19050" t="0" r="1270" b="0"/>
            <wp:docPr id="2194" name="Imagen 21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UN-Cambodia Agreement Concerning the Prosecution of Crimes Committed During the Period of Democratic Kampuchea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9 of the 2003 UN-Cambodia Agreement Concerning the Prosecution of Crimes Committed During the Period of Democratic Kampuchea provides: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The subject-matter jurisdiction of the Extraordinary Chambers shall be the crime of genocide as defined in the 1948 Convention on the Prevention and Punishment of the Crime of Genocide, crimes against humanity as defined in the 1998 Rome Statute of the International Criminal Court and grave breaches of the 1949 Geneva Conventions and such other crimes as defined in Chapter II of the Law on the Establishment of the Extraordinary Chambers as promulgated on 10 August 2001.</w:t>
      </w:r>
      <w:r>
        <w:rPr>
          <w:rFonts w:ascii="Times New Roman" w:eastAsia="Times New Roman" w:hAnsi="Times New Roman" w:cs="Times New Roman"/>
          <w:noProof/>
          <w:sz w:val="24"/>
          <w:szCs w:val="24"/>
        </w:rPr>
        <w:drawing>
          <wp:inline distT="0" distB="0" distL="0" distR="0">
            <wp:extent cx="151130" cy="142875"/>
            <wp:effectExtent l="19050" t="0" r="1270" b="0"/>
            <wp:docPr id="2195" name="Imagen 21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Kampala Convention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 xml:space="preserve">Article 9(1) of the 2009 Kampala Convention states: </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State Parties shall protect the rights of internally displaced persons regardless of the cause of displacement by refraining from, and preventing, the following acts, amongst others: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 … slavery … and human trafficking and smuggling.</w:t>
      </w:r>
      <w:r>
        <w:rPr>
          <w:rFonts w:ascii="Times New Roman" w:eastAsia="Times New Roman" w:hAnsi="Times New Roman" w:cs="Times New Roman"/>
          <w:noProof/>
          <w:sz w:val="24"/>
          <w:szCs w:val="24"/>
        </w:rPr>
        <w:drawing>
          <wp:inline distT="0" distB="0" distL="0" distR="0">
            <wp:extent cx="151130" cy="142875"/>
            <wp:effectExtent l="19050" t="0" r="1270" b="0"/>
            <wp:docPr id="2196" name="Imagen 21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0" w:history="1">
        <w:r w:rsidRPr="00615181">
          <w:rPr>
            <w:rFonts w:ascii="Times New Roman" w:eastAsia="Times New Roman" w:hAnsi="Times New Roman" w:cs="Times New Roman"/>
            <w:color w:val="0000FF"/>
            <w:sz w:val="24"/>
            <w:szCs w:val="24"/>
            <w:u w:val="single"/>
            <w:lang w:val="en-US"/>
          </w:rPr>
          <w:t>II. Other Instruments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Lieber Code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23 of the 1863 Lieber Code provides: “Private citizens are no longer … enslaved.”</w:t>
      </w:r>
      <w:r>
        <w:rPr>
          <w:rFonts w:ascii="Times New Roman" w:eastAsia="Times New Roman" w:hAnsi="Times New Roman" w:cs="Times New Roman"/>
          <w:noProof/>
          <w:sz w:val="24"/>
          <w:szCs w:val="24"/>
        </w:rPr>
        <w:drawing>
          <wp:inline distT="0" distB="0" distL="0" distR="0">
            <wp:extent cx="151130" cy="142875"/>
            <wp:effectExtent l="19050" t="0" r="1270" b="0"/>
            <wp:docPr id="2197" name="Imagen 21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xml:space="preserve">  </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Article 42 of the 1863 Lieber Code provides: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In a war between the United States and a belligerent which admits of slavery, if a person held in bondage by that belligerent be captured by or come as a fugitive under the protection of the military force of the United States, such person is immediately entitled </w:t>
      </w:r>
      <w:r w:rsidRPr="00615181">
        <w:rPr>
          <w:rFonts w:ascii="Times New Roman" w:eastAsia="Times New Roman" w:hAnsi="Times New Roman" w:cs="Times New Roman"/>
          <w:sz w:val="24"/>
          <w:szCs w:val="24"/>
          <w:lang w:val="en-US"/>
        </w:rPr>
        <w:lastRenderedPageBreak/>
        <w:t>to the rights and privileges of a freeman. To return such person into slavery would amount to enslaving a free person, and neither the United States nor any officer under their authority can enslave any human being. Moreover, a person so made free by the law of war is under the shield of the law of nations.</w:t>
      </w:r>
      <w:r>
        <w:rPr>
          <w:rFonts w:ascii="Times New Roman" w:eastAsia="Times New Roman" w:hAnsi="Times New Roman" w:cs="Times New Roman"/>
          <w:noProof/>
          <w:sz w:val="24"/>
          <w:szCs w:val="24"/>
        </w:rPr>
        <w:drawing>
          <wp:inline distT="0" distB="0" distL="0" distR="0">
            <wp:extent cx="151130" cy="142875"/>
            <wp:effectExtent l="19050" t="0" r="1270" b="0"/>
            <wp:docPr id="2198" name="Imagen 21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Article 58 of the 1863 Lieber Code stipulates: “The United States cannot retaliate by enslavement; therefore death must be the retaliation for this crime against the law of nations.”</w:t>
      </w:r>
      <w:r>
        <w:rPr>
          <w:rFonts w:ascii="Times New Roman" w:eastAsia="Times New Roman" w:hAnsi="Times New Roman" w:cs="Times New Roman"/>
          <w:noProof/>
          <w:sz w:val="24"/>
          <w:szCs w:val="24"/>
        </w:rPr>
        <w:drawing>
          <wp:inline distT="0" distB="0" distL="0" distR="0">
            <wp:extent cx="151130" cy="142875"/>
            <wp:effectExtent l="19050" t="0" r="1270" b="0"/>
            <wp:docPr id="2199" name="Imagen 21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Allied Control Council Law No. 10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II(1) of the 1945 Allied Control Council Law No. 10 provides that “deportation to slave labour or for any other purpose, of civilian population from occupied territory” is a war crime and that “enslavement”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00" name="Imagen 22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IMT Charter (Tokyo)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5(c) of the 1946 IMT Charter (Tokyo) established individual responsibility for crimes against humanity, including “enslavement”.</w:t>
      </w:r>
      <w:r>
        <w:rPr>
          <w:rFonts w:ascii="Times New Roman" w:eastAsia="Times New Roman" w:hAnsi="Times New Roman" w:cs="Times New Roman"/>
          <w:noProof/>
          <w:sz w:val="24"/>
          <w:szCs w:val="24"/>
        </w:rPr>
        <w:drawing>
          <wp:inline distT="0" distB="0" distL="0" distR="0">
            <wp:extent cx="151130" cy="142875"/>
            <wp:effectExtent l="19050" t="0" r="1270" b="0"/>
            <wp:docPr id="2201" name="Imagen 22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Universal Declaration of Human Rights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4 of the 1948 Universal Declaration of Human Rights provides: “No one shall be held in slavery or servitude; slavery and the slave trade shall be prohibited in all their forms.”</w:t>
      </w:r>
      <w:r>
        <w:rPr>
          <w:rFonts w:ascii="Times New Roman" w:eastAsia="Times New Roman" w:hAnsi="Times New Roman" w:cs="Times New Roman"/>
          <w:noProof/>
          <w:sz w:val="24"/>
          <w:szCs w:val="24"/>
        </w:rPr>
        <w:drawing>
          <wp:inline distT="0" distB="0" distL="0" distR="0">
            <wp:extent cx="151130" cy="142875"/>
            <wp:effectExtent l="19050" t="0" r="1270" b="0"/>
            <wp:docPr id="2202" name="Imagen 22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Nuremberg Principles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Principle VI of the 1950 Nuremberg Principles adopted by the International Law Commission provides that “deportation to slave labour or for any other purpose of civilian population of or in occupied territory” is a war crime and that “enslavement … and other inhuman acts done against any civilian population”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03" name="Imagen 22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ILC Draft Code of Offences against the Peace and Security of Mankind (1954)</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2(11) of the 1954 ILC Draft Code of Offences against the Peace and Security of Mankind includes enslavement in its list of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04" name="Imagen 22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Cairo Declaration on Human Rights in Islam</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11(a) of the 1990 Cairo Declaration on Human Rights in Islam provides: “Human beings are born free, and no one has the right to enslave, humiliate, oppress or exploit them, and there can be no subjugation but to Allah the Almighty.”</w:t>
      </w:r>
      <w:r>
        <w:rPr>
          <w:rFonts w:ascii="Times New Roman" w:eastAsia="Times New Roman" w:hAnsi="Times New Roman" w:cs="Times New Roman"/>
          <w:noProof/>
          <w:sz w:val="24"/>
          <w:szCs w:val="24"/>
        </w:rPr>
        <w:drawing>
          <wp:inline distT="0" distB="0" distL="0" distR="0">
            <wp:extent cx="151130" cy="142875"/>
            <wp:effectExtent l="19050" t="0" r="1270" b="0"/>
            <wp:docPr id="2205" name="Imagen 22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ILC Draft Code of Crimes against the Peace and Security of Mankind (1991)</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21 of the 1991 ILC Draft Code of Crimes against the Peace and Security of Mankind includes “establishing or maintaining over persons a status of slavery, servitude or forced labour” as systematic or massive violations of human rights. The commentary explains that slavery is defined in the following treaties: the 1926 Slavery Convention, the 1956 Supplementary Convention on the Abolition of Slavery, the 1966 International Covenant on Civil and Political Rights, the 1930 Forced Labour Convention and the 1957 Convention concerning the Abolition of Forced Labour.</w:t>
      </w:r>
      <w:r>
        <w:rPr>
          <w:rFonts w:ascii="Times New Roman" w:eastAsia="Times New Roman" w:hAnsi="Times New Roman" w:cs="Times New Roman"/>
          <w:noProof/>
          <w:sz w:val="24"/>
          <w:szCs w:val="24"/>
        </w:rPr>
        <w:drawing>
          <wp:inline distT="0" distB="0" distL="0" distR="0">
            <wp:extent cx="151130" cy="142875"/>
            <wp:effectExtent l="19050" t="0" r="1270" b="0"/>
            <wp:docPr id="2206" name="Imagen 22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ICTY Statute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5(c) of the 1993 ICTY Statute provides that enslavement, when committed in armed conflict, whether international or internal in character, and directed against any civilian population, constitutes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07" name="Imagen 22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ICTR Statute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3(c) of the 1994 ICTR Statute provides that enslavement, when committed as part of a widespread and systematic attack against any civilian population on national, political, ethnic, racial or religious grounds, constitutes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08" name="Imagen 22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ILC Draft Code of Crimes against the Peace and Security of Mankind (1996)</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18(d) of the 1996 ILC Draft Code of Crimes against the Peace and Security of Mankind includes enslavement among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09" name="Imagen 22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Comprehensive Agreement on Respect for Human Rights and IHL in the Philippines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2(8) of Part III of the 1998 Comprehensive Agreement on Respect for Human Rights and IHL in the Philippines provides that the Agreement seeks to protect and promote the right not to be held in involuntary servitude.</w:t>
      </w:r>
      <w:r>
        <w:rPr>
          <w:rFonts w:ascii="Times New Roman" w:eastAsia="Times New Roman" w:hAnsi="Times New Roman" w:cs="Times New Roman"/>
          <w:noProof/>
          <w:sz w:val="24"/>
          <w:szCs w:val="24"/>
        </w:rPr>
        <w:drawing>
          <wp:inline distT="0" distB="0" distL="0" distR="0">
            <wp:extent cx="151130" cy="142875"/>
            <wp:effectExtent l="19050" t="0" r="1270" b="0"/>
            <wp:docPr id="2210" name="Imagen 22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Secretary-General’s Bulletin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 xml:space="preserve">According to Section 7.2 of the 1999 UN Secretary-General’s Bulletin, enslavement of persons not, or no longer, taking part in military operations and persons placed </w:t>
      </w:r>
      <w:r w:rsidRPr="00615181">
        <w:rPr>
          <w:rFonts w:ascii="Times New Roman" w:eastAsia="Times New Roman" w:hAnsi="Times New Roman" w:cs="Times New Roman"/>
          <w:i/>
          <w:iCs/>
          <w:sz w:val="24"/>
          <w:szCs w:val="24"/>
          <w:lang w:val="en-US"/>
        </w:rPr>
        <w:t>hors de combat</w:t>
      </w:r>
      <w:r w:rsidRPr="00615181">
        <w:rPr>
          <w:rFonts w:ascii="Times New Roman" w:eastAsia="Times New Roman" w:hAnsi="Times New Roman" w:cs="Times New Roman"/>
          <w:sz w:val="24"/>
          <w:szCs w:val="24"/>
          <w:lang w:val="en-US"/>
        </w:rPr>
        <w:t xml:space="preserve"> is prohibited at any time and in any place.</w:t>
      </w:r>
      <w:r>
        <w:rPr>
          <w:rFonts w:ascii="Times New Roman" w:eastAsia="Times New Roman" w:hAnsi="Times New Roman" w:cs="Times New Roman"/>
          <w:noProof/>
          <w:sz w:val="24"/>
          <w:szCs w:val="24"/>
        </w:rPr>
        <w:drawing>
          <wp:inline distT="0" distB="0" distL="0" distR="0">
            <wp:extent cx="151130" cy="142875"/>
            <wp:effectExtent l="19050" t="0" r="1270" b="0"/>
            <wp:docPr id="2211" name="Imagen 22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EU Charter of Fundamental Rights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Article 5(1) and (3) of the 2000 EU Charter of Fundamental Rights provides that “[n]o one shall be held in slavery or servitude” and that “[t]rafficking in human beings is prohibited”.</w:t>
      </w:r>
      <w:r>
        <w:rPr>
          <w:rFonts w:ascii="Times New Roman" w:eastAsia="Times New Roman" w:hAnsi="Times New Roman" w:cs="Times New Roman"/>
          <w:noProof/>
          <w:sz w:val="24"/>
          <w:szCs w:val="24"/>
        </w:rPr>
        <w:drawing>
          <wp:inline distT="0" distB="0" distL="0" distR="0">
            <wp:extent cx="151130" cy="142875"/>
            <wp:effectExtent l="19050" t="0" r="1270" b="0"/>
            <wp:docPr id="2212" name="Imagen 22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UNTAET Regulation No. 2000/15</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UNTAET Regulation No. 2000/15 establishes panels with exclusive jurisdiction over serious criminal offences, including war crimes. According to Section 6(1)(b)(xxii) and (e)(vi), “sexual slavery [and] enforced prostitution” constitute war crimes in both international and non-international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2213" name="Imagen 22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N’Djamena Declaration on Ending Recruitment and Use of Children by Armed Forces and Groups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In June 2010, Cameroon, the Central African Republic, Chad, Nigeria, Niger and Sudan adopted the N’Djamena Declaration. In its preamble, the participating States reiterated their “concern regarding the precarious situation of children affected by conflict and the consistent presence of children within armed forces and groups in [their] region” and recognized that</w:t>
      </w:r>
      <w:r w:rsidRPr="00615181">
        <w:rPr>
          <w:rFonts w:ascii="Times New Roman" w:eastAsia="Times New Roman" w:hAnsi="Times New Roman" w:cs="Times New Roman"/>
          <w:i/>
          <w:iCs/>
          <w:sz w:val="24"/>
          <w:szCs w:val="24"/>
          <w:lang w:val="en-US"/>
        </w:rPr>
        <w:t xml:space="preserve"> </w:t>
      </w:r>
      <w:r w:rsidRPr="00615181">
        <w:rPr>
          <w:rFonts w:ascii="Times New Roman" w:eastAsia="Times New Roman" w:hAnsi="Times New Roman" w:cs="Times New Roman"/>
          <w:sz w:val="24"/>
          <w:szCs w:val="24"/>
          <w:lang w:val="en-US"/>
        </w:rPr>
        <w:t xml:space="preserve">“States have the primary responsibility of ensuring, without discrimination, the security and protection of all children living on their national territory.” </w:t>
      </w:r>
      <w:r>
        <w:rPr>
          <w:rFonts w:ascii="Times New Roman" w:eastAsia="Times New Roman" w:hAnsi="Times New Roman" w:cs="Times New Roman"/>
          <w:noProof/>
          <w:sz w:val="24"/>
          <w:szCs w:val="24"/>
        </w:rPr>
        <w:drawing>
          <wp:inline distT="0" distB="0" distL="0" distR="0">
            <wp:extent cx="151130" cy="142875"/>
            <wp:effectExtent l="19050" t="0" r="1270" b="0"/>
            <wp:docPr id="2214" name="Imagen 22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Optional Protocol [to the Convention on the Rights of the Child] on the sale of children, child prostitution and child pornography;</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[t]he Protocol to Prevent, Suppress and Punish Trafficking in Persons, Especially Women and Children, supplementing the United Nations Convention against Transnational Organized Crime of 2000; [and]</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[t]he Multilateral Cooperation Agreement to Combat Trafficking in Persons specially Women and Children in West and Central Africa of 2006.</w:t>
      </w:r>
      <w:r>
        <w:rPr>
          <w:rFonts w:ascii="Times New Roman" w:eastAsia="Times New Roman" w:hAnsi="Times New Roman" w:cs="Times New Roman"/>
          <w:noProof/>
          <w:sz w:val="24"/>
          <w:szCs w:val="24"/>
        </w:rPr>
        <w:drawing>
          <wp:inline distT="0" distB="0" distL="0" distR="0">
            <wp:extent cx="151130" cy="142875"/>
            <wp:effectExtent l="19050" t="0" r="1270" b="0"/>
            <wp:docPr id="2215" name="Imagen 22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1" w:history="1">
        <w:r w:rsidRPr="00615181">
          <w:rPr>
            <w:rFonts w:ascii="Times New Roman" w:eastAsia="Times New Roman" w:hAnsi="Times New Roman" w:cs="Times New Roman"/>
            <w:color w:val="0000FF"/>
            <w:sz w:val="24"/>
            <w:szCs w:val="24"/>
            <w:u w:val="single"/>
            <w:lang w:val="en-US"/>
          </w:rPr>
          <w:t>III. Military Manuals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Burundi</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Burundi’s Regulations on International Humanitarian Law (2007) lists “enslavement” as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16" name="Imagen 22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Canada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According to Canada’s LOAC Manual (1999), enslavement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17" name="Imagen 22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Canada’s LOAC Manual (2001), in its chapter on “War crimes, individual criminal liability and command responsibility”, refers to “enslavement” as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18" name="Imagen 22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Côte d’Ivoire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Côte d’Ivoire’s Teaching Manual (2007) provides in Book I (Basic instruction):</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I. </w:t>
      </w:r>
      <w:r w:rsidRPr="00615181">
        <w:rPr>
          <w:rFonts w:ascii="Times New Roman" w:eastAsia="Times New Roman" w:hAnsi="Times New Roman" w:cs="Times New Roman"/>
          <w:i/>
          <w:iCs/>
          <w:sz w:val="24"/>
          <w:szCs w:val="24"/>
          <w:lang w:val="en-US"/>
        </w:rPr>
        <w:t>Grave violations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They are enumerated by the Geneva Conventions and the Additional Protocols, as well </w:t>
      </w:r>
      <w:r w:rsidRPr="00615181">
        <w:rPr>
          <w:rFonts w:ascii="Times New Roman" w:eastAsia="Times New Roman" w:hAnsi="Times New Roman" w:cs="Times New Roman"/>
          <w:sz w:val="24"/>
          <w:szCs w:val="24"/>
          <w:lang w:val="en-US"/>
        </w:rPr>
        <w:lastRenderedPageBreak/>
        <w:t>as by the Ivorian Penal Code.</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They are: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enslavement.</w:t>
      </w:r>
      <w:r>
        <w:rPr>
          <w:rFonts w:ascii="Times New Roman" w:eastAsia="Times New Roman" w:hAnsi="Times New Roman" w:cs="Times New Roman"/>
          <w:noProof/>
          <w:sz w:val="24"/>
          <w:szCs w:val="24"/>
        </w:rPr>
        <w:drawing>
          <wp:inline distT="0" distB="0" distL="0" distR="0">
            <wp:extent cx="151130" cy="142875"/>
            <wp:effectExtent l="19050" t="0" r="1270" b="0"/>
            <wp:docPr id="2219" name="Imagen 22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 xml:space="preserve">I.1.1. </w:t>
      </w:r>
      <w:r w:rsidRPr="00615181">
        <w:rPr>
          <w:rFonts w:ascii="Times New Roman" w:eastAsia="Times New Roman" w:hAnsi="Times New Roman" w:cs="Times New Roman"/>
          <w:i/>
          <w:iCs/>
          <w:sz w:val="24"/>
          <w:szCs w:val="24"/>
          <w:lang w:val="en-US"/>
        </w:rPr>
        <w:t>War crimes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They are grave violations of IHL mentioned in the Geneva Conventions and their Additional Protocols, committed during armed conflict.</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Examples: … enslavement.</w:t>
      </w:r>
      <w:r>
        <w:rPr>
          <w:rFonts w:ascii="Times New Roman" w:eastAsia="Times New Roman" w:hAnsi="Times New Roman" w:cs="Times New Roman"/>
          <w:noProof/>
          <w:sz w:val="24"/>
          <w:szCs w:val="24"/>
        </w:rPr>
        <w:drawing>
          <wp:inline distT="0" distB="0" distL="0" distR="0">
            <wp:extent cx="151130" cy="142875"/>
            <wp:effectExtent l="19050" t="0" r="1270" b="0"/>
            <wp:docPr id="2220" name="Imagen 22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Djibouti</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Djibouti’s Manual on International Humanitarian Law (2004) states under the heading “Inalienable Rights”: “These are rights which the State may not derogate from. They include: … the prohibition of slavery and servitude”.</w:t>
      </w:r>
      <w:r>
        <w:rPr>
          <w:rFonts w:ascii="Times New Roman" w:eastAsia="Times New Roman" w:hAnsi="Times New Roman" w:cs="Times New Roman"/>
          <w:noProof/>
          <w:sz w:val="24"/>
          <w:szCs w:val="24"/>
        </w:rPr>
        <w:drawing>
          <wp:inline distT="0" distB="0" distL="0" distR="0">
            <wp:extent cx="151130" cy="142875"/>
            <wp:effectExtent l="19050" t="0" r="1270" b="0"/>
            <wp:docPr id="2221" name="Imagen 22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France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France’s LOAC Manual (2001) restates Article 4 of the 1948 Universal Declaration of Human Rights and Article 7(1) of the 1998 ICC Statute, which include enslavement in the list of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22" name="Imagen 22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Israel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Israel’s Manual on the Laws of War (1998) recalls the definition of crimes against humanity contained in the 1998 ICC Statute by stating: “Crimes against humanity were defined as the systematic harming of a civilian population, which includes deeds such as: … enslavement”.</w:t>
      </w:r>
      <w:r>
        <w:rPr>
          <w:rFonts w:ascii="Times New Roman" w:eastAsia="Times New Roman" w:hAnsi="Times New Roman" w:cs="Times New Roman"/>
          <w:noProof/>
          <w:sz w:val="24"/>
          <w:szCs w:val="24"/>
        </w:rPr>
        <w:drawing>
          <wp:inline distT="0" distB="0" distL="0" distR="0">
            <wp:extent cx="151130" cy="142875"/>
            <wp:effectExtent l="19050" t="0" r="1270" b="0"/>
            <wp:docPr id="2223" name="Imagen 22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Netherlands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Military Manual (1993) of the Netherlands restates the prohibition of slavery and the slave trade as found in Article 4 of the 1977 Additional Protocol II.</w:t>
      </w:r>
      <w:r>
        <w:rPr>
          <w:rFonts w:ascii="Times New Roman" w:eastAsia="Times New Roman" w:hAnsi="Times New Roman" w:cs="Times New Roman"/>
          <w:noProof/>
          <w:sz w:val="24"/>
          <w:szCs w:val="24"/>
        </w:rPr>
        <w:drawing>
          <wp:inline distT="0" distB="0" distL="0" distR="0">
            <wp:extent cx="151130" cy="142875"/>
            <wp:effectExtent l="19050" t="0" r="1270" b="0"/>
            <wp:docPr id="2224" name="Imagen 22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Military Manual (2005) of the Netherlands states that “[n]o derogation is possible from the [prohibition] of … slavery”.</w:t>
      </w:r>
      <w:r>
        <w:rPr>
          <w:rFonts w:ascii="Times New Roman" w:eastAsia="Times New Roman" w:hAnsi="Times New Roman" w:cs="Times New Roman"/>
          <w:noProof/>
          <w:sz w:val="24"/>
          <w:szCs w:val="24"/>
        </w:rPr>
        <w:drawing>
          <wp:inline distT="0" distB="0" distL="0" distR="0">
            <wp:extent cx="151130" cy="142875"/>
            <wp:effectExtent l="19050" t="0" r="1270" b="0"/>
            <wp:docPr id="2225" name="Imagen 22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It is expressly prohibited to carry out the following acts against the civilian population or individual civilians, wounded, sick or prisoners: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slavery, slave trading or dangerous or degrading forced labour;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threatening anyone with the above-mentioned acts or treatment.</w:t>
      </w:r>
      <w:r>
        <w:rPr>
          <w:rFonts w:ascii="Times New Roman" w:eastAsia="Times New Roman" w:hAnsi="Times New Roman" w:cs="Times New Roman"/>
          <w:noProof/>
          <w:sz w:val="24"/>
          <w:szCs w:val="24"/>
        </w:rPr>
        <w:drawing>
          <wp:inline distT="0" distB="0" distL="0" distR="0">
            <wp:extent cx="151130" cy="142875"/>
            <wp:effectExtent l="19050" t="0" r="1270" b="0"/>
            <wp:docPr id="2226" name="Imagen 22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i/>
          <w:iCs/>
          <w:sz w:val="24"/>
          <w:szCs w:val="24"/>
          <w:lang w:val="en-US"/>
        </w:rPr>
        <w:t>Section 2 - Applicability of human rights</w:t>
      </w:r>
      <w:r w:rsidRPr="004D5C23">
        <w:rPr>
          <w:rFonts w:ascii="Times New Roman" w:eastAsia="Times New Roman" w:hAnsi="Times New Roman" w:cs="Times New Roman"/>
          <w:i/>
          <w:iCs/>
          <w:sz w:val="24"/>
          <w:szCs w:val="24"/>
          <w:lang w:val="en-US"/>
        </w:rPr>
        <w:br/>
      </w:r>
      <w:r w:rsidRPr="00615181">
        <w:rPr>
          <w:rFonts w:ascii="Times New Roman" w:eastAsia="Times New Roman" w:hAnsi="Times New Roman" w:cs="Times New Roman"/>
          <w:sz w:val="24"/>
          <w:szCs w:val="24"/>
          <w:lang w:val="en-US"/>
        </w:rPr>
        <w:t>1211. Human rights should be respected … However, “in time of war or in case of any other general state of emergency which threatens the existence of the country,” certain human rights may be curtailed as long as the situation strictly necessitates such measures. But the right to life, the prohibition of torture, slavery and forced labour, and the legal principle “no punishment without prior legal provision” cannot be waived.</w:t>
      </w:r>
      <w:r>
        <w:rPr>
          <w:rFonts w:ascii="Times New Roman" w:eastAsia="Times New Roman" w:hAnsi="Times New Roman" w:cs="Times New Roman"/>
          <w:noProof/>
          <w:sz w:val="24"/>
          <w:szCs w:val="24"/>
        </w:rPr>
        <w:drawing>
          <wp:inline distT="0" distB="0" distL="0" distR="0">
            <wp:extent cx="151130" cy="142875"/>
            <wp:effectExtent l="19050" t="0" r="1270" b="0"/>
            <wp:docPr id="2227" name="Imagen 22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New Zealand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New Zealand’s Military Manual (1992) refers to the 1977 Additional Protocol II and prohibits at any time and anywhere “slavery and the slave trade in all their forms”.</w:t>
      </w:r>
      <w:r>
        <w:rPr>
          <w:rFonts w:ascii="Times New Roman" w:eastAsia="Times New Roman" w:hAnsi="Times New Roman" w:cs="Times New Roman"/>
          <w:noProof/>
          <w:sz w:val="24"/>
          <w:szCs w:val="24"/>
        </w:rPr>
        <w:drawing>
          <wp:inline distT="0" distB="0" distL="0" distR="0">
            <wp:extent cx="151130" cy="142875"/>
            <wp:effectExtent l="19050" t="0" r="1270" b="0"/>
            <wp:docPr id="2228" name="Imagen 22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Russian Federation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Russian Federation’s Regulations on the Application of IHL (2001) states with regard to internal armed conflict:</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The following acts against [all persons who do not take a direct part or who have ceased to take part in hostilities] are and shall remain prohibited at any time and in any place whatsoever: … slavery and the slave trade in all their forms [and] threats to commit any of the foregoing acts.</w:t>
      </w:r>
      <w:r>
        <w:rPr>
          <w:rFonts w:ascii="Times New Roman" w:eastAsia="Times New Roman" w:hAnsi="Times New Roman" w:cs="Times New Roman"/>
          <w:noProof/>
          <w:sz w:val="24"/>
          <w:szCs w:val="24"/>
        </w:rPr>
        <w:drawing>
          <wp:inline distT="0" distB="0" distL="0" distR="0">
            <wp:extent cx="151130" cy="142875"/>
            <wp:effectExtent l="19050" t="0" r="1270" b="0"/>
            <wp:docPr id="2229" name="Imagen 22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Senegal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lastRenderedPageBreak/>
        <w:t>Senegal’s IHL Manual (1999) provides that one of the fundamental guarantees common to the IHL conventions and the 1948 Universal Declaration of Human Rights is the prohibition of slavery and the slave trade in any form.</w:t>
      </w:r>
      <w:r>
        <w:rPr>
          <w:rFonts w:ascii="Times New Roman" w:eastAsia="Times New Roman" w:hAnsi="Times New Roman" w:cs="Times New Roman"/>
          <w:noProof/>
          <w:sz w:val="24"/>
          <w:szCs w:val="24"/>
        </w:rPr>
        <w:drawing>
          <wp:inline distT="0" distB="0" distL="0" distR="0">
            <wp:extent cx="151130" cy="142875"/>
            <wp:effectExtent l="19050" t="0" r="1270" b="0"/>
            <wp:docPr id="2230" name="Imagen 22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Ukraine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Ukraine’s IHL Manual (2004) states that “slavery and trade in slaves”, or threats of such actions, against the following persons are prohibited in non-international armed conflicts: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persons taking no active part in the hostilities;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members of armed forces who have laid down their arms;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 those placed </w:t>
      </w:r>
      <w:r w:rsidRPr="00615181">
        <w:rPr>
          <w:rFonts w:ascii="Times New Roman" w:eastAsia="Times New Roman" w:hAnsi="Times New Roman" w:cs="Times New Roman"/>
          <w:i/>
          <w:iCs/>
          <w:sz w:val="24"/>
          <w:szCs w:val="24"/>
          <w:lang w:val="en-US"/>
        </w:rPr>
        <w:t>hors de combat</w:t>
      </w:r>
      <w:r w:rsidRPr="00615181">
        <w:rPr>
          <w:rFonts w:ascii="Times New Roman" w:eastAsia="Times New Roman" w:hAnsi="Times New Roman" w:cs="Times New Roman"/>
          <w:sz w:val="24"/>
          <w:szCs w:val="24"/>
          <w:lang w:val="en-US"/>
        </w:rPr>
        <w:t xml:space="preserve"> by sickness, wounds, detention, or any other cause.</w:t>
      </w:r>
      <w:r>
        <w:rPr>
          <w:rFonts w:ascii="Times New Roman" w:eastAsia="Times New Roman" w:hAnsi="Times New Roman" w:cs="Times New Roman"/>
          <w:noProof/>
          <w:sz w:val="24"/>
          <w:szCs w:val="24"/>
        </w:rPr>
        <w:drawing>
          <wp:inline distT="0" distB="0" distL="0" distR="0">
            <wp:extent cx="151130" cy="142875"/>
            <wp:effectExtent l="19050" t="0" r="1270" b="0"/>
            <wp:docPr id="2231" name="Imagen 22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Kingdom of Great Britain and Northern Ireland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UK LOAC Manual (2004) states in its chapter on internal armed conflict that “outrages upon personal dignity … such as … slavery” are prohibited.</w:t>
      </w:r>
      <w:r>
        <w:rPr>
          <w:rFonts w:ascii="Times New Roman" w:eastAsia="Times New Roman" w:hAnsi="Times New Roman" w:cs="Times New Roman"/>
          <w:noProof/>
          <w:sz w:val="24"/>
          <w:szCs w:val="24"/>
        </w:rPr>
        <w:drawing>
          <wp:inline distT="0" distB="0" distL="0" distR="0">
            <wp:extent cx="151130" cy="142875"/>
            <wp:effectExtent l="19050" t="0" r="1270" b="0"/>
            <wp:docPr id="2232" name="Imagen 22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following acts against protected persons, “are and shall remain prohibited at any time and in any place whatsoever”. These are: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f) slavery and the slave trade in all their forms.</w:t>
      </w:r>
      <w:r>
        <w:rPr>
          <w:rFonts w:ascii="Times New Roman" w:eastAsia="Times New Roman" w:hAnsi="Times New Roman" w:cs="Times New Roman"/>
          <w:noProof/>
          <w:sz w:val="24"/>
          <w:szCs w:val="24"/>
        </w:rPr>
        <w:drawing>
          <wp:inline distT="0" distB="0" distL="0" distR="0">
            <wp:extent cx="151130" cy="142875"/>
            <wp:effectExtent l="19050" t="0" r="1270" b="0"/>
            <wp:docPr id="2233" name="Imagen 22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States of America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The US Naval Handbook (1995) provides: “International law strictly prohibits the use of the seas for the purpose of transporting slaves.”</w:t>
      </w:r>
      <w:r>
        <w:rPr>
          <w:rFonts w:ascii="Times New Roman" w:eastAsia="Times New Roman" w:hAnsi="Times New Roman" w:cs="Times New Roman"/>
          <w:noProof/>
          <w:sz w:val="24"/>
          <w:szCs w:val="24"/>
        </w:rPr>
        <w:drawing>
          <wp:inline distT="0" distB="0" distL="0" distR="0">
            <wp:extent cx="151130" cy="142875"/>
            <wp:effectExtent l="19050" t="0" r="1270" b="0"/>
            <wp:docPr id="2234" name="Imagen 22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2" w:history="1">
        <w:r w:rsidRPr="00615181">
          <w:rPr>
            <w:rFonts w:ascii="Times New Roman" w:eastAsia="Times New Roman" w:hAnsi="Times New Roman" w:cs="Times New Roman"/>
            <w:color w:val="0000FF"/>
            <w:sz w:val="24"/>
            <w:szCs w:val="24"/>
            <w:u w:val="single"/>
            <w:lang w:val="en-US"/>
          </w:rPr>
          <w:t>IV. National Legislation</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Albania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Albania’s Military Penal Code (1995) provides that sentencing a person to slave labour is a war crime.</w:t>
      </w:r>
      <w:r>
        <w:rPr>
          <w:rFonts w:ascii="Times New Roman" w:eastAsia="Times New Roman" w:hAnsi="Times New Roman" w:cs="Times New Roman"/>
          <w:noProof/>
          <w:sz w:val="24"/>
          <w:szCs w:val="24"/>
        </w:rPr>
        <w:drawing>
          <wp:inline distT="0" distB="0" distL="0" distR="0">
            <wp:extent cx="151130" cy="142875"/>
            <wp:effectExtent l="19050" t="0" r="1270" b="0"/>
            <wp:docPr id="2235" name="Imagen 22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Argentina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 xml:space="preserve">Argentina’s Law on the Protection of Children’s and Adolescents’ Rights (2005) states: </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Children and adolescents are entitled to dignity as subjects of international law and developing persons. [They are entitled] to not be subjected to … any form of economic exploitation … , sexual exploitation, kidnapping or trafficking.</w:t>
      </w:r>
      <w:r>
        <w:rPr>
          <w:rFonts w:ascii="Times New Roman" w:eastAsia="Times New Roman" w:hAnsi="Times New Roman" w:cs="Times New Roman"/>
          <w:noProof/>
          <w:sz w:val="24"/>
          <w:szCs w:val="24"/>
        </w:rPr>
        <w:drawing>
          <wp:inline distT="0" distB="0" distL="0" distR="0">
            <wp:extent cx="151130" cy="142875"/>
            <wp:effectExtent l="19050" t="0" r="1270" b="0"/>
            <wp:docPr id="2236" name="Imagen 22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Armenia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Under Armenia’s Penal Code (2003), “enslavement” constitutes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37" name="Imagen 22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Australia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Under Australia’s War Crimes Act (1945), as amended in 2001, the deportation of a person to, or the internment of a person in, a death camp or a slave labour camp is a serious war crime.</w:t>
      </w:r>
      <w:r>
        <w:rPr>
          <w:rFonts w:ascii="Times New Roman" w:eastAsia="Times New Roman" w:hAnsi="Times New Roman" w:cs="Times New Roman"/>
          <w:noProof/>
          <w:sz w:val="24"/>
          <w:szCs w:val="24"/>
        </w:rPr>
        <w:drawing>
          <wp:inline distT="0" distB="0" distL="0" distR="0">
            <wp:extent cx="151130" cy="142875"/>
            <wp:effectExtent l="19050" t="0" r="1270" b="0"/>
            <wp:docPr id="2238" name="Imagen 22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Australia’s Criminal Code Act (1995), as amended to 2007, states with respect to serious war crimes that are committed in the course of an international armed conflict:</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i/>
          <w:iCs/>
          <w:sz w:val="24"/>
          <w:szCs w:val="24"/>
          <w:lang w:val="en-US"/>
        </w:rPr>
        <w:t>268.60 War crime – sexual slavery</w:t>
      </w:r>
      <w:r w:rsidRPr="004D5C23">
        <w:rPr>
          <w:rFonts w:ascii="Times New Roman" w:eastAsia="Times New Roman" w:hAnsi="Times New Roman" w:cs="Times New Roman"/>
          <w:i/>
          <w:iCs/>
          <w:sz w:val="24"/>
          <w:szCs w:val="24"/>
          <w:lang w:val="en-US"/>
        </w:rPr>
        <w:br/>
      </w:r>
      <w:r w:rsidRPr="00615181">
        <w:rPr>
          <w:rFonts w:ascii="Times New Roman" w:eastAsia="Times New Roman" w:hAnsi="Times New Roman" w:cs="Times New Roman"/>
          <w:sz w:val="24"/>
          <w:szCs w:val="24"/>
          <w:lang w:val="en-US"/>
        </w:rPr>
        <w:t xml:space="preserve">(1) A person (the </w:t>
      </w:r>
      <w:r w:rsidRPr="00615181">
        <w:rPr>
          <w:rFonts w:ascii="Times New Roman" w:eastAsia="Times New Roman" w:hAnsi="Times New Roman" w:cs="Times New Roman"/>
          <w:i/>
          <w:iCs/>
          <w:sz w:val="24"/>
          <w:szCs w:val="24"/>
          <w:lang w:val="en-US"/>
        </w:rPr>
        <w:t>perpetrator</w:t>
      </w:r>
      <w:r w:rsidRPr="00615181">
        <w:rPr>
          <w:rFonts w:ascii="Times New Roman" w:eastAsia="Times New Roman" w:hAnsi="Times New Roman" w:cs="Times New Roman"/>
          <w:sz w:val="24"/>
          <w:szCs w:val="24"/>
          <w:lang w:val="en-US"/>
        </w:rPr>
        <w:t xml:space="preserve">) commits an offence if: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the perpetrator causes another person to enter into or remain in sexual slavery; 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 the perpetrator intends to cause, or is reckless as to causing, that sexual slavery; 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 the perpetrator’s conduct takes place in the context of, and is associated with, an international armed conflict.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Penalty: Imprisonment for 25 years.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(2) For the purposes of this section, </w:t>
      </w:r>
      <w:r w:rsidRPr="00615181">
        <w:rPr>
          <w:rFonts w:ascii="Times New Roman" w:eastAsia="Times New Roman" w:hAnsi="Times New Roman" w:cs="Times New Roman"/>
          <w:i/>
          <w:iCs/>
          <w:sz w:val="24"/>
          <w:szCs w:val="24"/>
          <w:lang w:val="en-US"/>
        </w:rPr>
        <w:t xml:space="preserve">sexual slavery </w:t>
      </w:r>
      <w:r w:rsidRPr="00615181">
        <w:rPr>
          <w:rFonts w:ascii="Times New Roman" w:eastAsia="Times New Roman" w:hAnsi="Times New Roman" w:cs="Times New Roman"/>
          <w:sz w:val="24"/>
          <w:szCs w:val="24"/>
          <w:lang w:val="en-US"/>
        </w:rPr>
        <w:t>is the condition of a person who provides sexual services and who, because of the use of force or threats: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is not free to cease providing sexual services; or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 is not free to leave the place or area where the person provides sexual services.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lastRenderedPageBreak/>
        <w:t>(3) In this section:</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i/>
          <w:iCs/>
          <w:sz w:val="24"/>
          <w:szCs w:val="24"/>
          <w:lang w:val="en-US"/>
        </w:rPr>
        <w:t>sexual service</w:t>
      </w:r>
      <w:r w:rsidRPr="00615181">
        <w:rPr>
          <w:rFonts w:ascii="Times New Roman" w:eastAsia="Times New Roman" w:hAnsi="Times New Roman" w:cs="Times New Roman"/>
          <w:sz w:val="24"/>
          <w:szCs w:val="24"/>
          <w:lang w:val="en-US"/>
        </w:rPr>
        <w:t xml:space="preserve"> means the use or display of the body of the person providing the service for the sexual gratification of others.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i/>
          <w:iCs/>
          <w:sz w:val="24"/>
          <w:szCs w:val="24"/>
          <w:lang w:val="en-US"/>
        </w:rPr>
        <w:t>threat</w:t>
      </w:r>
      <w:r w:rsidRPr="00615181">
        <w:rPr>
          <w:rFonts w:ascii="Times New Roman" w:eastAsia="Times New Roman" w:hAnsi="Times New Roman" w:cs="Times New Roman"/>
          <w:sz w:val="24"/>
          <w:szCs w:val="24"/>
          <w:lang w:val="en-US"/>
        </w:rPr>
        <w:t xml:space="preserve"> means: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 a threat of force; or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(b) a threat to cause a person’s deportation; or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 a threat of any other detrimental action unless there are reasonable grounds for the threat of that action in connection with the provision of sexual services by a person.</w:t>
      </w:r>
      <w:r>
        <w:rPr>
          <w:rFonts w:ascii="Times New Roman" w:eastAsia="Times New Roman" w:hAnsi="Times New Roman" w:cs="Times New Roman"/>
          <w:noProof/>
          <w:sz w:val="24"/>
          <w:szCs w:val="24"/>
        </w:rPr>
        <w:drawing>
          <wp:inline distT="0" distB="0" distL="0" distR="0">
            <wp:extent cx="151130" cy="142875"/>
            <wp:effectExtent l="19050" t="0" r="1270" b="0"/>
            <wp:docPr id="2239" name="Imagen 22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Australia’s ICC (Consequential Amendments) Act (2002) incorporates in the Criminal Code the crimes defined in the 1998 ICC Statute: crimes against humanity, including “enslavement”, and war crimes, including “sexual slavery” and “enforced prostitution”, in both international and non-international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2240" name="Imagen 22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Azerbaijan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Azerbaijan’s Criminal Code (1999), as amended to 2007, provides: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106.1. Slavery, i.e. full or partial realization of competencies inherent to the right of property on person—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shall be punished by imprisonment for a term of five to ten years.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106.2. In case the same actions committed against [a] minor or with the purpose of trafficking—</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shall be punished by imprisonment for a term of seven to twelve years.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 xml:space="preserve">106.3. Slave trafficking, i.e. forcing [a] person [in]to slavery or using him/her as a slave, keeping [him/her] for the purpose of selling or exchanging, taking decisions about the person, or any deed related to slave trafficking and transportation of slaves, as well as a deed attempting against sexual freedom, resulting from sexual slavery or slavery.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shall be punished by imprisonment for a term of five to ten years.</w:t>
      </w:r>
      <w:r>
        <w:rPr>
          <w:rFonts w:ascii="Times New Roman" w:eastAsia="Times New Roman" w:hAnsi="Times New Roman" w:cs="Times New Roman"/>
          <w:noProof/>
          <w:sz w:val="24"/>
          <w:szCs w:val="24"/>
        </w:rPr>
        <w:drawing>
          <wp:inline distT="0" distB="0" distL="0" distR="0">
            <wp:extent cx="151130" cy="142875"/>
            <wp:effectExtent l="19050" t="0" r="1270" b="0"/>
            <wp:docPr id="2241" name="Imagen 22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Bangladesh</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Bangladesh’s International Crimes (Tribunal) Act (1973) states that “deportation to slave labour or for any other purpose of civilian population in the territory of Bangladesh”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2242" name="Imagen 22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615181">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Belgium</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Belgium’s Penal Code (1867), as amended in 2003, provides:</w:t>
      </w:r>
      <w:r w:rsidRPr="004D5C23">
        <w:rPr>
          <w:rFonts w:ascii="Times New Roman" w:eastAsia="Times New Roman" w:hAnsi="Times New Roman" w:cs="Times New Roman"/>
          <w:sz w:val="24"/>
          <w:szCs w:val="24"/>
          <w:lang w:val="en-US"/>
        </w:rPr>
        <w:br/>
      </w:r>
      <w:r w:rsidRPr="00615181">
        <w:rPr>
          <w:rFonts w:ascii="Times New Roman" w:eastAsia="Times New Roman" w:hAnsi="Times New Roman" w:cs="Times New Roman"/>
          <w:sz w:val="24"/>
          <w:szCs w:val="24"/>
          <w:lang w:val="en-US"/>
        </w:rPr>
        <w:t xml:space="preserve">A crime against humanity, as defined below, whether committed in time of peace or in time of war, constitutes a crime under international law and shall be punished in accordance with the provisions of the present title. In accordance with the Statute of the International Criminal Court, crime against humanity means any of the following acts when committed as part of a widespread or systematic attack directed against any civilian population, with knowledge of the attack: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3. enslavement.</w:t>
      </w:r>
      <w:r>
        <w:rPr>
          <w:rFonts w:ascii="Times New Roman" w:eastAsia="Times New Roman" w:hAnsi="Times New Roman" w:cs="Times New Roman"/>
          <w:noProof/>
          <w:sz w:val="24"/>
          <w:szCs w:val="24"/>
        </w:rPr>
        <w:drawing>
          <wp:inline distT="0" distB="0" distL="0" distR="0">
            <wp:extent cx="151130" cy="142875"/>
            <wp:effectExtent l="19050" t="0" r="1270" b="0"/>
            <wp:docPr id="2243" name="Imagen 22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Belgium’s Law concerning the Repression of Grave Breaches of the Geneva Conventions and their Additional Protocols (1993), as amended in 1999, provides that enslavement constitutes a crime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244" name="Imagen 22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Belgium’s Law relating to the Repression of Grave Breaches of International Humanitarian Law (1993), as amended in 2003,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A crime against humanity, as defined below, whether committed in time of peace or in time of war, constitutes a crime under international law and shall be punished in accordance with the provisions of the present title. In accordance with the Statute of the International Criminal Court, crime against humanity means any of the following acts when committed as part of a widespread or systematic attack directed against any civilian population, with knowledge of the attack: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3. enslavement.</w:t>
      </w:r>
      <w:r>
        <w:rPr>
          <w:rFonts w:ascii="Times New Roman" w:eastAsia="Times New Roman" w:hAnsi="Times New Roman" w:cs="Times New Roman"/>
          <w:noProof/>
          <w:sz w:val="24"/>
          <w:szCs w:val="24"/>
        </w:rPr>
        <w:drawing>
          <wp:inline distT="0" distB="0" distL="0" distR="0">
            <wp:extent cx="151130" cy="142875"/>
            <wp:effectExtent l="19050" t="0" r="1270" b="0"/>
            <wp:docPr id="2245" name="Imagen 22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Bosnia and Herzegovina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Bosnia and Herzegovina’s Criminal Code (2003) criminalizes the following act as a crime against humanity: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 Whoever, as part of a widespread or systematic attack directed against any civilian population, with knowledge of such an attack, perpetrates any of the following acts: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 Enslavement.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(2) For the purpose of paragraph 1 of this Article the following terms shall have the following meanings: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c) </w:t>
      </w:r>
      <w:r w:rsidRPr="004D5C23">
        <w:rPr>
          <w:rFonts w:ascii="Times New Roman" w:eastAsia="Times New Roman" w:hAnsi="Times New Roman" w:cs="Times New Roman"/>
          <w:i/>
          <w:iCs/>
          <w:sz w:val="24"/>
          <w:szCs w:val="24"/>
          <w:lang w:val="en-US"/>
        </w:rPr>
        <w:t>Enslavement</w:t>
      </w:r>
      <w:r w:rsidRPr="004D5C23">
        <w:rPr>
          <w:rFonts w:ascii="Times New Roman" w:eastAsia="Times New Roman" w:hAnsi="Times New Roman" w:cs="Times New Roman"/>
          <w:sz w:val="24"/>
          <w:szCs w:val="24"/>
          <w:lang w:val="en-US"/>
        </w:rPr>
        <w:t xml:space="preserve"> means the exercise of any or all of the powers attaching to the right of ownership over a person, and includes the exercise of such power in the course of trafficking in persons, in particular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2246" name="Imagen 22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[emphasis in original]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(1) Whoever, in violation of the rules of international law, places another in slavery or in a similar status or keeps him in such a status, buys, sells, hands over to another person or mediates the purchase, sale or handing over of such a person or induces someone else to sell his freedom or the freedom of the person he provides for or takes care of,</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shall be punished by imprisonment for a term of between one and ten years.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 Whoever, in violation of the rules of international law, transports persons who are in a position of slavery or in similar status,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shall be punished by imprisonment for a term of between six months and five years.</w:t>
      </w:r>
      <w:r>
        <w:rPr>
          <w:rFonts w:ascii="Times New Roman" w:eastAsia="Times New Roman" w:hAnsi="Times New Roman" w:cs="Times New Roman"/>
          <w:noProof/>
          <w:sz w:val="24"/>
          <w:szCs w:val="24"/>
        </w:rPr>
        <w:drawing>
          <wp:inline distT="0" distB="0" distL="0" distR="0">
            <wp:extent cx="151130" cy="142875"/>
            <wp:effectExtent l="19050" t="0" r="1270" b="0"/>
            <wp:docPr id="2247" name="Imagen 22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Whoever, by means of use of force or threat of use of force or other forms of coercion, of abduction, of fraud or deception, of the abuse of power or of a position of vulnerability, or of the giving or receiving of payments or benefits to achieve the consent of a person having control over another person, recruits, transports, transfers, harbours or receipts a person, for the purpose of … slavery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shall be punished by imprisonment for a term of between one and ten years.</w:t>
      </w:r>
      <w:r>
        <w:rPr>
          <w:rFonts w:ascii="Times New Roman" w:eastAsia="Times New Roman" w:hAnsi="Times New Roman" w:cs="Times New Roman"/>
          <w:noProof/>
          <w:sz w:val="24"/>
          <w:szCs w:val="24"/>
        </w:rPr>
        <w:drawing>
          <wp:inline distT="0" distB="0" distL="0" distR="0">
            <wp:extent cx="151130" cy="142875"/>
            <wp:effectExtent l="19050" t="0" r="1270" b="0"/>
            <wp:docPr id="2248" name="Imagen 22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Burundi</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Burundi’s Law on Genocide, Crimes against Humanity and War Crimes (2003) lists “enslavement” as a crime against humanity “when committed as part of a widespread or systematic attack against any civilian population, with knowledge of the attack”.</w:t>
      </w:r>
      <w:r>
        <w:rPr>
          <w:rFonts w:ascii="Times New Roman" w:eastAsia="Times New Roman" w:hAnsi="Times New Roman" w:cs="Times New Roman"/>
          <w:noProof/>
          <w:sz w:val="24"/>
          <w:szCs w:val="24"/>
        </w:rPr>
        <w:drawing>
          <wp:inline distT="0" distB="0" distL="0" distR="0">
            <wp:extent cx="151130" cy="142875"/>
            <wp:effectExtent l="19050" t="0" r="1270" b="0"/>
            <wp:docPr id="2249" name="Imagen 22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Cambodia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Cambodia’s Law on the Establishment of the ECCC (2001), as amended in 2004,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The Extraordinary Chambers shall have the power to bring to trial all suspects who committed crimes against humanity during the period 17 April 1975 to 6 January 1979.</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Crimes against humanity … are any acts committed as part of a widespread or systematic attack directed against any civilian population, on national, political, ethnical, racial or religious grounds, such as: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enslavement.</w:t>
      </w:r>
      <w:r>
        <w:rPr>
          <w:rFonts w:ascii="Times New Roman" w:eastAsia="Times New Roman" w:hAnsi="Times New Roman" w:cs="Times New Roman"/>
          <w:noProof/>
          <w:sz w:val="24"/>
          <w:szCs w:val="24"/>
        </w:rPr>
        <w:drawing>
          <wp:inline distT="0" distB="0" distL="0" distR="0">
            <wp:extent cx="151130" cy="142875"/>
            <wp:effectExtent l="19050" t="0" r="1270" b="0"/>
            <wp:docPr id="2250" name="Imagen 22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Canada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Canada’s Crimes against Humanity and War Crimes Act (2000) provides that the crimes against humanity and war crimes defined in Articles 7 and 8(2) of the 1998 ICC </w:t>
      </w:r>
      <w:r w:rsidRPr="00B431DD">
        <w:rPr>
          <w:rFonts w:ascii="Times New Roman" w:eastAsia="Times New Roman" w:hAnsi="Times New Roman" w:cs="Times New Roman"/>
          <w:sz w:val="24"/>
          <w:szCs w:val="24"/>
          <w:lang w:val="en-US"/>
        </w:rPr>
        <w:lastRenderedPageBreak/>
        <w:t>Statute are “crimes according to customary international law” and, as such, indictable offences under the Act.</w:t>
      </w:r>
      <w:r>
        <w:rPr>
          <w:rFonts w:ascii="Times New Roman" w:eastAsia="Times New Roman" w:hAnsi="Times New Roman" w:cs="Times New Roman"/>
          <w:noProof/>
          <w:sz w:val="24"/>
          <w:szCs w:val="24"/>
        </w:rPr>
        <w:drawing>
          <wp:inline distT="0" distB="0" distL="0" distR="0">
            <wp:extent cx="151130" cy="142875"/>
            <wp:effectExtent l="19050" t="0" r="1270" b="0"/>
            <wp:docPr id="2251" name="Imagen 22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China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China’s Law Governing the Trial of War Criminals (1946) provides that “scheming to enslave the inhabitants of occupied territory”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2252" name="Imagen 22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Congo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Under the Congo’s Genocide, War Crimes and Crimes against Humanity Act (1998), “enslavement”, when committed as part of a widespread or systematic attack directed against any civilian population, with knowledge of the attack,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53" name="Imagen 22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Croatia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Croatia’s Criminal Code (1997) punishes any person who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places another person in slavery, or keeps a person in such a state or a similar state, buys, sells or hands him or her over to another person, or is an intermediary in the purchase, sale or handing over of a person, or encourages another person to sell the freedom of a person in his or her care.</w:t>
      </w:r>
      <w:r>
        <w:rPr>
          <w:rFonts w:ascii="Times New Roman" w:eastAsia="Times New Roman" w:hAnsi="Times New Roman" w:cs="Times New Roman"/>
          <w:noProof/>
          <w:sz w:val="24"/>
          <w:szCs w:val="24"/>
        </w:rPr>
        <w:drawing>
          <wp:inline distT="0" distB="0" distL="0" distR="0">
            <wp:extent cx="151130" cy="142875"/>
            <wp:effectExtent l="19050" t="0" r="1270" b="0"/>
            <wp:docPr id="2254" name="Imagen 22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Croatia’s Criminal Code (1997), as amended to 2006, states that “[ordering] trafficking in human beings, in particular of women and children, or the enslavement of a person in any other way so that some or all of the powers originating in property rights are exercised over such person”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55" name="Imagen 22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Democratic Republic of the Congo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Democratic Republic of the Congo’s Military Penal Code (2002)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Article 165</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Crimes against humanity are grave violations of international humanitarian law committed against any civilian population before or during war.</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Crimes against humanity are not necessarily linked to the state of war and can be committed not only between persons of different nationality, but even between subjects of the same State.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Article 169</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Any of the following acts, perpetrated as part of a widespread or systematic attack knowingly directed against the Republic or the civilian population, equally constitutes a crime against humanity and is punished by death, whether committed in time of peace or in time of war: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3. Enslavement.</w:t>
      </w:r>
      <w:r>
        <w:rPr>
          <w:rFonts w:ascii="Times New Roman" w:eastAsia="Times New Roman" w:hAnsi="Times New Roman" w:cs="Times New Roman"/>
          <w:noProof/>
          <w:sz w:val="24"/>
          <w:szCs w:val="24"/>
        </w:rPr>
        <w:drawing>
          <wp:inline distT="0" distB="0" distL="0" distR="0">
            <wp:extent cx="151130" cy="142875"/>
            <wp:effectExtent l="19050" t="0" r="1270" b="0"/>
            <wp:docPr id="2256" name="Imagen 22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Denmark</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Denmark’s Military Criminal Code (1973), as amended in 1978,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Any person who uses war instruments or procedures the application of which violates an international agreement entered into by Denmark or the general rules of international law, shall be liable to the same penalty [i.e. a fine, lenient imprisonment or up to 12 years’ imprisonment].</w:t>
      </w:r>
      <w:r>
        <w:rPr>
          <w:rFonts w:ascii="Times New Roman" w:eastAsia="Times New Roman" w:hAnsi="Times New Roman" w:cs="Times New Roman"/>
          <w:noProof/>
          <w:sz w:val="24"/>
          <w:szCs w:val="24"/>
        </w:rPr>
        <w:drawing>
          <wp:inline distT="0" distB="0" distL="0" distR="0">
            <wp:extent cx="151130" cy="142875"/>
            <wp:effectExtent l="19050" t="0" r="1270" b="0"/>
            <wp:docPr id="2257" name="Imagen 22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Any person who deliberately uses war means [“krigsmiddel”] or procedures the application of which violates an international agreement entered into by Denmark or international customary law, shall be liable to the same penalty [i.e. imprisonment up to life imprisonment].</w:t>
      </w:r>
      <w:r>
        <w:rPr>
          <w:rFonts w:ascii="Times New Roman" w:eastAsia="Times New Roman" w:hAnsi="Times New Roman" w:cs="Times New Roman"/>
          <w:noProof/>
          <w:sz w:val="24"/>
          <w:szCs w:val="24"/>
        </w:rPr>
        <w:drawing>
          <wp:inline distT="0" distB="0" distL="0" distR="0">
            <wp:extent cx="151130" cy="142875"/>
            <wp:effectExtent l="19050" t="0" r="1270" b="0"/>
            <wp:docPr id="2258" name="Imagen 22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Finland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Finland’s Criminal Code (1889), as amended in 2008, provides that any person who subjects another to “sexual slavery” shall be “sentenced for a </w:t>
      </w:r>
      <w:r w:rsidRPr="00B431DD">
        <w:rPr>
          <w:rFonts w:ascii="Times New Roman" w:eastAsia="Times New Roman" w:hAnsi="Times New Roman" w:cs="Times New Roman"/>
          <w:i/>
          <w:iCs/>
          <w:sz w:val="24"/>
          <w:szCs w:val="24"/>
          <w:lang w:val="en-US"/>
        </w:rPr>
        <w:t>war crime</w:t>
      </w:r>
      <w:r w:rsidRPr="00B431DD">
        <w:rPr>
          <w:rFonts w:ascii="Times New Roman" w:eastAsia="Times New Roman" w:hAnsi="Times New Roman" w:cs="Times New Roman"/>
          <w:sz w:val="24"/>
          <w:szCs w:val="24"/>
          <w:lang w:val="en-US"/>
        </w:rPr>
        <w:t xml:space="preserve"> to imprisonment for at least one year or for life”.</w:t>
      </w:r>
      <w:r>
        <w:rPr>
          <w:rFonts w:ascii="Times New Roman" w:eastAsia="Times New Roman" w:hAnsi="Times New Roman" w:cs="Times New Roman"/>
          <w:noProof/>
          <w:sz w:val="24"/>
          <w:szCs w:val="24"/>
        </w:rPr>
        <w:drawing>
          <wp:inline distT="0" distB="0" distL="0" distR="0">
            <wp:extent cx="151130" cy="142875"/>
            <wp:effectExtent l="19050" t="0" r="1270" b="0"/>
            <wp:docPr id="2259" name="Imagen 22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(emphasis in original)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France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Under France’s Penal Code (1994), enslavement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60" name="Imagen 22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Ireland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Ireland’s Geneva Conventions Act (1962), as amended in 1998, provides that any “minor breach” of the 1977 Additional Protocol II, including violations of Article 4(2)(f), is a punishable offence.</w:t>
      </w:r>
      <w:r>
        <w:rPr>
          <w:rFonts w:ascii="Times New Roman" w:eastAsia="Times New Roman" w:hAnsi="Times New Roman" w:cs="Times New Roman"/>
          <w:noProof/>
          <w:sz w:val="24"/>
          <w:szCs w:val="24"/>
        </w:rPr>
        <w:drawing>
          <wp:inline distT="0" distB="0" distL="0" distR="0">
            <wp:extent cx="151130" cy="142875"/>
            <wp:effectExtent l="19050" t="0" r="1270" b="0"/>
            <wp:docPr id="2261" name="Imagen 22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Islamic Republic of Iran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Islamic Republic of Iran’s Law of Prohibition of Trading of Slaves within Iran’s Territory and Freedom of Slaves at the Time of Their Arrival into the Country (1929) states: “Anyone who trades a human as a slave, or has other possessory behaviour with a human, or acts as a mediator in the trade or transport of slaves, will be punished to between one to three years of punitive imprisonment.”</w:t>
      </w:r>
      <w:r>
        <w:rPr>
          <w:rFonts w:ascii="Times New Roman" w:eastAsia="Times New Roman" w:hAnsi="Times New Roman" w:cs="Times New Roman"/>
          <w:noProof/>
          <w:sz w:val="24"/>
          <w:szCs w:val="24"/>
        </w:rPr>
        <w:drawing>
          <wp:inline distT="0" distB="0" distL="0" distR="0">
            <wp:extent cx="151130" cy="142875"/>
            <wp:effectExtent l="19050" t="0" r="1270" b="0"/>
            <wp:docPr id="2262" name="Imagen 22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Kenya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Kenya’s Constitution (1992) provides that no person shall be held in slavery or servitude.</w:t>
      </w:r>
      <w:r>
        <w:rPr>
          <w:rFonts w:ascii="Times New Roman" w:eastAsia="Times New Roman" w:hAnsi="Times New Roman" w:cs="Times New Roman"/>
          <w:noProof/>
          <w:sz w:val="24"/>
          <w:szCs w:val="24"/>
        </w:rPr>
        <w:drawing>
          <wp:inline distT="0" distB="0" distL="0" distR="0">
            <wp:extent cx="151130" cy="142875"/>
            <wp:effectExtent l="19050" t="0" r="1270" b="0"/>
            <wp:docPr id="2263" name="Imagen 22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Mali</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Mali’s Penal Code (2001) provides that enslavement of a group of the civilian population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64" name="Imagen 22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Netherlands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Under the International Crimes Act (2003) of the Netherlands, “enslavement” committed as part of a widespread or systematic attack directed against any civilian population, with knowledge of the attack, is a crime against humanity. Enslavement is defined as “the exercise of any or all of the powers attaching to the right of ownership over a person, including the exercise of such power in the course of trafficking in persons, in particular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2265" name="Imagen 22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New Zealand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Under New Zealand’s International Crimes and ICC Act (2000), crimes against humanity include the crimes defined in Article 7(1)(c) of the 1998 ICC Statute, and war crimes include the crimes defined in Article 8(2)(b)(xxii) and (e)(vi)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2266" name="Imagen 22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Niger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According to Niger’s Penal Code (1961), as amended in 2003, enslavement is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67" name="Imagen 22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Norway</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Norway’s Military Penal Code (1902), as amended in 1981, provides: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Anyone who contravenes or is accessory to the contravention of provisions relating to the protection of persons or property laid down in … the Geneva Conventions of 12 August 1949 … [and in] the two additional protocols to these Conventions … is liable to imprisonment.</w:t>
      </w:r>
      <w:r>
        <w:rPr>
          <w:rFonts w:ascii="Times New Roman" w:eastAsia="Times New Roman" w:hAnsi="Times New Roman" w:cs="Times New Roman"/>
          <w:noProof/>
          <w:sz w:val="24"/>
          <w:szCs w:val="24"/>
        </w:rPr>
        <w:drawing>
          <wp:inline distT="0" distB="0" distL="0" distR="0">
            <wp:extent cx="151130" cy="142875"/>
            <wp:effectExtent l="19050" t="0" r="1270" b="0"/>
            <wp:docPr id="2268" name="Imagen 22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Norway’s Penal Code (1902), as amended in 2008, states: “Any person is liable to punishment for a war crime who in connection with an armed conflict … enslaves a protected person.”</w:t>
      </w:r>
      <w:r>
        <w:rPr>
          <w:rFonts w:ascii="Times New Roman" w:eastAsia="Times New Roman" w:hAnsi="Times New Roman" w:cs="Times New Roman"/>
          <w:noProof/>
          <w:sz w:val="24"/>
          <w:szCs w:val="24"/>
        </w:rPr>
        <w:drawing>
          <wp:inline distT="0" distB="0" distL="0" distR="0">
            <wp:extent cx="151130" cy="142875"/>
            <wp:effectExtent l="19050" t="0" r="1270" b="0"/>
            <wp:docPr id="2269" name="Imagen 22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Peru</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Peru’s Regulations to the Law on Internal Displacement (2005)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Internally displaced persons who return to their place of habitual residence or who have resettled in another part of the country have a right to: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k) Be protected against … slavery.</w:t>
      </w:r>
      <w:r>
        <w:rPr>
          <w:rFonts w:ascii="Times New Roman" w:eastAsia="Times New Roman" w:hAnsi="Times New Roman" w:cs="Times New Roman"/>
          <w:noProof/>
          <w:sz w:val="24"/>
          <w:szCs w:val="24"/>
        </w:rPr>
        <w:drawing>
          <wp:inline distT="0" distB="0" distL="0" distR="0">
            <wp:extent cx="151130" cy="142875"/>
            <wp:effectExtent l="19050" t="0" r="1270" b="0"/>
            <wp:docPr id="2270" name="Imagen 22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Philippines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Under the War Crimes Trial Executive Order (1947) of the Philippines, “enslavement [of] … civilian populations before or during [the Second World War]” constitutes a war crime.</w:t>
      </w:r>
      <w:r>
        <w:rPr>
          <w:rFonts w:ascii="Times New Roman" w:eastAsia="Times New Roman" w:hAnsi="Times New Roman" w:cs="Times New Roman"/>
          <w:noProof/>
          <w:sz w:val="24"/>
          <w:szCs w:val="24"/>
        </w:rPr>
        <w:drawing>
          <wp:inline distT="0" distB="0" distL="0" distR="0">
            <wp:extent cx="151130" cy="142875"/>
            <wp:effectExtent l="19050" t="0" r="1270" b="0"/>
            <wp:docPr id="2271" name="Imagen 22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Philippines’ Republic Act No. 9208 (2003) concerning trafficking in persons provides: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 Definition of Terms. – As used in this Act: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Trafficking in Persons – refers to the recruitment, transportation, transfer or harboring, or receipt of persons with or without the victim’s consent or knowledge, within or across national borders by means of threat or use of force, or other forms of coercion, abduction, fraud, deception, abuse of power or of position, taking advantage of the vulnerability of the persons, or, the giving or receiving of payments or benefits to achieve the consent of a person having control over another person for the purpose of exploitation which includes at a minimum, the exploitation or the prostitution of others or other forms of sexual exploitation, forced labor or services, slavery, servitude or the removal or sale of organs.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 Forced Labor and Slavery – refer to the extraction of work or services from any person by means of enticement, violence, intimidation or threat, use of force or coercion, including deprivation of freedom, abuse of authority or moral ascendancy, debt-bondage or deception.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4. Acts of Trafficking in Persons. – It shall be unlawful for any person, natural or judicial, to commit any of the following acts: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To recruit, transport, transfer, harbor, provide, or receive a person by any means, including those done under the pretext of domestic or overseas employment or training or apprenticeship, for the purpose of prostitution, pornography, sexual exploitation, forced labor, slavery, involuntary servitude or debt bondage.</w:t>
      </w:r>
      <w:r>
        <w:rPr>
          <w:rFonts w:ascii="Times New Roman" w:eastAsia="Times New Roman" w:hAnsi="Times New Roman" w:cs="Times New Roman"/>
          <w:noProof/>
          <w:sz w:val="24"/>
          <w:szCs w:val="24"/>
        </w:rPr>
        <w:drawing>
          <wp:inline distT="0" distB="0" distL="0" distR="0">
            <wp:extent cx="151130" cy="142875"/>
            <wp:effectExtent l="19050" t="0" r="1270" b="0"/>
            <wp:docPr id="2272" name="Imagen 22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Philippines’ Republic Act No. 9231 (2003), the Special Protection of Children Against Child Abuse, Exploitation and Discrimination Act,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Sec. 12-D. </w:t>
      </w:r>
      <w:r w:rsidRPr="00B431DD">
        <w:rPr>
          <w:rFonts w:ascii="Times New Roman" w:eastAsia="Times New Roman" w:hAnsi="Times New Roman" w:cs="Times New Roman"/>
          <w:i/>
          <w:iCs/>
          <w:sz w:val="24"/>
          <w:szCs w:val="24"/>
          <w:lang w:val="en-US"/>
        </w:rPr>
        <w:t>Prohibition Against Worst Forms of Child Labor</w:t>
      </w:r>
      <w:r w:rsidRPr="00B431DD">
        <w:rPr>
          <w:rFonts w:ascii="Times New Roman" w:eastAsia="Times New Roman" w:hAnsi="Times New Roman" w:cs="Times New Roman"/>
          <w:sz w:val="24"/>
          <w:szCs w:val="24"/>
          <w:lang w:val="en-US"/>
        </w:rPr>
        <w:t>. – No child shall be engaged in the worst forms of child labor. The phrase “worst forms of child labor” shall refer to any of the following:</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(1) All forms of slavery, as defined under the “Anti-trafficking in Persons Act of 2003”, or practices similar to slavery such as sale and trafficking of children, debt bondage and serfdom and forced or compulsory labor, including recruitment of children for use in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2273" name="Imagen 22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Philippines’ Republic Act No. 9344 (2006), the Juvenile Justice and Welfare Act of 2006,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Sec. </w:t>
      </w:r>
      <w:r w:rsidRPr="00B431DD">
        <w:rPr>
          <w:rFonts w:ascii="Times New Roman" w:eastAsia="Times New Roman" w:hAnsi="Times New Roman" w:cs="Times New Roman"/>
          <w:sz w:val="24"/>
          <w:szCs w:val="24"/>
          <w:lang w:val="en-US"/>
        </w:rPr>
        <w:t>61</w:t>
      </w:r>
      <w:r w:rsidRPr="00B431DD">
        <w:rPr>
          <w:rFonts w:ascii="Times New Roman" w:eastAsia="Times New Roman" w:hAnsi="Times New Roman" w:cs="Times New Roman"/>
          <w:i/>
          <w:iCs/>
          <w:sz w:val="24"/>
          <w:szCs w:val="24"/>
          <w:lang w:val="en-US"/>
        </w:rPr>
        <w:t>. Other Prohibited Acts.</w:t>
      </w:r>
      <w:r w:rsidRPr="00B431DD">
        <w:rPr>
          <w:rFonts w:ascii="Times New Roman" w:eastAsia="Times New Roman" w:hAnsi="Times New Roman" w:cs="Times New Roman"/>
          <w:sz w:val="24"/>
          <w:szCs w:val="24"/>
          <w:lang w:val="en-US"/>
        </w:rPr>
        <w:t xml:space="preserve"> – The following and any other similar acts shall be considered prejudicial and detrimental to the psychological, emotional, social, spiritual, moral and physical health and well-being of the child in conflict with the law and therefore, prohibited: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 Compelling the child to perform involuntary servitude in any and all forms under any and all instances.</w:t>
      </w:r>
      <w:r>
        <w:rPr>
          <w:rFonts w:ascii="Times New Roman" w:eastAsia="Times New Roman" w:hAnsi="Times New Roman" w:cs="Times New Roman"/>
          <w:noProof/>
          <w:sz w:val="24"/>
          <w:szCs w:val="24"/>
        </w:rPr>
        <w:drawing>
          <wp:inline distT="0" distB="0" distL="0" distR="0">
            <wp:extent cx="151130" cy="142875"/>
            <wp:effectExtent l="19050" t="0" r="1270" b="0"/>
            <wp:docPr id="2274" name="Imagen 22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Republic of Korea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Republic of Korea’s ICC Act (2007) provides for the punishment of anyone who commits “enslavement” as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75" name="Imagen 22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Rwanda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Rwanda’s Law Repressing the Crime of Genocide, Crimes against Humanity and War Crimes (2003)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Article: 10</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“War crime” shall also mean any of the following acts committed in armed conflicts: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5° enslavement and slave trade, slavery-related practices and forced labour in all its forms;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i/>
          <w:iCs/>
          <w:sz w:val="24"/>
          <w:szCs w:val="24"/>
          <w:lang w:val="en-US"/>
        </w:rPr>
        <w:t>Article: 11</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Anyone who commits one of the war crimes provided for in Article 10 of this law shall be punished by the following penalties: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1° the death penalty or life imprisonment where he has committed a crime provided for in point 1°, 4°, 5°, 6°, 9° or 10° of Article 10 of this law.</w:t>
      </w:r>
      <w:r>
        <w:rPr>
          <w:rFonts w:ascii="Times New Roman" w:eastAsia="Times New Roman" w:hAnsi="Times New Roman" w:cs="Times New Roman"/>
          <w:noProof/>
          <w:sz w:val="24"/>
          <w:szCs w:val="24"/>
        </w:rPr>
        <w:drawing>
          <wp:inline distT="0" distB="0" distL="0" distR="0">
            <wp:extent cx="151130" cy="142875"/>
            <wp:effectExtent l="19050" t="0" r="1270" b="0"/>
            <wp:docPr id="2276" name="Imagen 22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Senegal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Senegal’s Penal Code (1965), as amended in 2007, lists “enslavement” as a crime against humanity “when committed on the occasion of a widespread or systematic attack against any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2277" name="Imagen 22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Serbia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Serbia’s Criminal Code (2005) states that ordering or committing enslavement “as part of a wider and systematic attack against the civilian population”, in violation of international law, constitutes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78" name="Imagen 22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(1) Whoever in violation of international law enslaves another person or places a person in a similar position, or holds a person in slavery or similar position, or buys, sells, hands over to another or mediates in buying, selling and handing over of such person or induces another to sell his freedom or freedom of persons under his support or care, shall be punished by imprisonment of [from] one to ten years.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(2) Whoever transports persons in slavery or other similar position from one country to another, shall be punished by imprisonment of [from] six months to five years.</w:t>
      </w:r>
      <w:r>
        <w:rPr>
          <w:rFonts w:ascii="Times New Roman" w:eastAsia="Times New Roman" w:hAnsi="Times New Roman" w:cs="Times New Roman"/>
          <w:noProof/>
          <w:sz w:val="24"/>
          <w:szCs w:val="24"/>
        </w:rPr>
        <w:drawing>
          <wp:inline distT="0" distB="0" distL="0" distR="0">
            <wp:extent cx="151130" cy="142875"/>
            <wp:effectExtent l="19050" t="0" r="1270" b="0"/>
            <wp:docPr id="2279" name="Imagen 22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South Africa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South Africa’s ICC Act (2002) reproduces the definitions of crimes against humanity of the 1998 ICC Statute, including “enslavement”.</w:t>
      </w:r>
      <w:r>
        <w:rPr>
          <w:rFonts w:ascii="Times New Roman" w:eastAsia="Times New Roman" w:hAnsi="Times New Roman" w:cs="Times New Roman"/>
          <w:noProof/>
          <w:sz w:val="24"/>
          <w:szCs w:val="24"/>
        </w:rPr>
        <w:drawing>
          <wp:inline distT="0" distB="0" distL="0" distR="0">
            <wp:extent cx="151130" cy="142875"/>
            <wp:effectExtent l="19050" t="0" r="1270" b="0"/>
            <wp:docPr id="2280" name="Imagen 22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Sri Lanka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Sri Lanka’s Penal Code (2006) provides: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Any person who –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 subjects or causes any person to be subjected to slavery;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shall be guilty of an offence.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“slavery” means the status or condition of a person over whom any or all of the powers attaching to the right of ownership are exercised.</w:t>
      </w:r>
      <w:r>
        <w:rPr>
          <w:rFonts w:ascii="Times New Roman" w:eastAsia="Times New Roman" w:hAnsi="Times New Roman" w:cs="Times New Roman"/>
          <w:noProof/>
          <w:sz w:val="24"/>
          <w:szCs w:val="24"/>
        </w:rPr>
        <w:drawing>
          <wp:inline distT="0" distB="0" distL="0" distR="0">
            <wp:extent cx="151130" cy="142875"/>
            <wp:effectExtent l="19050" t="0" r="1270" b="0"/>
            <wp:docPr id="2281" name="Imagen 22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Kingdom of Great Britain and Northern Ireland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Under the UK ICC Act (2001), it is a punishable offence to commit a crime against humanity as defined in Article 7(1)(c) of the 1998 ICC Statute, and war crimes as defined in Article 8(2)(b)(xxii) and (e)(vi) of the Statute.</w:t>
      </w:r>
      <w:r>
        <w:rPr>
          <w:rFonts w:ascii="Times New Roman" w:eastAsia="Times New Roman" w:hAnsi="Times New Roman" w:cs="Times New Roman"/>
          <w:noProof/>
          <w:sz w:val="24"/>
          <w:szCs w:val="24"/>
        </w:rPr>
        <w:drawing>
          <wp:inline distT="0" distB="0" distL="0" distR="0">
            <wp:extent cx="151130" cy="142875"/>
            <wp:effectExtent l="19050" t="0" r="1270" b="0"/>
            <wp:docPr id="2282" name="Imagen 22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States of America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US Regulations Governing the Trials of Accused War Criminals in the Pacific Region I (1945) established military commissions which had jurisdiction over offences such as enslavement of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2283" name="Imagen 22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The US Regulations Governing the Trials of Accused War Criminals in the Pacific </w:t>
      </w:r>
      <w:r w:rsidRPr="00B431DD">
        <w:rPr>
          <w:rFonts w:ascii="Times New Roman" w:eastAsia="Times New Roman" w:hAnsi="Times New Roman" w:cs="Times New Roman"/>
          <w:sz w:val="24"/>
          <w:szCs w:val="24"/>
          <w:lang w:val="en-US"/>
        </w:rPr>
        <w:lastRenderedPageBreak/>
        <w:t>Region II (1945) established military commissions which had jurisdiction over offences such as enslavement of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2284" name="Imagen 22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Venezuela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Venezuela’s Law on the State of Emergency (2001), which includes situations of internal and international armed conflict,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In accordance with Articles 339 of the Constitution of the Bolivarian Republic of Venezuela, Article 4(2) of the [1966] International Covenant on Civil and Political Rights and Article 27(2) of the [1969] American Convention on Human Rights, the guarantee to the [following] rights must not be restricted: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8. The [right to] not be subjected to slavery or servitude.</w:t>
      </w:r>
      <w:r>
        <w:rPr>
          <w:rFonts w:ascii="Times New Roman" w:eastAsia="Times New Roman" w:hAnsi="Times New Roman" w:cs="Times New Roman"/>
          <w:noProof/>
          <w:sz w:val="24"/>
          <w:szCs w:val="24"/>
        </w:rPr>
        <w:drawing>
          <wp:inline distT="0" distB="0" distL="0" distR="0">
            <wp:extent cx="151130" cy="142875"/>
            <wp:effectExtent l="19050" t="0" r="1270" b="0"/>
            <wp:docPr id="2285" name="Imagen 22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Zimbabwe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Zimbabwe’s Constitution (1979), as amended to 2009,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THE DECLARATION OF RIGHTS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14 Protection from slavery and forced labour</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 xml:space="preserve">(1) No person shall be held in slavery or servitude …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26 Interpretation and other savings</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(7) No measures taken in relation to a person who is a member of a disciplined force of a country with which Zimbabwe is at war or with which a state of hostilities exists and no law, to the extent that it authorises the taking of such measures, shall be held to be in contravention of the Declaration of Rights.</w:t>
      </w:r>
      <w:r>
        <w:rPr>
          <w:rFonts w:ascii="Times New Roman" w:eastAsia="Times New Roman" w:hAnsi="Times New Roman" w:cs="Times New Roman"/>
          <w:noProof/>
          <w:sz w:val="24"/>
          <w:szCs w:val="24"/>
        </w:rPr>
        <w:drawing>
          <wp:inline distT="0" distB="0" distL="0" distR="0">
            <wp:extent cx="151130" cy="142875"/>
            <wp:effectExtent l="19050" t="0" r="1270" b="0"/>
            <wp:docPr id="2286" name="Imagen 22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Zimbabwe’s Constitution (2013)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Chapter 4 – Declaration of Rights</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54. Freedom from slavery or servitude</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No person may be subjected to slavery or servitude.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86. Limitation of rights and freedoms</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 No law may limit the following rights enshrined in this Chapter, and no person may violate them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 the right not to be placed in slavery or servitude;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i/>
          <w:iCs/>
          <w:sz w:val="24"/>
          <w:szCs w:val="24"/>
          <w:lang w:val="en-US"/>
        </w:rPr>
        <w:t>87. Limitations during public emergency</w:t>
      </w:r>
      <w:r w:rsidRPr="004D5C23">
        <w:rPr>
          <w:rFonts w:ascii="Times New Roman" w:eastAsia="Times New Roman" w:hAnsi="Times New Roman" w:cs="Times New Roman"/>
          <w:i/>
          <w:iCs/>
          <w:sz w:val="24"/>
          <w:szCs w:val="24"/>
          <w:lang w:val="en-US"/>
        </w:rPr>
        <w:br/>
      </w:r>
      <w:r w:rsidRPr="00B431DD">
        <w:rPr>
          <w:rFonts w:ascii="Times New Roman" w:eastAsia="Times New Roman" w:hAnsi="Times New Roman" w:cs="Times New Roman"/>
          <w:sz w:val="24"/>
          <w:szCs w:val="24"/>
          <w:lang w:val="en-US"/>
        </w:rPr>
        <w:t>(1) In addition to the limitations permitted by section 86, the fundamental rights and freedoms set out in this Chapter may be further limited by a written law providing for measures to deal with situations arising during a period of public emergency, but only to the extent permitted by this section and the Second Schedule.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(4) No law that provides for a declaration of a state of emergency, and no legislative or other measure taken in consequence of such a declaration may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indemnify, or permit or authorise an indemnity for, the State or any institution or agency of the government at any level, or any other person, in respect of any unlawful act; or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 limit any of the rights referred to in section 86(3), or authorise or permit any of those rights to be violated.</w:t>
      </w:r>
      <w:r>
        <w:rPr>
          <w:rFonts w:ascii="Times New Roman" w:eastAsia="Times New Roman" w:hAnsi="Times New Roman" w:cs="Times New Roman"/>
          <w:noProof/>
          <w:sz w:val="24"/>
          <w:szCs w:val="24"/>
        </w:rPr>
        <w:drawing>
          <wp:inline distT="0" distB="0" distL="0" distR="0">
            <wp:extent cx="151130" cy="142875"/>
            <wp:effectExtent l="19050" t="0" r="1270" b="0"/>
            <wp:docPr id="2287" name="Imagen 22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3" w:history="1">
        <w:r w:rsidRPr="00B431DD">
          <w:rPr>
            <w:rFonts w:ascii="Times New Roman" w:eastAsia="Times New Roman" w:hAnsi="Times New Roman" w:cs="Times New Roman"/>
            <w:color w:val="0000FF"/>
            <w:sz w:val="24"/>
            <w:szCs w:val="24"/>
            <w:u w:val="single"/>
            <w:lang w:val="en-US"/>
          </w:rPr>
          <w:t>V. National Case-law</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Bosnia and Herzegovina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2007, in the </w:t>
      </w:r>
      <w:r w:rsidRPr="00B431DD">
        <w:rPr>
          <w:rFonts w:ascii="Times New Roman" w:eastAsia="Times New Roman" w:hAnsi="Times New Roman" w:cs="Times New Roman"/>
          <w:i/>
          <w:iCs/>
          <w:sz w:val="24"/>
          <w:szCs w:val="24"/>
          <w:lang w:val="en-US"/>
        </w:rPr>
        <w:t>Janković case</w:t>
      </w:r>
      <w:r w:rsidRPr="00B431DD">
        <w:rPr>
          <w:rFonts w:ascii="Times New Roman" w:eastAsia="Times New Roman" w:hAnsi="Times New Roman" w:cs="Times New Roman"/>
          <w:sz w:val="24"/>
          <w:szCs w:val="24"/>
          <w:lang w:val="en-US"/>
        </w:rPr>
        <w:t>, the Appellate Panel of the Court of Bosnia and Herzegovina held that the following elements constitute the crime against humanity of sexual slavery: “(i) intentional exercise of any or all of the powers attaching to the right of ownership over a person; (ii) the perpetrator subjected [the] victim to sexual intercourse on one or more occasions.”</w:t>
      </w:r>
      <w:r>
        <w:rPr>
          <w:rFonts w:ascii="Times New Roman" w:eastAsia="Times New Roman" w:hAnsi="Times New Roman" w:cs="Times New Roman"/>
          <w:noProof/>
          <w:sz w:val="24"/>
          <w:szCs w:val="24"/>
        </w:rPr>
        <w:drawing>
          <wp:inline distT="0" distB="0" distL="0" distR="0">
            <wp:extent cx="151130" cy="142875"/>
            <wp:effectExtent l="19050" t="0" r="1270" b="0"/>
            <wp:docPr id="2288" name="Imagen 22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Canada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Rudolph and Minister of Employment and Immigration case</w:t>
      </w:r>
      <w:r w:rsidRPr="00B431DD">
        <w:rPr>
          <w:rFonts w:ascii="Times New Roman" w:eastAsia="Times New Roman" w:hAnsi="Times New Roman" w:cs="Times New Roman"/>
          <w:sz w:val="24"/>
          <w:szCs w:val="24"/>
          <w:lang w:val="en-US"/>
        </w:rPr>
        <w:t xml:space="preserve"> in 1992, the Canadian Federal Court of Appeal upheld an order for the removal from Canada of the accused, a German national who during the Second World War had requested and supervised the deportation and use of foreign civilians as slave labourers in the production of V2 rockets, on the ground that he had committed outside Canada an act that constituted a war crime.</w:t>
      </w:r>
      <w:r>
        <w:rPr>
          <w:rFonts w:ascii="Times New Roman" w:eastAsia="Times New Roman" w:hAnsi="Times New Roman" w:cs="Times New Roman"/>
          <w:noProof/>
          <w:sz w:val="24"/>
          <w:szCs w:val="24"/>
        </w:rPr>
        <w:drawing>
          <wp:inline distT="0" distB="0" distL="0" distR="0">
            <wp:extent cx="151130" cy="142875"/>
            <wp:effectExtent l="19050" t="0" r="1270" b="0"/>
            <wp:docPr id="2289" name="Imagen 22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Colombia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Colombia’s Constitutional Court held in 1995 that the prohibitions contained in Article 4(2) of the 1977 Additional Protocol II were perfectly consistent with the Constitution, since they were not only in harmony with the principles and values of the Constitution, but also practically reproduced specific constitutional provisions. The Court said that the prohibition of Article 4(2)(f) was almost identical to Article 17 of the Constitution.</w:t>
      </w:r>
      <w:r>
        <w:rPr>
          <w:rFonts w:ascii="Times New Roman" w:eastAsia="Times New Roman" w:hAnsi="Times New Roman" w:cs="Times New Roman"/>
          <w:noProof/>
          <w:sz w:val="24"/>
          <w:szCs w:val="24"/>
        </w:rPr>
        <w:drawing>
          <wp:inline distT="0" distB="0" distL="0" distR="0">
            <wp:extent cx="151130" cy="142875"/>
            <wp:effectExtent l="19050" t="0" r="1270" b="0"/>
            <wp:docPr id="2290" name="Imagen 22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2007, in the </w:t>
      </w:r>
      <w:r w:rsidRPr="00B431DD">
        <w:rPr>
          <w:rFonts w:ascii="Times New Roman" w:eastAsia="Times New Roman" w:hAnsi="Times New Roman" w:cs="Times New Roman"/>
          <w:i/>
          <w:iCs/>
          <w:sz w:val="24"/>
          <w:szCs w:val="24"/>
          <w:lang w:val="en-US"/>
        </w:rPr>
        <w:t>Constitutional Case No. C-291/07</w:t>
      </w:r>
      <w:r w:rsidRPr="00B431DD">
        <w:rPr>
          <w:rFonts w:ascii="Times New Roman" w:eastAsia="Times New Roman" w:hAnsi="Times New Roman" w:cs="Times New Roman"/>
          <w:sz w:val="24"/>
          <w:szCs w:val="24"/>
          <w:lang w:val="en-US"/>
        </w:rPr>
        <w:t xml:space="preserve">, the Plenary Chamber of Colombia’s Constitutional Court stated: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[T]he essential principles of international humanitarian law have acquired </w:t>
      </w:r>
      <w:r w:rsidRPr="00B431DD">
        <w:rPr>
          <w:rFonts w:ascii="Times New Roman" w:eastAsia="Times New Roman" w:hAnsi="Times New Roman" w:cs="Times New Roman"/>
          <w:i/>
          <w:iCs/>
          <w:sz w:val="24"/>
          <w:szCs w:val="24"/>
          <w:lang w:val="en-US"/>
        </w:rPr>
        <w:t xml:space="preserve">ius cogens </w:t>
      </w:r>
      <w:r w:rsidRPr="00B431DD">
        <w:rPr>
          <w:rFonts w:ascii="Times New Roman" w:eastAsia="Times New Roman" w:hAnsi="Times New Roman" w:cs="Times New Roman"/>
          <w:sz w:val="24"/>
          <w:szCs w:val="24"/>
          <w:lang w:val="en-US"/>
        </w:rPr>
        <w:t>status, based on the fact that the international community as a whole has recognised their peremptory and imperative nature in the same way it has recognised this for other cardinal provisions such as … the prohibition of slavery.</w:t>
      </w:r>
      <w:r>
        <w:rPr>
          <w:rFonts w:ascii="Times New Roman" w:eastAsia="Times New Roman" w:hAnsi="Times New Roman" w:cs="Times New Roman"/>
          <w:noProof/>
          <w:sz w:val="24"/>
          <w:szCs w:val="24"/>
        </w:rPr>
        <w:drawing>
          <wp:inline distT="0" distB="0" distL="0" distR="0">
            <wp:extent cx="151130" cy="142875"/>
            <wp:effectExtent l="19050" t="0" r="1270" b="0"/>
            <wp:docPr id="2291" name="Imagen 22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Israel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its judgment in the </w:t>
      </w:r>
      <w:r w:rsidRPr="00B431DD">
        <w:rPr>
          <w:rFonts w:ascii="Times New Roman" w:eastAsia="Times New Roman" w:hAnsi="Times New Roman" w:cs="Times New Roman"/>
          <w:i/>
          <w:iCs/>
          <w:sz w:val="24"/>
          <w:szCs w:val="24"/>
          <w:lang w:val="en-US"/>
        </w:rPr>
        <w:t>Eichmann case</w:t>
      </w:r>
      <w:r w:rsidRPr="00B431DD">
        <w:rPr>
          <w:rFonts w:ascii="Times New Roman" w:eastAsia="Times New Roman" w:hAnsi="Times New Roman" w:cs="Times New Roman"/>
          <w:sz w:val="24"/>
          <w:szCs w:val="24"/>
          <w:lang w:val="en-US"/>
        </w:rPr>
        <w:t xml:space="preserve"> in 1961, the District Court of Jerusalem held that “enslavement” caused serious bodily or mental harm and amounted to a violation of Israel’s Nazis and Nazi Collaborators (Punishment) Law.</w:t>
      </w:r>
      <w:r>
        <w:rPr>
          <w:rFonts w:ascii="Times New Roman" w:eastAsia="Times New Roman" w:hAnsi="Times New Roman" w:cs="Times New Roman"/>
          <w:noProof/>
          <w:sz w:val="24"/>
          <w:szCs w:val="24"/>
        </w:rPr>
        <w:drawing>
          <wp:inline distT="0" distB="0" distL="0" distR="0">
            <wp:extent cx="151130" cy="142875"/>
            <wp:effectExtent l="19050" t="0" r="1270" b="0"/>
            <wp:docPr id="2292" name="Imagen 22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States of America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its judgment in the </w:t>
      </w:r>
      <w:r w:rsidRPr="00B431DD">
        <w:rPr>
          <w:rFonts w:ascii="Times New Roman" w:eastAsia="Times New Roman" w:hAnsi="Times New Roman" w:cs="Times New Roman"/>
          <w:i/>
          <w:iCs/>
          <w:sz w:val="24"/>
          <w:szCs w:val="24"/>
          <w:lang w:val="en-US"/>
        </w:rPr>
        <w:t>Pohl case</w:t>
      </w:r>
      <w:r w:rsidRPr="00B431DD">
        <w:rPr>
          <w:rFonts w:ascii="Times New Roman" w:eastAsia="Times New Roman" w:hAnsi="Times New Roman" w:cs="Times New Roman"/>
          <w:sz w:val="24"/>
          <w:szCs w:val="24"/>
          <w:lang w:val="en-US"/>
        </w:rPr>
        <w:t xml:space="preserve"> in 1947, the US Military Tribunal at Nuremberg, in considering charges of war crimes and crimes against humanity, held: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Slavery may exist even without torture. Slaves may be well fed, well clothed, and comfortably housed, but they are still slaves if without lawful process they are deprived of their freedom by forceful restraint. We might eliminate all proof of ill-treatment, overlook the starvation, beatings, and other barbarous acts, but the admitted fact of slavery – compulsory uncompensated labour – would still remain. There is no such thing as benevolent slavery. Involuntary servitude, even if tempered by humane treatment, is still slavery.</w:t>
      </w:r>
      <w:r>
        <w:rPr>
          <w:rFonts w:ascii="Times New Roman" w:eastAsia="Times New Roman" w:hAnsi="Times New Roman" w:cs="Times New Roman"/>
          <w:noProof/>
          <w:sz w:val="24"/>
          <w:szCs w:val="24"/>
        </w:rPr>
        <w:drawing>
          <wp:inline distT="0" distB="0" distL="0" distR="0">
            <wp:extent cx="151130" cy="142875"/>
            <wp:effectExtent l="19050" t="0" r="1270" b="0"/>
            <wp:docPr id="2293" name="Imagen 22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List case (The Hostages Trial)</w:t>
      </w:r>
      <w:r w:rsidRPr="00B431DD">
        <w:rPr>
          <w:rFonts w:ascii="Times New Roman" w:eastAsia="Times New Roman" w:hAnsi="Times New Roman" w:cs="Times New Roman"/>
          <w:sz w:val="24"/>
          <w:szCs w:val="24"/>
          <w:lang w:val="en-US"/>
        </w:rPr>
        <w:t xml:space="preserve"> in 1948, the US Military Tribunal at Nuremberg found the defendants guilty of committing acts of “deportation to slave labour of prisoners of war and members of the civilian populations in territories occupied by the German Armed Forces”.</w:t>
      </w:r>
      <w:r>
        <w:rPr>
          <w:rFonts w:ascii="Times New Roman" w:eastAsia="Times New Roman" w:hAnsi="Times New Roman" w:cs="Times New Roman"/>
          <w:noProof/>
          <w:sz w:val="24"/>
          <w:szCs w:val="24"/>
        </w:rPr>
        <w:drawing>
          <wp:inline distT="0" distB="0" distL="0" distR="0">
            <wp:extent cx="151130" cy="142875"/>
            <wp:effectExtent l="19050" t="0" r="1270" b="0"/>
            <wp:docPr id="2294" name="Imagen 22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Milch case</w:t>
      </w:r>
      <w:r w:rsidRPr="00B431DD">
        <w:rPr>
          <w:rFonts w:ascii="Times New Roman" w:eastAsia="Times New Roman" w:hAnsi="Times New Roman" w:cs="Times New Roman"/>
          <w:sz w:val="24"/>
          <w:szCs w:val="24"/>
          <w:lang w:val="en-US"/>
        </w:rPr>
        <w:t xml:space="preserve"> in 1947, the US Military Tribunal at Nuremberg found the accused guilty of war crimes in that he was responsible for the slave labour and deportation to slave labour of the civilian populations of countries and territories occupied by the German armed forces, and in the enslavement, deportation, ill-treatment and </w:t>
      </w:r>
      <w:r w:rsidRPr="00B431DD">
        <w:rPr>
          <w:rFonts w:ascii="Times New Roman" w:eastAsia="Times New Roman" w:hAnsi="Times New Roman" w:cs="Times New Roman"/>
          <w:sz w:val="24"/>
          <w:szCs w:val="24"/>
          <w:lang w:val="en-US"/>
        </w:rPr>
        <w:lastRenderedPageBreak/>
        <w:t>terrorization of such persons. The Tribunal found the accused guilty of crimes against humanity for the same war crimes insofar as they related to foreign nationals. Judge Fitzroy D Phillips referred to the definition of crimes in the 1945 Allied Control Council Law No. 10 and stated in his concurring opinion that the law treats as separate crimes and different types of crime deportation to slave labour (as a war crime) and enslavement (as a crime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295" name="Imagen 22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In its judgment in the </w:t>
      </w:r>
      <w:r w:rsidRPr="00B431DD">
        <w:rPr>
          <w:rFonts w:ascii="Times New Roman" w:eastAsia="Times New Roman" w:hAnsi="Times New Roman" w:cs="Times New Roman"/>
          <w:i/>
          <w:iCs/>
          <w:sz w:val="24"/>
          <w:szCs w:val="24"/>
          <w:lang w:val="en-US"/>
        </w:rPr>
        <w:t>Krauch case (The I.G. Farben Trial)</w:t>
      </w:r>
      <w:r w:rsidRPr="00B431DD">
        <w:rPr>
          <w:rFonts w:ascii="Times New Roman" w:eastAsia="Times New Roman" w:hAnsi="Times New Roman" w:cs="Times New Roman"/>
          <w:sz w:val="24"/>
          <w:szCs w:val="24"/>
          <w:lang w:val="en-US"/>
        </w:rPr>
        <w:t xml:space="preserve"> in 1948, the US Military Tribunal at Nuremberg, without attempting to define what constituted “work in direct relation to war operations” within the meaning of the 1929 Geneva POW Convention, held that the use of prisoners of war in coal mines under the existing conditions amounted to a violation of the Convention and, therefore, was a war crime. With regard to the deportation of the civilian inhabitants of occupied territories to slave labour, the Tribunal held: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The use of concentration camp labour and forced foreign workers at Auschwitz, with the initiative displayed by the officials of Farben in the procurement and utilization of such labour, is a crime against humanity and, to the extent that non-German nationals were involved, also a war crime, to which the slave labour programme of the Reich will not warrant the defence of necessity.</w:t>
      </w:r>
      <w:r>
        <w:rPr>
          <w:rFonts w:ascii="Times New Roman" w:eastAsia="Times New Roman" w:hAnsi="Times New Roman" w:cs="Times New Roman"/>
          <w:noProof/>
          <w:sz w:val="24"/>
          <w:szCs w:val="24"/>
        </w:rPr>
        <w:drawing>
          <wp:inline distT="0" distB="0" distL="0" distR="0">
            <wp:extent cx="151130" cy="142875"/>
            <wp:effectExtent l="19050" t="0" r="1270" b="0"/>
            <wp:docPr id="2296" name="Imagen 22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In its judgment in the </w:t>
      </w:r>
      <w:r w:rsidRPr="00B431DD">
        <w:rPr>
          <w:rFonts w:ascii="Times New Roman" w:eastAsia="Times New Roman" w:hAnsi="Times New Roman" w:cs="Times New Roman"/>
          <w:i/>
          <w:iCs/>
          <w:sz w:val="24"/>
          <w:szCs w:val="24"/>
          <w:lang w:val="en-US"/>
        </w:rPr>
        <w:t>Krupp case</w:t>
      </w:r>
      <w:r w:rsidRPr="00B431DD">
        <w:rPr>
          <w:rFonts w:ascii="Times New Roman" w:eastAsia="Times New Roman" w:hAnsi="Times New Roman" w:cs="Times New Roman"/>
          <w:sz w:val="24"/>
          <w:szCs w:val="24"/>
          <w:lang w:val="en-US"/>
        </w:rPr>
        <w:t xml:space="preserve"> in 1948, the US Military Tribunal at Nuremberg referred to the statement of the law applicable to the deportation to slave labour and enslavement made by Judge Phillips in the </w:t>
      </w:r>
      <w:r w:rsidRPr="00B431DD">
        <w:rPr>
          <w:rFonts w:ascii="Times New Roman" w:eastAsia="Times New Roman" w:hAnsi="Times New Roman" w:cs="Times New Roman"/>
          <w:i/>
          <w:iCs/>
          <w:sz w:val="24"/>
          <w:szCs w:val="24"/>
          <w:lang w:val="en-US"/>
        </w:rPr>
        <w:t>Milch case</w:t>
      </w:r>
      <w:r w:rsidRPr="00B431DD">
        <w:rPr>
          <w:rFonts w:ascii="Times New Roman" w:eastAsia="Times New Roman" w:hAnsi="Times New Roman" w:cs="Times New Roman"/>
          <w:sz w:val="24"/>
          <w:szCs w:val="24"/>
          <w:lang w:val="en-US"/>
        </w:rPr>
        <w:t xml:space="preserve"> and found the accused guilty of forcing French prisoners of war to work in the armament industry.</w:t>
      </w:r>
      <w:r>
        <w:rPr>
          <w:rFonts w:ascii="Times New Roman" w:eastAsia="Times New Roman" w:hAnsi="Times New Roman" w:cs="Times New Roman"/>
          <w:noProof/>
          <w:sz w:val="24"/>
          <w:szCs w:val="24"/>
        </w:rPr>
        <w:drawing>
          <wp:inline distT="0" distB="0" distL="0" distR="0">
            <wp:extent cx="151130" cy="142875"/>
            <wp:effectExtent l="19050" t="0" r="1270" b="0"/>
            <wp:docPr id="2297" name="Imagen 22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4" w:history="1">
        <w:r w:rsidRPr="00B431DD">
          <w:rPr>
            <w:rFonts w:ascii="Times New Roman" w:eastAsia="Times New Roman" w:hAnsi="Times New Roman" w:cs="Times New Roman"/>
            <w:color w:val="0000FF"/>
            <w:sz w:val="24"/>
            <w:szCs w:val="24"/>
            <w:u w:val="single"/>
            <w:lang w:val="en-US"/>
          </w:rPr>
          <w:t>VI. Other National Practice</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Algeria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2006, in its third periodic report to the Human Rights Committee, Algeria stated: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57. Since 1991, Algeria has had to confront terrorism in an atmosphere of indifference and suspicion. Efforts to combat this scourge, requiring the implementation of special measures, have always been deployed within the framework of the law and respect for human dignity.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58. In order to deal with this exceptional situation, in February 1992 the Algerian authorities decided to declare – as they are entitled to do under the Constitution – a state of emergency. Although the state of emergency did impose some restrictions on the exercise of civil rights and liberties, it did not relieve the State of its obligations to guarantee the right to exercise the fundamental civil liberties provided for in the existing domestic constitutional order and in the international agreements ratified by Algeria.</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59. The exceptional measures taken during the state of emergency were all accompanied by guarantees for the protection of human rights. No restrictions were placed on the rights and freedoms enshrined in [</w:t>
      </w:r>
      <w:r w:rsidRPr="00B431DD">
        <w:rPr>
          <w:rFonts w:ascii="Times New Roman" w:eastAsia="Times New Roman" w:hAnsi="Times New Roman" w:cs="Times New Roman"/>
          <w:i/>
          <w:iCs/>
          <w:sz w:val="24"/>
          <w:szCs w:val="24"/>
          <w:lang w:val="en-US"/>
        </w:rPr>
        <w:t xml:space="preserve">inter alia, </w:t>
      </w:r>
      <w:r w:rsidRPr="00B431DD">
        <w:rPr>
          <w:rFonts w:ascii="Times New Roman" w:eastAsia="Times New Roman" w:hAnsi="Times New Roman" w:cs="Times New Roman"/>
          <w:sz w:val="24"/>
          <w:szCs w:val="24"/>
          <w:lang w:val="en-US"/>
        </w:rPr>
        <w:t>article 8] of the International Covenant on Civil and Political Rights.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277. Slavery, human trafficking and servitude are practices that are not known to Algerian society, which cultivates relationships based on respect and equality both among individuals, and between individuals and the State, in accordance with the principles set out in articles 8 and 9 of the Constitution.</w:t>
      </w:r>
      <w:r>
        <w:rPr>
          <w:rFonts w:ascii="Times New Roman" w:eastAsia="Times New Roman" w:hAnsi="Times New Roman" w:cs="Times New Roman"/>
          <w:noProof/>
          <w:sz w:val="24"/>
          <w:szCs w:val="24"/>
        </w:rPr>
        <w:drawing>
          <wp:inline distT="0" distB="0" distL="0" distR="0">
            <wp:extent cx="151130" cy="142875"/>
            <wp:effectExtent l="19050" t="0" r="1270" b="0"/>
            <wp:docPr id="2298" name="Imagen 22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Azerbaijan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2007, in its third periodic report to the Human Rights Committee, Azerbaijan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The slave trade, that is detaining persons for the purpose of their enslavement or use as slaves, the sale, exchange or disposal in any other manner of persons, and also any act associated with the slave trade or the transportation of slaves, along with sexual slavery </w:t>
      </w:r>
      <w:r w:rsidRPr="00B431DD">
        <w:rPr>
          <w:rFonts w:ascii="Times New Roman" w:eastAsia="Times New Roman" w:hAnsi="Times New Roman" w:cs="Times New Roman"/>
          <w:sz w:val="24"/>
          <w:szCs w:val="24"/>
          <w:lang w:val="en-US"/>
        </w:rPr>
        <w:lastRenderedPageBreak/>
        <w:t>or encroachments on sexual freedom in the form of slavery are punishable by terms of deprivation of liberty for periods of between 5 and 10 years.</w:t>
      </w:r>
      <w:r>
        <w:rPr>
          <w:rFonts w:ascii="Times New Roman" w:eastAsia="Times New Roman" w:hAnsi="Times New Roman" w:cs="Times New Roman"/>
          <w:noProof/>
          <w:sz w:val="24"/>
          <w:szCs w:val="24"/>
        </w:rPr>
        <w:drawing>
          <wp:inline distT="0" distB="0" distL="0" distR="0">
            <wp:extent cx="151130" cy="142875"/>
            <wp:effectExtent l="19050" t="0" r="1270" b="0"/>
            <wp:docPr id="2299" name="Imagen 22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Chad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2009, in its written replies to the issues raised by the Human Rights Committee with regard to Chad’s initial report, Chad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Concerns persist in the case of international adoption as Chad has not yet ratified the Hague Convention of 1993 on Protection of Children and Cooperation in respect of Inter-Country Adoption. This legal lacuna makes it impossible to monitor children adopted by foreigners and it exposes some children to the risks of exploitation in a context of increasing trafficking in children. In practice however the legal procedure for adoption is rarely followed. The traditional method of adoption … is unfortunately expanding as a result of the increasing number of orphans and children rendered vulnerable by conflict … , who are taken in by families without any legal proceedings.</w:t>
      </w:r>
      <w:r>
        <w:rPr>
          <w:rFonts w:ascii="Times New Roman" w:eastAsia="Times New Roman" w:hAnsi="Times New Roman" w:cs="Times New Roman"/>
          <w:noProof/>
          <w:sz w:val="24"/>
          <w:szCs w:val="24"/>
        </w:rPr>
        <w:drawing>
          <wp:inline distT="0" distB="0" distL="0" distR="0">
            <wp:extent cx="151130" cy="142875"/>
            <wp:effectExtent l="19050" t="0" r="1270" b="0"/>
            <wp:docPr id="2300" name="Imagen 23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Chile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2006, in its fifth periodic report to the Human Rights Committee, Chile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Chile abolished slavery in 1823. Article 19.2 of the Constitution expressly states that “There are no slaves in Chile, and those who tread its soil shall be free”. The 1926 Slavery Convention, the 1953 Protocol to it and the 1956 Supplementary Convention on the Abolition of Slavery were approved on 20 June 1995 and Chile’s documents of accession were deposited with the United Nations on 7 November 1995.</w:t>
      </w:r>
      <w:r>
        <w:rPr>
          <w:rFonts w:ascii="Times New Roman" w:eastAsia="Times New Roman" w:hAnsi="Times New Roman" w:cs="Times New Roman"/>
          <w:noProof/>
          <w:sz w:val="24"/>
          <w:szCs w:val="24"/>
        </w:rPr>
        <w:drawing>
          <wp:inline distT="0" distB="0" distL="0" distR="0">
            <wp:extent cx="151130" cy="142875"/>
            <wp:effectExtent l="19050" t="0" r="1270" b="0"/>
            <wp:docPr id="2301" name="Imagen 23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Côte d’Ivoire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2010, in its combined initial to third periodic reports to the Committee on the Elimination of Discrimination against Women, Côte d’Ivoire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270. Armed conflicts are causes of sexual violence, trafficking of women and increasing prostitution. They have certainly aggravated the trafficking of women and prostitution.</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271. There are several resettlement programmes for young combatants and war victims, but they do not take account of the specific problems of girls.</w:t>
      </w:r>
      <w:r>
        <w:rPr>
          <w:rFonts w:ascii="Times New Roman" w:eastAsia="Times New Roman" w:hAnsi="Times New Roman" w:cs="Times New Roman"/>
          <w:noProof/>
          <w:sz w:val="24"/>
          <w:szCs w:val="24"/>
        </w:rPr>
        <w:drawing>
          <wp:inline distT="0" distB="0" distL="0" distR="0">
            <wp:extent cx="151130" cy="142875"/>
            <wp:effectExtent l="19050" t="0" r="1270" b="0"/>
            <wp:docPr id="2302" name="Imagen 23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Democratic Republic of the Congo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2005, in its third periodic report to the Human Rights Committee, the Democratic Republic of the Congo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56. Article 134, paragraphs 1 and 3, of the transitional Constitution provide that: “In accordance with the provisions of article 73 of the present Constitution, the President of the Republic declares war on a decision of the Council of Ministers on the recommendation of the National Defence Council and authorization of the National Assembly and Senate. The rights and duties of citizens in time of war or in the event of invasion or attack on the country by foreign forces shall be governed by an organization act.”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57. Although the Constitution does not explicitly state which rights may be derogated from, in the event of the proclamation of a state of war or emergency, by constitutional tradition there is no authorization for derogation from the following fundamental rights: the right to life, the right to physical integrity (right not to be tortured), the right to equality, the right not to be kept in slavery or servitude, the right not to be imprisoned for acts of commission or omission which did not constitute offences when they were perpetrated, freedom of thought, conscience and religion, and recognition of legal personality.</w:t>
      </w:r>
      <w:r>
        <w:rPr>
          <w:rFonts w:ascii="Times New Roman" w:eastAsia="Times New Roman" w:hAnsi="Times New Roman" w:cs="Times New Roman"/>
          <w:noProof/>
          <w:sz w:val="24"/>
          <w:szCs w:val="24"/>
        </w:rPr>
        <w:drawing>
          <wp:inline distT="0" distB="0" distL="0" distR="0">
            <wp:extent cx="151130" cy="142875"/>
            <wp:effectExtent l="19050" t="0" r="1270" b="0"/>
            <wp:docPr id="2303" name="Imagen 23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Djibouti</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1998, in its initial report to the Committee on the Rights of the Child, Djibouti stated: “In Djibouti, the sale of human beings is absolutely prohibited by the legal system.”</w:t>
      </w:r>
      <w:r>
        <w:rPr>
          <w:rFonts w:ascii="Times New Roman" w:eastAsia="Times New Roman" w:hAnsi="Times New Roman" w:cs="Times New Roman"/>
          <w:noProof/>
          <w:sz w:val="24"/>
          <w:szCs w:val="24"/>
        </w:rPr>
        <w:drawing>
          <wp:inline distT="0" distB="0" distL="0" distR="0">
            <wp:extent cx="151130" cy="142875"/>
            <wp:effectExtent l="19050" t="0" r="1270" b="0"/>
            <wp:docPr id="2304" name="Imagen 23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Finland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In 2003, in its fifth periodic report to the Human Rights Committee, Finland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It was not considered necessary to specifically mention slavery and servitude in the list of rights guaranteed by section 7 of the Constitution as the prohibition of slavery and servitude, which is without any doubt in force in Finland in the same way as the general prohibition of interference with the integrity of person, may undisputedly be derived from the general provision in section 7, subsection 1, of the Constitution.</w:t>
      </w:r>
      <w:r>
        <w:rPr>
          <w:rFonts w:ascii="Times New Roman" w:eastAsia="Times New Roman" w:hAnsi="Times New Roman" w:cs="Times New Roman"/>
          <w:noProof/>
          <w:sz w:val="24"/>
          <w:szCs w:val="24"/>
        </w:rPr>
        <w:drawing>
          <wp:inline distT="0" distB="0" distL="0" distR="0">
            <wp:extent cx="151130" cy="142875"/>
            <wp:effectExtent l="19050" t="0" r="1270" b="0"/>
            <wp:docPr id="2305" name="Imagen 23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Morocco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2004, in its fifth periodic report to the Human Rights Committee, Morocco stated: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120. Under article 8 of the Covenant, slavery and the slave trade and forced or compulsory labour are prohibited. The principles of Islam proscribing slavery and establishing the equality of all without discrimination are an integral part of Morocco’s constitutional provisions and of the rules governing social behaviour.</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121. Morocco is a party to the international instruments on slavery and forced labour, namely the Slavery Convention, the Supplementary Convention on the Abolition of Slavery, the Slave Trade, and Institutions and Practices Similar to Slavery, the Convention for the Suppression of the Traffic in Persons and of the Exploitation of the Prostitution of Others, and International Labour Organization (ILO) Conventions Nos. 29, concerning forced labour, and 105, concerning the abolition of forced labour.</w:t>
      </w:r>
      <w:r>
        <w:rPr>
          <w:rFonts w:ascii="Times New Roman" w:eastAsia="Times New Roman" w:hAnsi="Times New Roman" w:cs="Times New Roman"/>
          <w:noProof/>
          <w:sz w:val="24"/>
          <w:szCs w:val="24"/>
        </w:rPr>
        <w:drawing>
          <wp:inline distT="0" distB="0" distL="0" distR="0">
            <wp:extent cx="151130" cy="142875"/>
            <wp:effectExtent l="19050" t="0" r="1270" b="0"/>
            <wp:docPr id="2306" name="Imagen 23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Poland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2004, in its fifth periodic report to the Human Rights Committee, Poland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The Republic of Poland unconditionally observes the prohibition of slavery, the slave trade and servitude contained in article 8 of the Covenant [on Civil and Political Rights]. Polish legislature in this field implements the obligations arising from international law, especially from the </w:t>
      </w:r>
      <w:r w:rsidRPr="00B431DD">
        <w:rPr>
          <w:rFonts w:ascii="Times New Roman" w:eastAsia="Times New Roman" w:hAnsi="Times New Roman" w:cs="Times New Roman"/>
          <w:i/>
          <w:iCs/>
          <w:sz w:val="24"/>
          <w:szCs w:val="24"/>
          <w:lang w:val="en-US"/>
        </w:rPr>
        <w:t xml:space="preserve">Convention of 7 November 1956 on the Abolition of Slavery, the Slave Trade and Institutions and Practices Similar to Slavery, </w:t>
      </w:r>
      <w:r w:rsidRPr="00B431DD">
        <w:rPr>
          <w:rFonts w:ascii="Times New Roman" w:eastAsia="Times New Roman" w:hAnsi="Times New Roman" w:cs="Times New Roman"/>
          <w:sz w:val="24"/>
          <w:szCs w:val="24"/>
          <w:lang w:val="en-US"/>
        </w:rPr>
        <w:t xml:space="preserve">ratified by Poland (Journal of Laws of 1963 no. 33 items 185 and 186).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Poland is also a state party to </w:t>
      </w:r>
      <w:r w:rsidRPr="00B431DD">
        <w:rPr>
          <w:rFonts w:ascii="Times New Roman" w:eastAsia="Times New Roman" w:hAnsi="Times New Roman" w:cs="Times New Roman"/>
          <w:i/>
          <w:iCs/>
          <w:sz w:val="24"/>
          <w:szCs w:val="24"/>
          <w:lang w:val="en-US"/>
        </w:rPr>
        <w:t>the Convention no. 29 of the International Labour Organisation of 28 June 1930 on Forced or Compulsory Labour</w:t>
      </w:r>
      <w:r w:rsidRPr="00B431DD">
        <w:rPr>
          <w:rFonts w:ascii="Times New Roman" w:eastAsia="Times New Roman" w:hAnsi="Times New Roman" w:cs="Times New Roman"/>
          <w:sz w:val="24"/>
          <w:szCs w:val="24"/>
          <w:lang w:val="en-US"/>
        </w:rPr>
        <w:t xml:space="preserve"> (Journal of Laws of 1959 no. 20 item 122 and 123) and the </w:t>
      </w:r>
      <w:r w:rsidRPr="00B431DD">
        <w:rPr>
          <w:rFonts w:ascii="Times New Roman" w:eastAsia="Times New Roman" w:hAnsi="Times New Roman" w:cs="Times New Roman"/>
          <w:i/>
          <w:iCs/>
          <w:sz w:val="24"/>
          <w:szCs w:val="24"/>
          <w:lang w:val="en-US"/>
        </w:rPr>
        <w:t>Convention no. 105 the International Labour Organisation of 25 June 1957 on the Abolition of Forced Labour</w:t>
      </w:r>
      <w:r w:rsidRPr="00B431DD">
        <w:rPr>
          <w:rFonts w:ascii="Times New Roman" w:eastAsia="Times New Roman" w:hAnsi="Times New Roman" w:cs="Times New Roman"/>
          <w:sz w:val="24"/>
          <w:szCs w:val="24"/>
          <w:lang w:val="en-US"/>
        </w:rPr>
        <w:t xml:space="preserve"> (Journal of Laws of 1959 no. 39 items 240 and 241).</w:t>
      </w:r>
      <w:r>
        <w:rPr>
          <w:rFonts w:ascii="Times New Roman" w:eastAsia="Times New Roman" w:hAnsi="Times New Roman" w:cs="Times New Roman"/>
          <w:noProof/>
          <w:sz w:val="24"/>
          <w:szCs w:val="24"/>
        </w:rPr>
        <w:drawing>
          <wp:inline distT="0" distB="0" distL="0" distR="0">
            <wp:extent cx="151130" cy="142875"/>
            <wp:effectExtent l="19050" t="0" r="1270" b="0"/>
            <wp:docPr id="2307" name="Imagen 23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Serbia and Montenegro</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2003, in its initial report to the Human Rights Committee, Serbia and Montenegro reported: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153. Pursuant to the Charter of Human and Minority Rights and Civil Liberties [of the State Union of Serbia and Montenegro, adopted in 2003], derogation from human and minority rights guaranteed by this Charter is allowed following the declaration of a state of war or a state of emergency, if the existence of the State Union or a member State is threatened, but only to the extent necessary under the given circumstances. Measures of derogation from human and minority rights cease to have effect following the end of the state of war or the state of emergency. No derogation is permitted even during the state of war or the state of emergency from the … prohibition of slavery, servitude and forced labour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215. … Article 13 [of the Charter of Human and Minority Rights and Civil Liberties of the State Union of Serbia and Montenegro, adopted in 2003] prohibits slavery, servitude and forced labour. This Article provides that sexual or economic exploitation of persons in a disadvantageous position is also considered forced labour, work or service; however, the work or service imposed on persons effectively convicted, persons in military service or in case of emergency situations threatening the life of the community </w:t>
      </w:r>
      <w:r w:rsidRPr="00B431DD">
        <w:rPr>
          <w:rFonts w:ascii="Times New Roman" w:eastAsia="Times New Roman" w:hAnsi="Times New Roman" w:cs="Times New Roman"/>
          <w:sz w:val="24"/>
          <w:szCs w:val="24"/>
          <w:lang w:val="en-US"/>
        </w:rPr>
        <w:lastRenderedPageBreak/>
        <w:t>are not considered forced labour. Likewise, the provisions of this Article prohibit any form of human trafficking. It is pointed out that, under the Charter, no derogation measures are applicable in any case to the right to inviolability of physical and mental integrity and to the prohibition of slavery, servitude and forced labour.</w:t>
      </w:r>
      <w:r>
        <w:rPr>
          <w:rFonts w:ascii="Times New Roman" w:eastAsia="Times New Roman" w:hAnsi="Times New Roman" w:cs="Times New Roman"/>
          <w:noProof/>
          <w:sz w:val="24"/>
          <w:szCs w:val="24"/>
        </w:rPr>
        <w:drawing>
          <wp:inline distT="0" distB="0" distL="0" distR="0">
            <wp:extent cx="151130" cy="142875"/>
            <wp:effectExtent l="19050" t="0" r="1270" b="0"/>
            <wp:docPr id="2308" name="Imagen 23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Somalia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2011, in its report to the Human Rights Council, Somalia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Somalia has not ratified AP II [1977 Additional Protocol II] and it is therefore not directly applicable to Somalia as a matter of treaty law. The Government is aware that many provisions of AP II represent customary IHL rules and therefore apply to the situation in Somalia. Such provisions include Article 4 providing guarantees to persons taking no active part in hostilities … due to the fact that these norms are reflected in Common Article 3 of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2309" name="Imagen 23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Sri Lanka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2008, in its combined third and fourth periodic reports to the Committee on the Rights of the Child, Sri Lanka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17. Legislation was passed in a number of areas to strengthen children’s rights and enhance their protection. These included the following: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(c) The Penal Code (Amendment) Act No. 16 of 2006 strengthened the law against child trafficking including that by electronic media. The new section 360C adopts the wide definition of trafficking in the United Nations Protocol to Prevent, Suppress and Punish Trafficking in Persons. The new section 358A has criminalized outstanding worst forms of child labour as stipulated in the International Labour Organization (ILO) [1999] Convention [on the Worst Forms of Child Labour] No. 182: debt bondage and serfdom, … [and] slavery …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383. Several amendments were made to the Penal Code by Amendment Act No. 16 of 2006 to bring offences against children … in line with international norms and standards.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384. The new law repealed and replaced the older law on trafficking in persons, to bring it line with the definition of trafficking in the United Nations Protocol to Prevent, Suppress and Punish Trafficking in Persons, Especially Women and Children supplementing the [2000] United Nations Convention against Transnational Organized Crime. Other than buying, selling and bartering of persons, the definition of trafficking now encompasses recruiting, transporting, transferring, harbouring, receiving any person, or doing any other act for the purpose of securing forced or compulsory labour or services, slavery, servitude, the removal of organs, … or any other act which constitutes an offence under any law (section 360 C). While with respect to adult victims these acts must be done by means of threat, deception, inducement etc., in the case of children the means used is irrelevant. Furthermore, for children the law specifically provides that the offence is committed whether the acts are done with or without the consent of the child. The new law recognizes that trafficking often consists of a chain of events with the participation of many actors, and makes it possible to catch perpetrators at each point in the chain.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385. The Convention on Preventing and Combating Trafficking in Women and Children for Prostitution Act No. 30 of 2005 was enacted to give effect to the South Asian Association for Regional Cooperation (SAARC) Convention (of the same title) to which Sri Lanka is bound at the regional level. The Act could be seen as supplementing the provisions of the Penal Code. The SAARC Act makes it an offence to keep, maintain, manage, finance or rent out any building for the purpose of trafficking of women and </w:t>
      </w:r>
      <w:r w:rsidRPr="00B431DD">
        <w:rPr>
          <w:rFonts w:ascii="Times New Roman" w:eastAsia="Times New Roman" w:hAnsi="Times New Roman" w:cs="Times New Roman"/>
          <w:sz w:val="24"/>
          <w:szCs w:val="24"/>
          <w:lang w:val="en-US"/>
        </w:rPr>
        <w:lastRenderedPageBreak/>
        <w:t>children for prostitution or any connected matter. It provides for compensation to be paid to the victim, recovered from any fine imposed as a penalty for the offence. It also makes offences under the Act extraditable and contains provisions regarding co-operation between States in the investigation and prosecution of trafficking.</w:t>
      </w:r>
      <w:r>
        <w:rPr>
          <w:rFonts w:ascii="Times New Roman" w:eastAsia="Times New Roman" w:hAnsi="Times New Roman" w:cs="Times New Roman"/>
          <w:noProof/>
          <w:sz w:val="24"/>
          <w:szCs w:val="24"/>
        </w:rPr>
        <w:drawing>
          <wp:inline distT="0" distB="0" distL="0" distR="0">
            <wp:extent cx="151130" cy="142875"/>
            <wp:effectExtent l="19050" t="0" r="1270" b="0"/>
            <wp:docPr id="2310" name="Imagen 23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Sudan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2006, in its third periodic report to the Human Rights Committee, Sudan stated: “The Constitution stipulates that prohibition of slavery is absolute and shall not be suspended even in emergencies (article 211 (a) of the Constitution).”</w:t>
      </w:r>
      <w:r>
        <w:rPr>
          <w:rFonts w:ascii="Times New Roman" w:eastAsia="Times New Roman" w:hAnsi="Times New Roman" w:cs="Times New Roman"/>
          <w:noProof/>
          <w:sz w:val="24"/>
          <w:szCs w:val="24"/>
        </w:rPr>
        <w:drawing>
          <wp:inline distT="0" distB="0" distL="0" distR="0">
            <wp:extent cx="151130" cy="142875"/>
            <wp:effectExtent l="19050" t="0" r="1270" b="0"/>
            <wp:docPr id="2311" name="Imagen 23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Syrian Arab Republic</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2004, in its third periodic report to the Human Rights Committee, the Syrian Arab Republic stated: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61. The State of Emergency Act, which was promulgated in Legislative Decree No. 51 of 22 December 1962, as amended by Legislative Decree No. 1 of 9 March 1963, and which is currently in force in the Syrian Arab Republic, is an exceptional constitutional regime, based on the concept of an imminent threat to the country’s integrity, under which the competent authorities are empowered to take all the measures provided by law to protect the territory territorial waters and air space of the State, in whole or in part, from the dangers arising from external armed aggression by transferring some of the powers of the civil authorities to the military authorities. Article 101 of the Constitution states that the President of the Republic can declare and terminate a state of emergency in the manner stated in the law. Article 1 of this Act specifies the reasons justifying its promulgation by stipulating that a state of emergency can be proclaimed in the event of war, a situation entailing the threat of war or a situation in which security or public order in the territory of the Republic, or any part thereof, is jeopardized by internal disturbances or the occurrence of general disasters.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62. Since 1948, the Syrian Arab Republic, which was a founding member of the United Nations, has been subjected, like other neighbouring Arab States, to a real threat of war by Israel and, on many occasions, this threat of war has culminated in actual aggression against the territory, territorial waters and air space of the Syrian Arab Republic, particularly in 1967 when Israel seized part of the territory of the Syrian Arab Republic, which it is still occupying, and expelled a large proportion of its population. The latest incident of Israeli aggressions was in Ein El-Saheb on 5 October 2003.</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63. This state of affairs, consisting in a real threat of war, the continued occupation of part of the territory of the Syrian Arab Republic and the existence of a real threat of seizure and ongoing occupation of further land in violation of United Nations resolutions, gave rise to an exceptional situation that necessitated the rapid and extraordinary mobilization of forces in the Syrian Arab Republic and, consequently, the promulgation of legislation to ensure the Administration’s ability to act rapidly in the face of these imminent threats when application of the ordinary legislation cannot guarantee rapid action in such circumstances. Accordingly, there was a need to promulgate this Act and maintain it in force. It should be borne in mind that all countries of the world have applied exceptional legislation, in one form or another, when they were faced with a state of war or a threat of war in order to protect their national security. This is a fundamental right recognized in the International Covenant on Civil and Political Rights, article 4 of which stipulates that: “In time of public emergency which threatens the life of the nation and the existence of which is officially proclaimed, the States Parties to the present Covenant may take measures derogating from their obligations under the present Covenant to the extent strictly required by the exigencies of the situation”.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lastRenderedPageBreak/>
        <w:t>68. The application of the provisions of the Emergency Act in Syria does not mean in any way a suspension of the provisions of the Constitution and other laws nor a derogation from other international obligations, including obligations in which Syria has entered by virtue of bilateral or multilateral international agreements, such as provisions of the International Covenant on Civil and Political Rights and the obligation to submit reports under article 40 of the Covenant. Furthermore, the grounds for a declaration of a state of emergency do not involve any discrimination on grounds of race, colour, gender, language, religion or social origin. The declaration of the state of emergency has not led to any violations of [</w:t>
      </w:r>
      <w:r w:rsidRPr="00B431DD">
        <w:rPr>
          <w:rFonts w:ascii="Times New Roman" w:eastAsia="Times New Roman" w:hAnsi="Times New Roman" w:cs="Times New Roman"/>
          <w:i/>
          <w:iCs/>
          <w:sz w:val="24"/>
          <w:szCs w:val="24"/>
          <w:lang w:val="en-US"/>
        </w:rPr>
        <w:t>inter alia</w:t>
      </w:r>
      <w:r w:rsidRPr="00B431DD">
        <w:rPr>
          <w:rFonts w:ascii="Times New Roman" w:eastAsia="Times New Roman" w:hAnsi="Times New Roman" w:cs="Times New Roman"/>
          <w:sz w:val="24"/>
          <w:szCs w:val="24"/>
          <w:lang w:val="en-US"/>
        </w:rPr>
        <w:t>, article 8 paragraphs 1 and 2 of the International Covenant on Civil and Political Rights] which remain enforceable under the Constitution and laws, in conformity with the Covenant.</w:t>
      </w:r>
      <w:r>
        <w:rPr>
          <w:rFonts w:ascii="Times New Roman" w:eastAsia="Times New Roman" w:hAnsi="Times New Roman" w:cs="Times New Roman"/>
          <w:noProof/>
          <w:sz w:val="24"/>
          <w:szCs w:val="24"/>
        </w:rPr>
        <w:drawing>
          <wp:inline distT="0" distB="0" distL="0" distR="0">
            <wp:extent cx="151130" cy="142875"/>
            <wp:effectExtent l="19050" t="0" r="1270" b="0"/>
            <wp:docPr id="2312" name="Imagen 23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Uganda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2003, in its initial report to the Human Rights Committee, Uganda stated that there are “certain Rights that cannot be derogated from and these include … freedom from slavery or servitude”.</w:t>
      </w:r>
      <w:r>
        <w:rPr>
          <w:rFonts w:ascii="Times New Roman" w:eastAsia="Times New Roman" w:hAnsi="Times New Roman" w:cs="Times New Roman"/>
          <w:noProof/>
          <w:sz w:val="24"/>
          <w:szCs w:val="24"/>
        </w:rPr>
        <w:drawing>
          <wp:inline distT="0" distB="0" distL="0" distR="0">
            <wp:extent cx="151130" cy="142875"/>
            <wp:effectExtent l="19050" t="0" r="1270" b="0"/>
            <wp:docPr id="2313" name="Imagen 23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Section 241 of the 1995 Penal Code Act of the republic of Uganda goes on to state, “Any person who imports, exports, removes, buys or sells or disposes of any person as a slave or accepts, receives or detains against his will any person as a slave is guilty of a felony and is liable to imprisonment for fifteen years.”</w:t>
      </w:r>
      <w:r>
        <w:rPr>
          <w:rFonts w:ascii="Times New Roman" w:eastAsia="Times New Roman" w:hAnsi="Times New Roman" w:cs="Times New Roman"/>
          <w:noProof/>
          <w:sz w:val="24"/>
          <w:szCs w:val="24"/>
        </w:rPr>
        <w:drawing>
          <wp:inline distT="0" distB="0" distL="0" distR="0">
            <wp:extent cx="151130" cy="142875"/>
            <wp:effectExtent l="19050" t="0" r="1270" b="0"/>
            <wp:docPr id="2314" name="Imagen 23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473. It is important to note that … there are areas where derogation is not acceptable under whatever circumstances. They are under article 44.</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474. Article 44 of the Constitution of the Republic of Uganda (1995) states that: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Notwithstanding anything in this Constitution, there shall not be derogation from the enjoyment of the following rights and freedoms: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Kingdom of Great Britain and Northern Ireland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UK Government Strategy on the Protection of Civilians in Armed Conflict (2010) states: “IHL requires parties to a conflict to respect and protect civilians. … [C]ivilians must not be … subjected to acts of violence such as … slavery”.</w:t>
      </w:r>
      <w:r>
        <w:rPr>
          <w:rFonts w:ascii="Times New Roman" w:eastAsia="Times New Roman" w:hAnsi="Times New Roman" w:cs="Times New Roman"/>
          <w:noProof/>
          <w:sz w:val="24"/>
          <w:szCs w:val="24"/>
        </w:rPr>
        <w:drawing>
          <wp:inline distT="0" distB="0" distL="0" distR="0">
            <wp:extent cx="151130" cy="142875"/>
            <wp:effectExtent l="19050" t="0" r="1270" b="0"/>
            <wp:docPr id="2315" name="Imagen 23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United States of America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concurrent resolution adopted in 2000, the US Congress expressed its sense concerning the war crimes committed by the Japanese military during the Second World War, in particular the enslavement of millions of Koreans.</w:t>
      </w:r>
      <w:r>
        <w:rPr>
          <w:rFonts w:ascii="Times New Roman" w:eastAsia="Times New Roman" w:hAnsi="Times New Roman" w:cs="Times New Roman"/>
          <w:noProof/>
          <w:sz w:val="24"/>
          <w:szCs w:val="24"/>
        </w:rPr>
        <w:drawing>
          <wp:inline distT="0" distB="0" distL="0" distR="0">
            <wp:extent cx="151130" cy="142875"/>
            <wp:effectExtent l="19050" t="0" r="1270" b="0"/>
            <wp:docPr id="2316" name="Imagen 23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According to the Report on US Practice, “Articles 4, 5 and 6 [of the 1977 Additional Protocol II] reflect general US policy on treatment of persons in the power of an adverse party in armed conflicts governed by common Article 3” of the 1949 Geneva Conventions. The report also notes: “It is the </w:t>
      </w:r>
      <w:r w:rsidRPr="00B431DD">
        <w:rPr>
          <w:rFonts w:ascii="Times New Roman" w:eastAsia="Times New Roman" w:hAnsi="Times New Roman" w:cs="Times New Roman"/>
          <w:i/>
          <w:iCs/>
          <w:sz w:val="24"/>
          <w:szCs w:val="24"/>
          <w:lang w:val="en-US"/>
        </w:rPr>
        <w:t>opinio juris</w:t>
      </w:r>
      <w:r w:rsidRPr="00B431DD">
        <w:rPr>
          <w:rFonts w:ascii="Times New Roman" w:eastAsia="Times New Roman" w:hAnsi="Times New Roman" w:cs="Times New Roman"/>
          <w:sz w:val="24"/>
          <w:szCs w:val="24"/>
          <w:lang w:val="en-US"/>
        </w:rPr>
        <w:t xml:space="preserve"> of the US that persons detained in connection with an internal armed conflict are entitled to humane treatment as specified in Articles 4, 5 and 6 [of the 1977 Additional Protocol II].”</w:t>
      </w:r>
      <w:r>
        <w:rPr>
          <w:rFonts w:ascii="Times New Roman" w:eastAsia="Times New Roman" w:hAnsi="Times New Roman" w:cs="Times New Roman"/>
          <w:noProof/>
          <w:sz w:val="24"/>
          <w:szCs w:val="24"/>
        </w:rPr>
        <w:drawing>
          <wp:inline distT="0" distB="0" distL="0" distR="0">
            <wp:extent cx="151130" cy="142875"/>
            <wp:effectExtent l="19050" t="0" r="1270" b="0"/>
            <wp:docPr id="2317" name="Imagen 23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5" w:history="1">
        <w:r w:rsidRPr="00B431DD">
          <w:rPr>
            <w:rFonts w:ascii="Times New Roman" w:eastAsia="Times New Roman" w:hAnsi="Times New Roman" w:cs="Times New Roman"/>
            <w:color w:val="0000FF"/>
            <w:sz w:val="24"/>
            <w:szCs w:val="24"/>
            <w:u w:val="single"/>
            <w:lang w:val="en-US"/>
          </w:rPr>
          <w:t>VII. United Nations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UN Security Council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2004 on children and armed conflict, the UN Security Council strongly condemned certain crimes involving children in armed conflict, including the “trafficking, forced labour and all forms of slavery”.</w:t>
      </w:r>
      <w:r>
        <w:rPr>
          <w:rFonts w:ascii="Times New Roman" w:eastAsia="Times New Roman" w:hAnsi="Times New Roman" w:cs="Times New Roman"/>
          <w:noProof/>
          <w:sz w:val="24"/>
          <w:szCs w:val="24"/>
        </w:rPr>
        <w:drawing>
          <wp:inline distT="0" distB="0" distL="0" distR="0">
            <wp:extent cx="151130" cy="142875"/>
            <wp:effectExtent l="19050" t="0" r="1270" b="0"/>
            <wp:docPr id="2318" name="Imagen 23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General Assembly</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1996 on the situation of human rights in the Sudan, the UN General Assembly: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 </w:t>
      </w:r>
      <w:r w:rsidRPr="00B431DD">
        <w:rPr>
          <w:rFonts w:ascii="Times New Roman" w:eastAsia="Times New Roman" w:hAnsi="Times New Roman" w:cs="Times New Roman"/>
          <w:i/>
          <w:iCs/>
          <w:sz w:val="24"/>
          <w:szCs w:val="24"/>
          <w:lang w:val="en-US"/>
        </w:rPr>
        <w:t>Expresses deep concern</w:t>
      </w:r>
      <w:r w:rsidRPr="00B431DD">
        <w:rPr>
          <w:rFonts w:ascii="Times New Roman" w:eastAsia="Times New Roman" w:hAnsi="Times New Roman" w:cs="Times New Roman"/>
          <w:sz w:val="24"/>
          <w:szCs w:val="24"/>
          <w:lang w:val="en-US"/>
        </w:rPr>
        <w:t xml:space="preserve"> at the serious, widespread and continuing human rights violations in the Sudan, including …slavery [and] practices similar to slavery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 </w:t>
      </w:r>
      <w:r w:rsidRPr="00B431DD">
        <w:rPr>
          <w:rFonts w:ascii="Times New Roman" w:eastAsia="Times New Roman" w:hAnsi="Times New Roman" w:cs="Times New Roman"/>
          <w:i/>
          <w:iCs/>
          <w:sz w:val="24"/>
          <w:szCs w:val="24"/>
          <w:lang w:val="en-US"/>
        </w:rPr>
        <w:t>Calls upon</w:t>
      </w:r>
      <w:r w:rsidRPr="00B431DD">
        <w:rPr>
          <w:rFonts w:ascii="Times New Roman" w:eastAsia="Times New Roman" w:hAnsi="Times New Roman" w:cs="Times New Roman"/>
          <w:sz w:val="24"/>
          <w:szCs w:val="24"/>
          <w:lang w:val="en-US"/>
        </w:rPr>
        <w:t xml:space="preserve"> the Government of the Sudan to comply with applicable international </w:t>
      </w:r>
      <w:r w:rsidRPr="00B431DD">
        <w:rPr>
          <w:rFonts w:ascii="Times New Roman" w:eastAsia="Times New Roman" w:hAnsi="Times New Roman" w:cs="Times New Roman"/>
          <w:sz w:val="24"/>
          <w:szCs w:val="24"/>
          <w:lang w:val="en-US"/>
        </w:rPr>
        <w:lastRenderedPageBreak/>
        <w:t xml:space="preserve">human rights instruments to which the Sudan is a party, in particular the International Covenants on Human Rights, the International Convention on the Elimination of All Forms of Racial Discrimination, the Convention on the Rights of the Child, the Slavery Convention, as amended, and the Supplementary Convention on the Abolition of Slavery, the Slave Trade and Institutions and Practices Similar to Slavery, to implement those instruments to which it is a party and to ensure that all individuals in its territory and subject to its jurisdiction, including members of all religious and ethnic groups, enjoy fully the rights recognized in those instruments;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 Urges the Government of the Sudan to ensure that all cases of slavery, servitude, slave trade, forced labour and similar practices brought to its attention are investigated and all appropriate measures are implemented to put an immediate end to these practices.</w:t>
      </w:r>
      <w:r>
        <w:rPr>
          <w:rFonts w:ascii="Times New Roman" w:eastAsia="Times New Roman" w:hAnsi="Times New Roman" w:cs="Times New Roman"/>
          <w:noProof/>
          <w:sz w:val="24"/>
          <w:szCs w:val="24"/>
        </w:rPr>
        <w:drawing>
          <wp:inline distT="0" distB="0" distL="0" distR="0">
            <wp:extent cx="151130" cy="142875"/>
            <wp:effectExtent l="19050" t="0" r="1270" b="0"/>
            <wp:docPr id="2319" name="Imagen 23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2003 on global efforts for the total elimination of racism, racial discrimination, xenophobia and related intolerance, the UN General Assembly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20" name="Imagen 23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2004 on global efforts for the total elimination of racism, racial discrimination, xenophobia and related intolerance, the UN General Assembly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21" name="Imagen 23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2005 on global efforts for the total elimination of racism, racial discrimination, xenophobia and related intolerance and the comprehensive implementation of and follow-up to the Durban Declaration and Programme of Action, the UN General Assembly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22" name="Imagen 23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a resolution adopted in 2006 on the commemoration of the two-hundredth anniversary of the abolition of the transatlantic slave trade, the UN General Assembly: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Reaffirming</w:t>
      </w:r>
      <w:r w:rsidRPr="00B431DD">
        <w:rPr>
          <w:rFonts w:ascii="Times New Roman" w:eastAsia="Times New Roman" w:hAnsi="Times New Roman" w:cs="Times New Roman"/>
          <w:sz w:val="24"/>
          <w:szCs w:val="24"/>
          <w:lang w:val="en-US"/>
        </w:rPr>
        <w:t xml:space="preserve"> the Universal Declaration of Human Rights which proclaimed that no one shall be held in slavery or servitude and that slavery and the slave trade shall be prohibited in all their forms,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Recalling</w:t>
      </w:r>
      <w:r w:rsidRPr="00B431DD">
        <w:rPr>
          <w:rFonts w:ascii="Times New Roman" w:eastAsia="Times New Roman" w:hAnsi="Times New Roman" w:cs="Times New Roman"/>
          <w:sz w:val="24"/>
          <w:szCs w:val="24"/>
          <w:lang w:val="en-US"/>
        </w:rPr>
        <w:t xml:space="preserve"> that slavery and the slave trade were declared a crime against humanity by the World Conference against Racism, Racial Discrimination, Xenophobia and Related Intolerance, held in Durban, South Africa, from 31 August to 8 September 2001.</w:t>
      </w:r>
      <w:r>
        <w:rPr>
          <w:rFonts w:ascii="Times New Roman" w:eastAsia="Times New Roman" w:hAnsi="Times New Roman" w:cs="Times New Roman"/>
          <w:noProof/>
          <w:sz w:val="24"/>
          <w:szCs w:val="24"/>
        </w:rPr>
        <w:drawing>
          <wp:inline distT="0" distB="0" distL="0" distR="0">
            <wp:extent cx="151130" cy="142875"/>
            <wp:effectExtent l="19050" t="0" r="1270" b="0"/>
            <wp:docPr id="2323" name="Imagen 23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2006 on global efforts for the total elimination of racism, racial discrimination, xenophobia and related intolerance and the comprehensive implementation of and follow-up to the Durban Declaration and Programme of Action, the UN General Assembly acknowledged that “no derogation from the prohibition of … slavery is permitted”.</w:t>
      </w:r>
      <w:r>
        <w:rPr>
          <w:rFonts w:ascii="Times New Roman" w:eastAsia="Times New Roman" w:hAnsi="Times New Roman" w:cs="Times New Roman"/>
          <w:noProof/>
          <w:sz w:val="24"/>
          <w:szCs w:val="24"/>
        </w:rPr>
        <w:drawing>
          <wp:inline distT="0" distB="0" distL="0" distR="0">
            <wp:extent cx="151130" cy="142875"/>
            <wp:effectExtent l="19050" t="0" r="1270" b="0"/>
            <wp:docPr id="2324" name="Imagen 23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2006 on improving the coordination of efforts against trafficking in persons, the UN General Assembly: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Recalling </w:t>
      </w:r>
      <w:r w:rsidRPr="00B431DD">
        <w:rPr>
          <w:rFonts w:ascii="Times New Roman" w:eastAsia="Times New Roman" w:hAnsi="Times New Roman" w:cs="Times New Roman"/>
          <w:sz w:val="24"/>
          <w:szCs w:val="24"/>
          <w:lang w:val="en-US"/>
        </w:rPr>
        <w:t>its resolutions 55/25 of 15 November 2000, 58/137 of 22 December 2003, 59/166 of 20 December 2004 and other relevant General Assembly resolutions on trafficking in persons and other contemporary forms of slavery,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Recalling further </w:t>
      </w:r>
      <w:r w:rsidRPr="00B431DD">
        <w:rPr>
          <w:rFonts w:ascii="Times New Roman" w:eastAsia="Times New Roman" w:hAnsi="Times New Roman" w:cs="Times New Roman"/>
          <w:sz w:val="24"/>
          <w:szCs w:val="24"/>
          <w:lang w:val="en-US"/>
        </w:rPr>
        <w:t xml:space="preserve">the United Nations Convention against Transnational Organized Crime and, in particular, the Protocol to Prevent, Suppress and Punish Trafficking in </w:t>
      </w:r>
      <w:r w:rsidRPr="00B431DD">
        <w:rPr>
          <w:rFonts w:ascii="Times New Roman" w:eastAsia="Times New Roman" w:hAnsi="Times New Roman" w:cs="Times New Roman"/>
          <w:sz w:val="24"/>
          <w:szCs w:val="24"/>
          <w:lang w:val="en-US"/>
        </w:rPr>
        <w:lastRenderedPageBreak/>
        <w:t>Persons, Especially Women and Children, supplementing the United Nations Convention against Transnational Organized Crime, the Optional Protocol to the Convention on the Rights of the Child on the sale of children, child prostitution and child pornography and the Supplementary Convention on the Abolition of Slavery, the Slave Trade, and Institutions and Practices Similar to Slavery,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Recognizing </w:t>
      </w:r>
      <w:r w:rsidRPr="00B431DD">
        <w:rPr>
          <w:rFonts w:ascii="Times New Roman" w:eastAsia="Times New Roman" w:hAnsi="Times New Roman" w:cs="Times New Roman"/>
          <w:sz w:val="24"/>
          <w:szCs w:val="24"/>
          <w:lang w:val="en-US"/>
        </w:rPr>
        <w:t>that contemporary forms of slavery violate human rights and that trafficking in persons impairs the enjoyment of human rights, continues to pose a serious challenge to humanity and requires a concerted international response,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Welcoming </w:t>
      </w:r>
      <w:r w:rsidRPr="00B431DD">
        <w:rPr>
          <w:rFonts w:ascii="Times New Roman" w:eastAsia="Times New Roman" w:hAnsi="Times New Roman" w:cs="Times New Roman"/>
          <w:sz w:val="24"/>
          <w:szCs w:val="24"/>
          <w:lang w:val="en-US"/>
        </w:rPr>
        <w:t>international cooperation in order to promote and protect the human rights of persons exploited through trafficking and other contemporary forms of slavery and to advocate for their liberation and for economic, educational and other means of support to victims of trafficking and other contemporary forms of slavery,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Welcoming also </w:t>
      </w:r>
      <w:r w:rsidRPr="00B431DD">
        <w:rPr>
          <w:rFonts w:ascii="Times New Roman" w:eastAsia="Times New Roman" w:hAnsi="Times New Roman" w:cs="Times New Roman"/>
          <w:sz w:val="24"/>
          <w:szCs w:val="24"/>
          <w:lang w:val="en-US"/>
        </w:rPr>
        <w:t>the efforts of Member States and intergovernmental and nongovernmental organizations in preventing and combating trafficking in persons and other contemporary forms of slavery and enhancing the protection of and assistance to victims of trafficking in persons and other contemporary forms of slavery,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Underlining </w:t>
      </w:r>
      <w:r w:rsidRPr="00B431DD">
        <w:rPr>
          <w:rFonts w:ascii="Times New Roman" w:eastAsia="Times New Roman" w:hAnsi="Times New Roman" w:cs="Times New Roman"/>
          <w:sz w:val="24"/>
          <w:szCs w:val="24"/>
          <w:lang w:val="en-US"/>
        </w:rPr>
        <w:t>the need to continue to work towards a comprehensive, coordinated and holistic approach to the problem of trafficking in persons and other contemporary forms of slavery, including devising, enforcing and strengthening effective measures to prosecute traffickers, prevent trafficking in persons and other contemporary forms of slavery and protect their victims,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 </w:t>
      </w:r>
      <w:r w:rsidRPr="00B431DD">
        <w:rPr>
          <w:rFonts w:ascii="Times New Roman" w:eastAsia="Times New Roman" w:hAnsi="Times New Roman" w:cs="Times New Roman"/>
          <w:i/>
          <w:iCs/>
          <w:sz w:val="24"/>
          <w:szCs w:val="24"/>
          <w:lang w:val="en-US"/>
        </w:rPr>
        <w:t xml:space="preserve">Recognizes </w:t>
      </w:r>
      <w:r w:rsidRPr="00B431DD">
        <w:rPr>
          <w:rFonts w:ascii="Times New Roman" w:eastAsia="Times New Roman" w:hAnsi="Times New Roman" w:cs="Times New Roman"/>
          <w:sz w:val="24"/>
          <w:szCs w:val="24"/>
          <w:lang w:val="en-US"/>
        </w:rPr>
        <w:t>that broad international cooperation between Member States and relevant intergovernmental and non-governmental organizations is essential for effectively countering the threat of trafficking in persons and other contemporary forms of slavery, and invites them to foster a global partnership against trafficking in persons and other contemporary forms of slavery, with a view to eliminating all contemporary forms of slavery and trafficking in persons and protecting and assisting their victims;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4. </w:t>
      </w:r>
      <w:r w:rsidRPr="00B431DD">
        <w:rPr>
          <w:rFonts w:ascii="Times New Roman" w:eastAsia="Times New Roman" w:hAnsi="Times New Roman" w:cs="Times New Roman"/>
          <w:i/>
          <w:iCs/>
          <w:sz w:val="24"/>
          <w:szCs w:val="24"/>
          <w:lang w:val="en-US"/>
        </w:rPr>
        <w:t xml:space="preserve">Also urges </w:t>
      </w:r>
      <w:r w:rsidRPr="00B431DD">
        <w:rPr>
          <w:rFonts w:ascii="Times New Roman" w:eastAsia="Times New Roman" w:hAnsi="Times New Roman" w:cs="Times New Roman"/>
          <w:sz w:val="24"/>
          <w:szCs w:val="24"/>
          <w:lang w:val="en-US"/>
        </w:rPr>
        <w:t>Member States that have not yet done so to consider taking measures to ratify or accede to the Optional Protocol to the Convention on the Rights of the Child on the sale of children, child prostitution and child pornography, the Convention on the Elimination of All Forms of Discrimination against Women, and the Supplementary Convention on the Abolition of Slavery, the Slave Trade, and Institutions and Practices Similar to Slavery, and to implement fully all aspects of these instruments;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9. </w:t>
      </w:r>
      <w:r w:rsidRPr="00B431DD">
        <w:rPr>
          <w:rFonts w:ascii="Times New Roman" w:eastAsia="Times New Roman" w:hAnsi="Times New Roman" w:cs="Times New Roman"/>
          <w:i/>
          <w:iCs/>
          <w:sz w:val="24"/>
          <w:szCs w:val="24"/>
          <w:lang w:val="en-US"/>
        </w:rPr>
        <w:t xml:space="preserve">Further invites </w:t>
      </w:r>
      <w:r w:rsidRPr="00B431DD">
        <w:rPr>
          <w:rFonts w:ascii="Times New Roman" w:eastAsia="Times New Roman" w:hAnsi="Times New Roman" w:cs="Times New Roman"/>
          <w:sz w:val="24"/>
          <w:szCs w:val="24"/>
          <w:lang w:val="en-US"/>
        </w:rPr>
        <w:t>Member States to take all appropriate measures to promote the physical, cognitive and psychological recovery, rehabilitation and social integration of human beings who have become victims of exploitation, violence and abuse as a result of trafficking in persons and other contemporary forms of slavery.</w:t>
      </w:r>
      <w:r>
        <w:rPr>
          <w:rFonts w:ascii="Times New Roman" w:eastAsia="Times New Roman" w:hAnsi="Times New Roman" w:cs="Times New Roman"/>
          <w:noProof/>
          <w:sz w:val="24"/>
          <w:szCs w:val="24"/>
        </w:rPr>
        <w:drawing>
          <wp:inline distT="0" distB="0" distL="0" distR="0">
            <wp:extent cx="151130" cy="142875"/>
            <wp:effectExtent l="19050" t="0" r="1270" b="0"/>
            <wp:docPr id="2325" name="Imagen 23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2007 on global efforts for the total elimination of racism, racial discrimination, xenophobia and related intolerance and the comprehensive implementation of and follow-up to the Durban Declaration and Programme of Action, the UN General Assembly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26" name="Imagen 23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Economic and Social Council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In a resolution adopted in 2003 on the strengthening of international cooperation in preventing and combating trafficking in persons and protecting victims of such trafficking, ECOSOC:</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Condemning </w:t>
      </w:r>
      <w:r w:rsidRPr="00B431DD">
        <w:rPr>
          <w:rFonts w:ascii="Times New Roman" w:eastAsia="Times New Roman" w:hAnsi="Times New Roman" w:cs="Times New Roman"/>
          <w:sz w:val="24"/>
          <w:szCs w:val="24"/>
          <w:lang w:val="en-US"/>
        </w:rPr>
        <w:t>trafficking in persons as an abhorrent form of modern-day slavery and as an act that is contrary to universal human rights,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 </w:t>
      </w:r>
      <w:r w:rsidRPr="00B431DD">
        <w:rPr>
          <w:rFonts w:ascii="Times New Roman" w:eastAsia="Times New Roman" w:hAnsi="Times New Roman" w:cs="Times New Roman"/>
          <w:i/>
          <w:iCs/>
          <w:sz w:val="24"/>
          <w:szCs w:val="24"/>
          <w:lang w:val="en-US"/>
        </w:rPr>
        <w:t xml:space="preserve">Urges </w:t>
      </w:r>
      <w:r w:rsidRPr="00B431DD">
        <w:rPr>
          <w:rFonts w:ascii="Times New Roman" w:eastAsia="Times New Roman" w:hAnsi="Times New Roman" w:cs="Times New Roman"/>
          <w:sz w:val="24"/>
          <w:szCs w:val="24"/>
          <w:lang w:val="en-US"/>
        </w:rPr>
        <w:t>Member States to employ a comprehensive approach to combating trafficking in persons, incorporating law enforcement efforts and, where appropriate, the confiscation and seizure of the proceeds of trafficking, protection of victims and preventive measures, including measures against activities that draw profit from the exploitation of victims of trafficking;</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 </w:t>
      </w:r>
      <w:r w:rsidRPr="00B431DD">
        <w:rPr>
          <w:rFonts w:ascii="Times New Roman" w:eastAsia="Times New Roman" w:hAnsi="Times New Roman" w:cs="Times New Roman"/>
          <w:i/>
          <w:iCs/>
          <w:sz w:val="24"/>
          <w:szCs w:val="24"/>
          <w:lang w:val="en-US"/>
        </w:rPr>
        <w:t xml:space="preserve">Calls upon </w:t>
      </w:r>
      <w:r w:rsidRPr="00B431DD">
        <w:rPr>
          <w:rFonts w:ascii="Times New Roman" w:eastAsia="Times New Roman" w:hAnsi="Times New Roman" w:cs="Times New Roman"/>
          <w:sz w:val="24"/>
          <w:szCs w:val="24"/>
          <w:lang w:val="en-US"/>
        </w:rPr>
        <w:t>Member States to collaborate with a view to preventing trafficking in persons, especially for the purpose of sexual exploitation, through:</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Improved technical cooperation to strengthen local and national institutions aimed at preventing trafficking in persons, especially women and children, in countries of origin;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 Information campaigns on the techniques and methods of traffickers, programmes of education aimed at prospective targets, as well as vocational training in social skills and assistance in the re-integration of victims of trafficking into society;</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 Focusing on post-conflict regions where patterns of human trafficking are emerging as a new phenomenon and incorporating anti-trafficking measures into early intervention;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3. </w:t>
      </w:r>
      <w:r w:rsidRPr="00B431DD">
        <w:rPr>
          <w:rFonts w:ascii="Times New Roman" w:eastAsia="Times New Roman" w:hAnsi="Times New Roman" w:cs="Times New Roman"/>
          <w:i/>
          <w:iCs/>
          <w:sz w:val="24"/>
          <w:szCs w:val="24"/>
          <w:lang w:val="en-US"/>
        </w:rPr>
        <w:t xml:space="preserve">Recognizes </w:t>
      </w:r>
      <w:r w:rsidRPr="00B431DD">
        <w:rPr>
          <w:rFonts w:ascii="Times New Roman" w:eastAsia="Times New Roman" w:hAnsi="Times New Roman" w:cs="Times New Roman"/>
          <w:sz w:val="24"/>
          <w:szCs w:val="24"/>
          <w:lang w:val="en-US"/>
        </w:rPr>
        <w:t>that broad international cooperation between Member States and relevant intergovernmental and nongovernmental organizations is essential to effectively counter the threat of trafficking in persons;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4. </w:t>
      </w:r>
      <w:r w:rsidRPr="00B431DD">
        <w:rPr>
          <w:rFonts w:ascii="Times New Roman" w:eastAsia="Times New Roman" w:hAnsi="Times New Roman" w:cs="Times New Roman"/>
          <w:i/>
          <w:iCs/>
          <w:sz w:val="24"/>
          <w:szCs w:val="24"/>
          <w:lang w:val="en-US"/>
        </w:rPr>
        <w:t xml:space="preserve">Urges </w:t>
      </w:r>
      <w:r w:rsidRPr="00B431DD">
        <w:rPr>
          <w:rFonts w:ascii="Times New Roman" w:eastAsia="Times New Roman" w:hAnsi="Times New Roman" w:cs="Times New Roman"/>
          <w:sz w:val="24"/>
          <w:szCs w:val="24"/>
          <w:lang w:val="en-US"/>
        </w:rPr>
        <w:t>Member States to take measures to ratify or accede to the United Nations Convention against Transnational Organized Crime, the Protocol to Prevent, Suppress and Punish Trafficking in Persons, Especially Women and Children, supplementing the United Nations Convention against Transnational Organized Crime, and the Optional Protocol to the Convention on the Rights of the Child on the sale of children, child prostitution and child pornography, and to implement those instruments by, inter alia: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(a) Criminalizing trafficking in persons;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 Promoting cooperation among law enforcement authorities in combating trafficking in persons;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 Establishing the offence of trafficking in persons as a predicate offence for money-laundering offences.</w:t>
      </w:r>
      <w:r>
        <w:rPr>
          <w:rFonts w:ascii="Times New Roman" w:eastAsia="Times New Roman" w:hAnsi="Times New Roman" w:cs="Times New Roman"/>
          <w:noProof/>
          <w:sz w:val="24"/>
          <w:szCs w:val="24"/>
        </w:rPr>
        <w:drawing>
          <wp:inline distT="0" distB="0" distL="0" distR="0">
            <wp:extent cx="151130" cy="142875"/>
            <wp:effectExtent l="19050" t="0" r="1270" b="0"/>
            <wp:docPr id="2327" name="Imagen 23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2006 on the strengthening of international cooperation in preventing and combating trafficking in persons and protecting victims of such trafficking, ECOSOC:</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 xml:space="preserve">Condemning </w:t>
      </w:r>
      <w:r w:rsidRPr="00B431DD">
        <w:rPr>
          <w:rFonts w:ascii="Times New Roman" w:eastAsia="Times New Roman" w:hAnsi="Times New Roman" w:cs="Times New Roman"/>
          <w:sz w:val="24"/>
          <w:szCs w:val="24"/>
          <w:lang w:val="en-US"/>
        </w:rPr>
        <w:t>trafficking in persons as an abhorrent form of modern-day slavery and as an act that is contrary to universal human rights,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 </w:t>
      </w:r>
      <w:r w:rsidRPr="00B431DD">
        <w:rPr>
          <w:rFonts w:ascii="Times New Roman" w:eastAsia="Times New Roman" w:hAnsi="Times New Roman" w:cs="Times New Roman"/>
          <w:i/>
          <w:iCs/>
          <w:sz w:val="24"/>
          <w:szCs w:val="24"/>
          <w:lang w:val="en-US"/>
        </w:rPr>
        <w:t xml:space="preserve">Urges </w:t>
      </w:r>
      <w:r w:rsidRPr="00B431DD">
        <w:rPr>
          <w:rFonts w:ascii="Times New Roman" w:eastAsia="Times New Roman" w:hAnsi="Times New Roman" w:cs="Times New Roman"/>
          <w:sz w:val="24"/>
          <w:szCs w:val="24"/>
          <w:lang w:val="en-US"/>
        </w:rPr>
        <w:t>Member States that have not done so to consider taking measures to ratify or accede to the United Nations Convention against Transnational Organized Crime, the Protocol to Prevent, Suppress and Punish Trafficking in Persons, Especially Women and Children, supplementing that Convention, and the Optional Protocol to the Convention on the Rights of the Child on the sale of children, child prostitution and child pornography;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 </w:t>
      </w:r>
      <w:r w:rsidRPr="00B431DD">
        <w:rPr>
          <w:rFonts w:ascii="Times New Roman" w:eastAsia="Times New Roman" w:hAnsi="Times New Roman" w:cs="Times New Roman"/>
          <w:i/>
          <w:iCs/>
          <w:sz w:val="24"/>
          <w:szCs w:val="24"/>
          <w:lang w:val="en-US"/>
        </w:rPr>
        <w:t xml:space="preserve">Urges </w:t>
      </w:r>
      <w:r w:rsidRPr="00B431DD">
        <w:rPr>
          <w:rFonts w:ascii="Times New Roman" w:eastAsia="Times New Roman" w:hAnsi="Times New Roman" w:cs="Times New Roman"/>
          <w:sz w:val="24"/>
          <w:szCs w:val="24"/>
          <w:lang w:val="en-US"/>
        </w:rPr>
        <w:t>all Member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(a) To criminalize trafficking in persons;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(b) To promote cooperation among law enforcement authorities in combating trafficking </w:t>
      </w:r>
      <w:r w:rsidRPr="00B431DD">
        <w:rPr>
          <w:rFonts w:ascii="Times New Roman" w:eastAsia="Times New Roman" w:hAnsi="Times New Roman" w:cs="Times New Roman"/>
          <w:sz w:val="24"/>
          <w:szCs w:val="24"/>
          <w:lang w:val="en-US"/>
        </w:rPr>
        <w:lastRenderedPageBreak/>
        <w:t>in persons;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(c) To ensure the security and control of travel or identity documents;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(d) To establish the offence of trafficking in persons as a predicate offence for money-laundering offences;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6. </w:t>
      </w:r>
      <w:r w:rsidRPr="00B431DD">
        <w:rPr>
          <w:rFonts w:ascii="Times New Roman" w:eastAsia="Times New Roman" w:hAnsi="Times New Roman" w:cs="Times New Roman"/>
          <w:i/>
          <w:iCs/>
          <w:sz w:val="24"/>
          <w:szCs w:val="24"/>
          <w:lang w:val="en-US"/>
        </w:rPr>
        <w:t xml:space="preserve">Calls upon </w:t>
      </w:r>
      <w:r w:rsidRPr="00B431DD">
        <w:rPr>
          <w:rFonts w:ascii="Times New Roman" w:eastAsia="Times New Roman" w:hAnsi="Times New Roman" w:cs="Times New Roman"/>
          <w:sz w:val="24"/>
          <w:szCs w:val="24"/>
          <w:lang w:val="en-US"/>
        </w:rPr>
        <w:t>Member States to collaborate with a view to preventing trafficking in persons, including for the purpose of sexual exploitation.</w:t>
      </w:r>
      <w:r>
        <w:rPr>
          <w:rFonts w:ascii="Times New Roman" w:eastAsia="Times New Roman" w:hAnsi="Times New Roman" w:cs="Times New Roman"/>
          <w:noProof/>
          <w:sz w:val="24"/>
          <w:szCs w:val="24"/>
        </w:rPr>
        <w:drawing>
          <wp:inline distT="0" distB="0" distL="0" distR="0">
            <wp:extent cx="151130" cy="142875"/>
            <wp:effectExtent l="19050" t="0" r="1270" b="0"/>
            <wp:docPr id="2328" name="Imagen 23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Commission on Human Rights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a resolution adopted in 1996, the UN Commission on Human Rights urged the Government of the Sudan, following the Sudan’s letter to the Centre for Human Rights of 22 March 1996,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to carry out its investigations without delay into cases of slavery, servitude, the slave trade, forced labour and similar institutions and practices, as reported by the Special Rapporteur and others, and to take all appropriate measures to put an immediate end to these practices.</w:t>
      </w:r>
      <w:r>
        <w:rPr>
          <w:rFonts w:ascii="Times New Roman" w:eastAsia="Times New Roman" w:hAnsi="Times New Roman" w:cs="Times New Roman"/>
          <w:noProof/>
          <w:sz w:val="24"/>
          <w:szCs w:val="24"/>
        </w:rPr>
        <w:drawing>
          <wp:inline distT="0" distB="0" distL="0" distR="0">
            <wp:extent cx="151130" cy="142875"/>
            <wp:effectExtent l="19050" t="0" r="1270" b="0"/>
            <wp:docPr id="2329" name="Imagen 23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In a resolution adopted in 1998 on the situation of human rights in Myanmar, the UN Commission on Human Rights expressed its deep concern at the widespread use of forced labour “including for work on infrastructure projects and as porters for the army”. It specifically condemned this practice in relation to women and children.</w:t>
      </w:r>
      <w:r>
        <w:rPr>
          <w:rFonts w:ascii="Times New Roman" w:eastAsia="Times New Roman" w:hAnsi="Times New Roman" w:cs="Times New Roman"/>
          <w:noProof/>
          <w:sz w:val="24"/>
          <w:szCs w:val="24"/>
        </w:rPr>
        <w:drawing>
          <wp:inline distT="0" distB="0" distL="0" distR="0">
            <wp:extent cx="151130" cy="142875"/>
            <wp:effectExtent l="19050" t="0" r="1270" b="0"/>
            <wp:docPr id="2330" name="Imagen 23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2003 on the situation of human rights in Myanmar, the UN Commission on Human Rights expressed its grave concern at “trafficking in persons”.</w:t>
      </w:r>
      <w:r>
        <w:rPr>
          <w:rFonts w:ascii="Times New Roman" w:eastAsia="Times New Roman" w:hAnsi="Times New Roman" w:cs="Times New Roman"/>
          <w:noProof/>
          <w:sz w:val="24"/>
          <w:szCs w:val="24"/>
        </w:rPr>
        <w:drawing>
          <wp:inline distT="0" distB="0" distL="0" distR="0">
            <wp:extent cx="151130" cy="142875"/>
            <wp:effectExtent l="19050" t="0" r="1270" b="0"/>
            <wp:docPr id="2331" name="Imagen 23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2003 on the World Conference against Racism, Racial Discrimination, Xenophobia and Related Intolerance and the comprehensive implementation of and follow-up to the Durban Declaration and Programme of Action, the UN Commission on Human Rights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32" name="Imagen 23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a resolution adopted in 2003 on the elimination of violence against women, the UN Commission on Human Rights: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Recalling</w:t>
      </w:r>
      <w:r w:rsidRPr="00B431DD">
        <w:rPr>
          <w:rFonts w:ascii="Times New Roman" w:eastAsia="Times New Roman" w:hAnsi="Times New Roman" w:cs="Times New Roman"/>
          <w:sz w:val="24"/>
          <w:szCs w:val="24"/>
          <w:lang w:val="en-US"/>
        </w:rPr>
        <w:t xml:space="preserve"> the inclusion of gender-related crimes and crimes of sexual violence in the Rome Statute of the International Criminal Court (A/CONF.183/9), which affirms that rape, sexual slavery … and other forms of sexual violence constitute, in defined circumstances, a crime against humanity and/or a war crime, and reiterating that acts of sexual violence in situations of armed conflict can constitute serious violations or grave breaches of international humanitarian law,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15. </w:t>
      </w:r>
      <w:r w:rsidRPr="00B431DD">
        <w:rPr>
          <w:rFonts w:ascii="Times New Roman" w:eastAsia="Times New Roman" w:hAnsi="Times New Roman" w:cs="Times New Roman"/>
          <w:i/>
          <w:iCs/>
          <w:sz w:val="24"/>
          <w:szCs w:val="24"/>
          <w:lang w:val="en-US"/>
        </w:rPr>
        <w:t>Strongly condemns</w:t>
      </w:r>
      <w:r w:rsidRPr="00B431DD">
        <w:rPr>
          <w:rFonts w:ascii="Times New Roman" w:eastAsia="Times New Roman" w:hAnsi="Times New Roman" w:cs="Times New Roman"/>
          <w:sz w:val="24"/>
          <w:szCs w:val="24"/>
          <w:lang w:val="en-US"/>
        </w:rPr>
        <w:t xml:space="preserve"> violence against women committed in situations of armed conflict, such as murder, rape, including … sexual slavery … and calls for effective responses to these violations of international human rights and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2333" name="Imagen 23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a resolution adopted in 2004 on the elimination of violence against women, the UN Commission on Human Rights: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Recalling</w:t>
      </w:r>
      <w:r w:rsidRPr="00B431DD">
        <w:rPr>
          <w:rFonts w:ascii="Times New Roman" w:eastAsia="Times New Roman" w:hAnsi="Times New Roman" w:cs="Times New Roman"/>
          <w:sz w:val="24"/>
          <w:szCs w:val="24"/>
          <w:lang w:val="en-US"/>
        </w:rPr>
        <w:t xml:space="preserve"> the inclusion of gender</w:t>
      </w:r>
      <w:r w:rsidRPr="00B431DD">
        <w:rPr>
          <w:rFonts w:ascii="Times New Roman" w:eastAsia="Times New Roman" w:hAnsi="Times New Roman" w:cs="Times New Roman"/>
          <w:sz w:val="24"/>
          <w:szCs w:val="24"/>
          <w:lang w:val="en-US"/>
        </w:rPr>
        <w:noBreakHyphen/>
        <w:t>related crimes and crimes of sexual violence in the Rome Statute of the International Criminal Court (A/CONF.183/9), which affirms that rape, sexual slavery … and other forms of sexual violence constitute, in defined circumstances, a crime against humanity and/or a war crime, and reiterating that acts of sexual violence in situations of armed conflict can constitute serious violations or grave breaches of international humanitarian law,</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lastRenderedPageBreak/>
        <w:t xml:space="preserve">16. </w:t>
      </w:r>
      <w:r w:rsidRPr="00B431DD">
        <w:rPr>
          <w:rFonts w:ascii="Times New Roman" w:eastAsia="Times New Roman" w:hAnsi="Times New Roman" w:cs="Times New Roman"/>
          <w:i/>
          <w:iCs/>
          <w:sz w:val="24"/>
          <w:szCs w:val="24"/>
          <w:lang w:val="en-US"/>
        </w:rPr>
        <w:t>Strongly condemns</w:t>
      </w:r>
      <w:r w:rsidRPr="00B431DD">
        <w:rPr>
          <w:rFonts w:ascii="Times New Roman" w:eastAsia="Times New Roman" w:hAnsi="Times New Roman" w:cs="Times New Roman"/>
          <w:sz w:val="24"/>
          <w:szCs w:val="24"/>
          <w:lang w:val="en-US"/>
        </w:rPr>
        <w:t xml:space="preserve"> violence against women committed in situations of armed conflict, such as murder, rape, including … sexual slavery … and calls for effective responses to these violations of human rights and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2334" name="Imagen 23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2004 on the situation of human rights in Myanmar, the UN Commission on Human Rights expressed its grave concern at “trafficking in persons”.</w:t>
      </w:r>
      <w:r>
        <w:rPr>
          <w:rFonts w:ascii="Times New Roman" w:eastAsia="Times New Roman" w:hAnsi="Times New Roman" w:cs="Times New Roman"/>
          <w:noProof/>
          <w:sz w:val="24"/>
          <w:szCs w:val="24"/>
        </w:rPr>
        <w:drawing>
          <wp:inline distT="0" distB="0" distL="0" distR="0">
            <wp:extent cx="151130" cy="142875"/>
            <wp:effectExtent l="19050" t="0" r="1270" b="0"/>
            <wp:docPr id="2335" name="Imagen 23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2004 on the World Conference against Racism, Racial Discrimination, Xenophobia and Related Intolerance and the comprehensive implementation of and follow-up to the Durban Declaration and Programme of Action, the UN Commission on Human Rights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36" name="Imagen 23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2005 on the situation of human rights in Myanmar, the UN Commission on Human Rights: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1. Welcomes: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e</w:t>
      </w:r>
      <w:r w:rsidRPr="00B431DD">
        <w:rPr>
          <w:rFonts w:ascii="Times New Roman" w:eastAsia="Times New Roman" w:hAnsi="Times New Roman" w:cs="Times New Roman"/>
          <w:sz w:val="24"/>
          <w:szCs w:val="24"/>
          <w:lang w:val="en-US"/>
        </w:rPr>
        <w:t>) The ratification by Myanmar of the United Nations Convention against Transnational Organized Crime and two of its Protocols, the Protocol to Prevent, Suppress and Punish Trafficking in Persons, Especially Women and Children, and the Protocol against the Smuggling of Migrants by Land, Sea and Air, supplementing the Convention on 30 March 2004;</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 Expresses its grave concern at: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f</w:t>
      </w:r>
      <w:r w:rsidRPr="00B431DD">
        <w:rPr>
          <w:rFonts w:ascii="Times New Roman" w:eastAsia="Times New Roman" w:hAnsi="Times New Roman" w:cs="Times New Roman"/>
          <w:sz w:val="24"/>
          <w:szCs w:val="24"/>
          <w:lang w:val="en-US"/>
        </w:rPr>
        <w:t>) … trafficking in persons.</w:t>
      </w:r>
      <w:r>
        <w:rPr>
          <w:rFonts w:ascii="Times New Roman" w:eastAsia="Times New Roman" w:hAnsi="Times New Roman" w:cs="Times New Roman"/>
          <w:noProof/>
          <w:sz w:val="24"/>
          <w:szCs w:val="24"/>
        </w:rPr>
        <w:drawing>
          <wp:inline distT="0" distB="0" distL="0" distR="0">
            <wp:extent cx="151130" cy="142875"/>
            <wp:effectExtent l="19050" t="0" r="1270" b="0"/>
            <wp:docPr id="2337" name="Imagen 23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2005 on the elimination of violence against women, the UN Commission on Human Rights: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Recalling</w:t>
      </w:r>
      <w:r w:rsidRPr="00B431DD">
        <w:rPr>
          <w:rFonts w:ascii="Times New Roman" w:eastAsia="Times New Roman" w:hAnsi="Times New Roman" w:cs="Times New Roman"/>
          <w:sz w:val="24"/>
          <w:szCs w:val="24"/>
          <w:lang w:val="en-US"/>
        </w:rPr>
        <w:t xml:space="preserve"> the inclusion of gender</w:t>
      </w:r>
      <w:r w:rsidRPr="00B431DD">
        <w:rPr>
          <w:rFonts w:ascii="Times New Roman" w:eastAsia="Times New Roman" w:hAnsi="Times New Roman" w:cs="Times New Roman"/>
          <w:sz w:val="24"/>
          <w:szCs w:val="24"/>
          <w:lang w:val="en-US"/>
        </w:rPr>
        <w:noBreakHyphen/>
        <w:t>related crimes and crimes of sexual violence in the Rome Statute of the International Criminal Court, which affirms that rape, sexual slavery, enforced prostitution, forced pregnancy, enforced sterilization and other forms of sexual violence of comparable gravity constitute, in defined circumstances, a crime against humanity and/or a war crime, and reiterating that acts of sexual violence in situations of armed conflict can constitute serious violations or grave breaches of international humanitarian law,</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 </w:t>
      </w:r>
      <w:r w:rsidRPr="00B431DD">
        <w:rPr>
          <w:rFonts w:ascii="Times New Roman" w:eastAsia="Times New Roman" w:hAnsi="Times New Roman" w:cs="Times New Roman"/>
          <w:i/>
          <w:iCs/>
          <w:sz w:val="24"/>
          <w:szCs w:val="24"/>
          <w:lang w:val="en-US"/>
        </w:rPr>
        <w:t>Reaffirms</w:t>
      </w:r>
      <w:r w:rsidRPr="00B431DD">
        <w:rPr>
          <w:rFonts w:ascii="Times New Roman" w:eastAsia="Times New Roman" w:hAnsi="Times New Roman" w:cs="Times New Roman"/>
          <w:sz w:val="24"/>
          <w:szCs w:val="24"/>
          <w:lang w:val="en-US"/>
        </w:rPr>
        <w:t xml:space="preserve"> that the term “violence against women” means any act of gender</w:t>
      </w:r>
      <w:r w:rsidRPr="00B431DD">
        <w:rPr>
          <w:rFonts w:ascii="Times New Roman" w:eastAsia="Times New Roman" w:hAnsi="Times New Roman" w:cs="Times New Roman"/>
          <w:sz w:val="24"/>
          <w:szCs w:val="24"/>
          <w:lang w:val="en-US"/>
        </w:rPr>
        <w:noBreakHyphen/>
        <w:t>based violence that results in, or is likely to result in, physical, sexual or psychological harm or suffering to women, including threats of such acts, coercion or arbitrary deprivation of liberty, whether occurring in public or in private life, and encompasses but is not limited to … trafficking in women and girls … violence related to commercial sexual exploitation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18. </w:t>
      </w:r>
      <w:r w:rsidRPr="00B431DD">
        <w:rPr>
          <w:rFonts w:ascii="Times New Roman" w:eastAsia="Times New Roman" w:hAnsi="Times New Roman" w:cs="Times New Roman"/>
          <w:i/>
          <w:iCs/>
          <w:sz w:val="24"/>
          <w:szCs w:val="24"/>
          <w:lang w:val="en-US"/>
        </w:rPr>
        <w:t>Strongly condemns</w:t>
      </w:r>
      <w:r w:rsidRPr="00B431DD">
        <w:rPr>
          <w:rFonts w:ascii="Times New Roman" w:eastAsia="Times New Roman" w:hAnsi="Times New Roman" w:cs="Times New Roman"/>
          <w:sz w:val="24"/>
          <w:szCs w:val="24"/>
          <w:lang w:val="en-US"/>
        </w:rPr>
        <w:t xml:space="preserve"> violence against women and girls committed in situations of armed conflict, such as murder, rape, including widespread and systematic rape, sexual slavery and forced pregnancy, and calls for effective responses to these violations of human rights and international humanitarian law;</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20. </w:t>
      </w:r>
      <w:r w:rsidRPr="00B431DD">
        <w:rPr>
          <w:rFonts w:ascii="Times New Roman" w:eastAsia="Times New Roman" w:hAnsi="Times New Roman" w:cs="Times New Roman"/>
          <w:i/>
          <w:iCs/>
          <w:sz w:val="24"/>
          <w:szCs w:val="24"/>
          <w:lang w:val="en-US"/>
        </w:rPr>
        <w:t>Acknowledges</w:t>
      </w:r>
      <w:r w:rsidRPr="00B431DD">
        <w:rPr>
          <w:rFonts w:ascii="Times New Roman" w:eastAsia="Times New Roman" w:hAnsi="Times New Roman" w:cs="Times New Roman"/>
          <w:sz w:val="24"/>
          <w:szCs w:val="24"/>
          <w:lang w:val="en-US"/>
        </w:rPr>
        <w:t xml:space="preserve"> the inclusion of gender</w:t>
      </w:r>
      <w:r w:rsidRPr="00B431DD">
        <w:rPr>
          <w:rFonts w:ascii="Times New Roman" w:eastAsia="Times New Roman" w:hAnsi="Times New Roman" w:cs="Times New Roman"/>
          <w:sz w:val="24"/>
          <w:szCs w:val="24"/>
          <w:lang w:val="en-US"/>
        </w:rPr>
        <w:noBreakHyphen/>
        <w:t xml:space="preserve">related crimes in the Rome Statute of the International Criminal Court and in the Elements of Crimes, adopted by the </w:t>
      </w:r>
      <w:r w:rsidRPr="00B431DD">
        <w:rPr>
          <w:rFonts w:ascii="Times New Roman" w:eastAsia="Times New Roman" w:hAnsi="Times New Roman" w:cs="Times New Roman"/>
          <w:sz w:val="24"/>
          <w:szCs w:val="24"/>
          <w:lang w:val="en-US"/>
        </w:rPr>
        <w:lastRenderedPageBreak/>
        <w:t>Assembly of State Parties to the Rome Statute in September 2002, and urges States to ratify or accede to the Rome Statute, which entered into force on 1 July 2002.</w:t>
      </w:r>
      <w:r>
        <w:rPr>
          <w:rFonts w:ascii="Times New Roman" w:eastAsia="Times New Roman" w:hAnsi="Times New Roman" w:cs="Times New Roman"/>
          <w:noProof/>
          <w:sz w:val="24"/>
          <w:szCs w:val="24"/>
        </w:rPr>
        <w:drawing>
          <wp:inline distT="0" distB="0" distL="0" distR="0">
            <wp:extent cx="151130" cy="142875"/>
            <wp:effectExtent l="19050" t="0" r="1270" b="0"/>
            <wp:docPr id="2338" name="Imagen 23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2005 on the rights of the child, the UN Commission on Human Rights called upon all States: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c</w:t>
      </w:r>
      <w:r w:rsidRPr="00B431DD">
        <w:rPr>
          <w:rFonts w:ascii="Times New Roman" w:eastAsia="Times New Roman" w:hAnsi="Times New Roman" w:cs="Times New Roman"/>
          <w:sz w:val="24"/>
          <w:szCs w:val="24"/>
          <w:lang w:val="en-US"/>
        </w:rPr>
        <w:t>) To increase cooperation at all levels to prevent and dismantle networks trafficking in children;</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d</w:t>
      </w:r>
      <w:r w:rsidRPr="00B431DD">
        <w:rPr>
          <w:rFonts w:ascii="Times New Roman" w:eastAsia="Times New Roman" w:hAnsi="Times New Roman" w:cs="Times New Roman"/>
          <w:sz w:val="24"/>
          <w:szCs w:val="24"/>
          <w:lang w:val="en-US"/>
        </w:rPr>
        <w:t>) To consider ratifying or acceding to the Protocol to Prevent, Suppress and Punish Trafficking in Persons, Especially Women and Children, supplementing the United Nations Convention against Transnational Organized Crime.</w:t>
      </w:r>
      <w:r>
        <w:rPr>
          <w:rFonts w:ascii="Times New Roman" w:eastAsia="Times New Roman" w:hAnsi="Times New Roman" w:cs="Times New Roman"/>
          <w:noProof/>
          <w:sz w:val="24"/>
          <w:szCs w:val="24"/>
        </w:rPr>
        <w:drawing>
          <wp:inline distT="0" distB="0" distL="0" distR="0">
            <wp:extent cx="151130" cy="142875"/>
            <wp:effectExtent l="19050" t="0" r="1270" b="0"/>
            <wp:docPr id="2339" name="Imagen 23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a resolution adopted in 2005 on the World Conference against Racism, Racial Discrimination, Xenophobia and Related Intolerance and the comprehensive implementation of and follow-up to the Durban Declaration and Programme of Action, the UN Commission on Human Rights acknowledged that “no derogation from the prohibition of racial discrimination, genocide, the crime of apartheid or slavery is permitted, as defined in the obligations under the relevant human rights instruments”.</w:t>
      </w:r>
      <w:r>
        <w:rPr>
          <w:rFonts w:ascii="Times New Roman" w:eastAsia="Times New Roman" w:hAnsi="Times New Roman" w:cs="Times New Roman"/>
          <w:noProof/>
          <w:sz w:val="24"/>
          <w:szCs w:val="24"/>
        </w:rPr>
        <w:drawing>
          <wp:inline distT="0" distB="0" distL="0" distR="0">
            <wp:extent cx="151130" cy="142875"/>
            <wp:effectExtent l="19050" t="0" r="1270" b="0"/>
            <wp:docPr id="2340" name="Imagen 23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Human Rights Council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a resolution adopted in 2007 on the Special Rapporteur on contemporary forms of slavery, the UN Human Rights Council: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i/>
          <w:iCs/>
          <w:sz w:val="24"/>
          <w:szCs w:val="24"/>
          <w:lang w:val="en-US"/>
        </w:rPr>
        <w:t>Recognizing</w:t>
      </w:r>
      <w:r w:rsidRPr="00B431DD">
        <w:rPr>
          <w:rFonts w:ascii="Times New Roman" w:eastAsia="Times New Roman" w:hAnsi="Times New Roman" w:cs="Times New Roman"/>
          <w:sz w:val="24"/>
          <w:szCs w:val="24"/>
          <w:lang w:val="en-US"/>
        </w:rPr>
        <w:t xml:space="preserve"> the Slavery Convention of 1926, the Supplementary Convention on the Abolition of Slavery, the Slave Trade and Institutions and Practices Similar to Slavery of 1956 and International Labour Organization Convention No. 29 on Forced Labour of 1930, as well as other relevant international instruments which prohibit all forms of slavery and call on Governments to eradicate such practices.</w:t>
      </w:r>
      <w:r>
        <w:rPr>
          <w:rFonts w:ascii="Times New Roman" w:eastAsia="Times New Roman" w:hAnsi="Times New Roman" w:cs="Times New Roman"/>
          <w:noProof/>
          <w:sz w:val="24"/>
          <w:szCs w:val="24"/>
        </w:rPr>
        <w:drawing>
          <wp:inline distT="0" distB="0" distL="0" distR="0">
            <wp:extent cx="151130" cy="142875"/>
            <wp:effectExtent l="19050" t="0" r="1270" b="0"/>
            <wp:docPr id="2341" name="Imagen 23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Commission on Human Rights (Special Rapporteur)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1996, in the report on her mission to the Democratic Republic of Korea, the Republic of Korea and Japan on the issue of military sexual slavery in wartime, the Special Rapporteur of the UN Commission on Human Rights on Violence against Women, its Causes and Consequences stated: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7. … the Special Rapporteur is aware of the position of the Government of Japan … whereby the application of the term “slavery”, defined as “the status or condition of a person over whom any or all powers attaching to the right of ownership are exercised” in accordance with Article 1(1) of the 1926 Slavery Convention, was inaccurate in the case of “comfort women” under existing provisions of international law.</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8. The Special Rapporteur, however, holds the opinion that the practice of “comfort women” should be considered a clear case of sexual slavery and slave-like practice in accordance with the approach adopted by relevant international human rights bodies and mechanisms.</w:t>
      </w:r>
      <w:r>
        <w:rPr>
          <w:rFonts w:ascii="Times New Roman" w:eastAsia="Times New Roman" w:hAnsi="Times New Roman" w:cs="Times New Roman"/>
          <w:noProof/>
          <w:sz w:val="24"/>
          <w:szCs w:val="24"/>
        </w:rPr>
        <w:drawing>
          <wp:inline distT="0" distB="0" distL="0" distR="0">
            <wp:extent cx="151130" cy="142875"/>
            <wp:effectExtent l="19050" t="0" r="1270" b="0"/>
            <wp:docPr id="2342" name="Imagen 23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In 2001, in a report on violence against women perpetrated and/or condoned by the State during times of armed conflict, the Special Rapporteur of the UN Commission on Human Rights on Violence against Women, its Causes and Consequences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During wartime, women are often trafficked across borders to sexually service combatants to the armed conflict. Armed conflict increases the risk of women and girls being abducted and forced into sexual slavery and/or forced prostitution. Although most conflicts are now internal ones, women and girls may be transported across international borders, often to camps of soldiers or rebels located in the territory of a neighbouring State. At least some of these abductions result in women and girls being sold to others and trafficked to other regions or countries. The Governments which host and support the rebel forces also assume a specific obligation to stop the trafficking in human beings and to hold accountable those found responsible for such crimes.</w:t>
      </w:r>
      <w:r>
        <w:rPr>
          <w:rFonts w:ascii="Times New Roman" w:eastAsia="Times New Roman" w:hAnsi="Times New Roman" w:cs="Times New Roman"/>
          <w:noProof/>
          <w:sz w:val="24"/>
          <w:szCs w:val="24"/>
        </w:rPr>
        <w:drawing>
          <wp:inline distT="0" distB="0" distL="0" distR="0">
            <wp:extent cx="151130" cy="142875"/>
            <wp:effectExtent l="19050" t="0" r="1270" b="0"/>
            <wp:docPr id="2343" name="Imagen 23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UN Sub-Commission on Human Rights (Special Rapporteur)</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1998, the Special Rapporteur of the UN Sub-Commission on Human Rights on systematic rape, sexual slavery and slavery-like practices during armed conflict, including internal armed conflict, having carried out a comprehensive study of the question of rape and other forms of sexual violence during armed conflict,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30. … In all respects and in all circumstances, sexual slavery is slavery and its prohibition is a </w:t>
      </w:r>
      <w:r w:rsidRPr="00B431DD">
        <w:rPr>
          <w:rFonts w:ascii="Times New Roman" w:eastAsia="Times New Roman" w:hAnsi="Times New Roman" w:cs="Times New Roman"/>
          <w:i/>
          <w:iCs/>
          <w:sz w:val="24"/>
          <w:szCs w:val="24"/>
          <w:lang w:val="en-US"/>
        </w:rPr>
        <w:t>jus cogens</w:t>
      </w:r>
      <w:r w:rsidRPr="00B431DD">
        <w:rPr>
          <w:rFonts w:ascii="Times New Roman" w:eastAsia="Times New Roman" w:hAnsi="Times New Roman" w:cs="Times New Roman"/>
          <w:sz w:val="24"/>
          <w:szCs w:val="24"/>
          <w:lang w:val="en-US"/>
        </w:rPr>
        <w:t xml:space="preserve"> norm. The “comfort stations” that were maintained by the Japanese military during the Second World War (see appendix) and the “rape camps” that have been well documented in the former Yugoslavia are particularly egregious examples of sexual slavery. Sexual slavery also encompasses situations where women and girls are forced into “marriage”, domestic servitude or other forced labour that ultimately involves forced sexual activity, including rape by their captors. For instance, in addition to the cases documented in Rwanda and the former Yugoslavia, there are reports from Myanmar of women and girls who have been raped and otherwise sexually abused after being forced into “marriages” or forced to work as porters or minefield sweepers for the military. In Liberia, there are similar reports of women and girls who have been forced by combatants into working as cooks and who are also held as sexual slaves.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31. Sexual slavery also encompasses most, if not all forms of forced prostitution. The terms “forced prostitution” or “enforced prostitution” appear in international and humanitarian conventions but have been insufficiently understood and inconsistently applied. “Forced prostitution” generally refers to conditions of control over a person who is coerced by another to engage in sexual activity.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32. Older definitions of forced prostitution focus either in vague terms on “immoral” attacks on a woman’s “honour”, or else they are nearly indistinct from definitions that seem more accurately to describe the condition of slavery. Despite these limitations, as the crime is clearly criminalized within the Geneva Conventions and the Additional Protocols thereto, it remains a potential, albeit limited alternative tool for future prosecutions of sexual violence in armed conflict situations.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33. As a general principle it would appear that in situations of armed conflict, most factual scenarios that could be described as forced prostitution would also amount to sexual slavery and could more appropriately and more easily be characterized and prosecuted as slavery.</w:t>
      </w:r>
      <w:r>
        <w:rPr>
          <w:rFonts w:ascii="Times New Roman" w:eastAsia="Times New Roman" w:hAnsi="Times New Roman" w:cs="Times New Roman"/>
          <w:noProof/>
          <w:sz w:val="24"/>
          <w:szCs w:val="24"/>
        </w:rPr>
        <w:drawing>
          <wp:inline distT="0" distB="0" distL="0" distR="0">
            <wp:extent cx="151130" cy="142875"/>
            <wp:effectExtent l="19050" t="0" r="1270" b="0"/>
            <wp:docPr id="2344" name="Imagen 23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 Sub-Commission on Human Rights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1974, the UN Sub-Commission on Human Rights was authorized by ECOSOC to establish a Working Group on contemporary forms of slavery to:</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review developments in the fields of slavery, the slave trade and the slavery-like practices, of apartheid and colonialism, the traffic in persons and the exploitation of the prostitution of others, as defined in the 1926 Slavery Convention, the 1956 Supplementary Convention on the Abolition of Slavery and the 1949 Convention for the Suppression of the Traffic in Persons and of the Exploitation of the Prostitution of Others.</w:t>
      </w:r>
      <w:r>
        <w:rPr>
          <w:rFonts w:ascii="Times New Roman" w:eastAsia="Times New Roman" w:hAnsi="Times New Roman" w:cs="Times New Roman"/>
          <w:noProof/>
          <w:sz w:val="24"/>
          <w:szCs w:val="24"/>
        </w:rPr>
        <w:drawing>
          <wp:inline distT="0" distB="0" distL="0" distR="0">
            <wp:extent cx="151130" cy="142875"/>
            <wp:effectExtent l="19050" t="0" r="1270" b="0"/>
            <wp:docPr id="2345" name="Imagen 23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6" w:history="1">
        <w:r w:rsidRPr="00B431DD">
          <w:rPr>
            <w:rFonts w:ascii="Times New Roman" w:eastAsia="Times New Roman" w:hAnsi="Times New Roman" w:cs="Times New Roman"/>
            <w:color w:val="0000FF"/>
            <w:sz w:val="24"/>
            <w:szCs w:val="24"/>
            <w:u w:val="single"/>
            <w:lang w:val="en-US"/>
          </w:rPr>
          <w:t>VIII. Other International Organizations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No data.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7" w:history="1">
        <w:r w:rsidRPr="00B431DD">
          <w:rPr>
            <w:rFonts w:ascii="Times New Roman" w:eastAsia="Times New Roman" w:hAnsi="Times New Roman" w:cs="Times New Roman"/>
            <w:color w:val="0000FF"/>
            <w:sz w:val="24"/>
            <w:szCs w:val="24"/>
            <w:u w:val="single"/>
            <w:lang w:val="en-US"/>
          </w:rPr>
          <w:t>IX. International Conferences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No data.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8" w:history="1">
        <w:r w:rsidRPr="00B431DD">
          <w:rPr>
            <w:rFonts w:ascii="Times New Roman" w:eastAsia="Times New Roman" w:hAnsi="Times New Roman" w:cs="Times New Roman"/>
            <w:color w:val="0000FF"/>
            <w:sz w:val="24"/>
            <w:szCs w:val="24"/>
            <w:u w:val="single"/>
            <w:lang w:val="en-US"/>
          </w:rPr>
          <w:t>X. International and Mixed Judicial and Quasi-judicial Bodies</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International Military Tribunal for Germany</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indictment in the </w:t>
      </w:r>
      <w:r w:rsidRPr="00B431DD">
        <w:rPr>
          <w:rFonts w:ascii="Times New Roman" w:eastAsia="Times New Roman" w:hAnsi="Times New Roman" w:cs="Times New Roman"/>
          <w:i/>
          <w:iCs/>
          <w:sz w:val="24"/>
          <w:szCs w:val="24"/>
          <w:lang w:val="en-US"/>
        </w:rPr>
        <w:t>case of the Major War Criminals</w:t>
      </w:r>
      <w:r w:rsidRPr="00B431DD">
        <w:rPr>
          <w:rFonts w:ascii="Times New Roman" w:eastAsia="Times New Roman" w:hAnsi="Times New Roman" w:cs="Times New Roman"/>
          <w:sz w:val="24"/>
          <w:szCs w:val="24"/>
          <w:lang w:val="en-US"/>
        </w:rPr>
        <w:t xml:space="preserve"> before the IMT Nuremberg in 1945 listed “enslavement” among crimes against humanity. It added: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The defendants conscripted and forced the inhabitants to labor and requisitioned their services for purposes other than meeting the needs of the armies of occupation and to an extent far out of proportion to the resources of the countries involved. All the civilians so conscripted were forced to work for the German war effort. Civilians were required to register and many of those who registered were forced to join the Todt Organization and the Speer Legion, both of which were semi-military organizations involving some military training. These acts violated Articles 46 and 52 of the Hague Regulations, 1907, the laws and customs of war, the general principles of criminal law as derived from the criminal laws of all civilized nations, the internal penal laws of the countries in which such crimes were committed, and Article 6 (b) of the Charter.</w:t>
      </w:r>
      <w:r>
        <w:rPr>
          <w:rFonts w:ascii="Times New Roman" w:eastAsia="Times New Roman" w:hAnsi="Times New Roman" w:cs="Times New Roman"/>
          <w:noProof/>
          <w:sz w:val="24"/>
          <w:szCs w:val="24"/>
        </w:rPr>
        <w:drawing>
          <wp:inline distT="0" distB="0" distL="0" distR="0">
            <wp:extent cx="151130" cy="142875"/>
            <wp:effectExtent l="19050" t="0" r="1270" b="0"/>
            <wp:docPr id="2346" name="Imagen 23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International Military Tribunal for the Far East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indictment in the </w:t>
      </w:r>
      <w:r w:rsidRPr="00B431DD">
        <w:rPr>
          <w:rFonts w:ascii="Times New Roman" w:eastAsia="Times New Roman" w:hAnsi="Times New Roman" w:cs="Times New Roman"/>
          <w:i/>
          <w:iCs/>
          <w:sz w:val="24"/>
          <w:szCs w:val="24"/>
          <w:lang w:val="en-US"/>
        </w:rPr>
        <w:t>case of the Major War Criminals</w:t>
      </w:r>
      <w:r w:rsidRPr="00B431DD">
        <w:rPr>
          <w:rFonts w:ascii="Times New Roman" w:eastAsia="Times New Roman" w:hAnsi="Times New Roman" w:cs="Times New Roman"/>
          <w:sz w:val="24"/>
          <w:szCs w:val="24"/>
          <w:lang w:val="en-US"/>
        </w:rPr>
        <w:t xml:space="preserve"> before the IMT Tokyo in 1946 contained references to forced labour and mentioned violations, including “deportation and enslavement of the inhabitants … contrary to [the 1907 Hague Regulations] and to the Laws and Customs of War: Large numbers of the inhabitants or [occupied] territories were … arrested and interned without justification, sent to forced labour …”.</w:t>
      </w:r>
      <w:r>
        <w:rPr>
          <w:rFonts w:ascii="Times New Roman" w:eastAsia="Times New Roman" w:hAnsi="Times New Roman" w:cs="Times New Roman"/>
          <w:noProof/>
          <w:sz w:val="24"/>
          <w:szCs w:val="24"/>
        </w:rPr>
        <w:drawing>
          <wp:inline distT="0" distB="0" distL="0" distR="0">
            <wp:extent cx="151130" cy="142875"/>
            <wp:effectExtent l="19050" t="0" r="1270" b="0"/>
            <wp:docPr id="2347" name="Imagen 23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In its judgment in the </w:t>
      </w:r>
      <w:r w:rsidRPr="00B431DD">
        <w:rPr>
          <w:rFonts w:ascii="Times New Roman" w:eastAsia="Times New Roman" w:hAnsi="Times New Roman" w:cs="Times New Roman"/>
          <w:i/>
          <w:iCs/>
          <w:sz w:val="24"/>
          <w:szCs w:val="24"/>
          <w:lang w:val="en-US"/>
        </w:rPr>
        <w:t>case of the Major War Criminals</w:t>
      </w:r>
      <w:r w:rsidRPr="00B431DD">
        <w:rPr>
          <w:rFonts w:ascii="Times New Roman" w:eastAsia="Times New Roman" w:hAnsi="Times New Roman" w:cs="Times New Roman"/>
          <w:sz w:val="24"/>
          <w:szCs w:val="24"/>
          <w:lang w:val="en-US"/>
        </w:rPr>
        <w:t xml:space="preserve"> in 1948, the IMT Tokyo stated with respect to the use of labour by civilians from occupied territories: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Having decided upon a policy of employing prisoners of war and civilian internees on work directly contributing to the prosecution of the war, and having established a system to carry that policy into execution, the Japanese went further and supplemented this source of manpower by recruiting labourers from the native population of the occupied territories. This recruiting of labourers was accomplished by false promises, and by force … The labourers were transported to and confined in camps. Little or no distinction appears to have been made between these conscripted labourers on the one hand and prisoners of war and civilian internees on the other hand. They were all regarded as slave labourers to be used to the limit of their endurance.</w:t>
      </w:r>
      <w:r>
        <w:rPr>
          <w:rFonts w:ascii="Times New Roman" w:eastAsia="Times New Roman" w:hAnsi="Times New Roman" w:cs="Times New Roman"/>
          <w:noProof/>
          <w:sz w:val="24"/>
          <w:szCs w:val="24"/>
        </w:rPr>
        <w:drawing>
          <wp:inline distT="0" distB="0" distL="0" distR="0">
            <wp:extent cx="151130" cy="142875"/>
            <wp:effectExtent l="19050" t="0" r="1270" b="0"/>
            <wp:docPr id="2348" name="Imagen 23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International Criminal Court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 xml:space="preserve">Katanga case </w:t>
      </w:r>
      <w:r w:rsidRPr="00B431DD">
        <w:rPr>
          <w:rFonts w:ascii="Times New Roman" w:eastAsia="Times New Roman" w:hAnsi="Times New Roman" w:cs="Times New Roman"/>
          <w:sz w:val="24"/>
          <w:szCs w:val="24"/>
          <w:lang w:val="en-US"/>
        </w:rPr>
        <w:t>before the ICC in 2007, the ICC Pre-Trial Chamber I issued an arrest warrant for Germain Katanga, the alleged former commander of an armed group known as the Force de résistance patriotique en Ituri</w:t>
      </w:r>
      <w:r w:rsidRPr="00B431DD">
        <w:rPr>
          <w:rFonts w:ascii="Times New Roman" w:eastAsia="Times New Roman" w:hAnsi="Times New Roman" w:cs="Times New Roman"/>
          <w:i/>
          <w:iCs/>
          <w:sz w:val="24"/>
          <w:szCs w:val="24"/>
          <w:lang w:val="en-US"/>
        </w:rPr>
        <w:t xml:space="preserve"> </w:t>
      </w:r>
      <w:r w:rsidRPr="00B431DD">
        <w:rPr>
          <w:rFonts w:ascii="Times New Roman" w:eastAsia="Times New Roman" w:hAnsi="Times New Roman" w:cs="Times New Roman"/>
          <w:sz w:val="24"/>
          <w:szCs w:val="24"/>
          <w:lang w:val="en-US"/>
        </w:rPr>
        <w:t>(FRPI), in the Democratic Republic of the Congo. He was charged with sexual slavery, both as a crime against humanity, punishable under Article 7(1)(g) of the 1998 ICC Statute, and as a war crime, punishable under Article 8(2)(b)(xxii) or (e)(vi)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2349" name="Imagen 23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Ngudjolo Chui</w:t>
      </w:r>
      <w:r w:rsidRPr="00B431DD">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i/>
          <w:iCs/>
          <w:sz w:val="24"/>
          <w:szCs w:val="24"/>
          <w:lang w:val="en-US"/>
        </w:rPr>
        <w:t xml:space="preserve">case </w:t>
      </w:r>
      <w:r w:rsidRPr="00B431DD">
        <w:rPr>
          <w:rFonts w:ascii="Times New Roman" w:eastAsia="Times New Roman" w:hAnsi="Times New Roman" w:cs="Times New Roman"/>
          <w:sz w:val="24"/>
          <w:szCs w:val="24"/>
          <w:lang w:val="en-US"/>
        </w:rPr>
        <w:t>before the ICC in 2007, the ICC Pre-Trial Chamber I issued an arrest warrant for Mathieu Ngudjolo Chui, a Congolese national and alleged former leader of an armed group known as the Front des nationalistes et intégrationnistes (FNI). At the time his arrest warrant was issued, he was a colonel in the National Army of the Government of the Democratic Republic of the Congo (FARDC). He was charged with sexual slavery, both as a crime against humanity, punishable under Article 7(1)(g) of the 1998 ICC Statute, and as a war crime, punishable under Article 8(2)(b)(xxii) or (e)(vi) of the 1998 ICC Statute.</w:t>
      </w:r>
      <w:r>
        <w:rPr>
          <w:rFonts w:ascii="Times New Roman" w:eastAsia="Times New Roman" w:hAnsi="Times New Roman" w:cs="Times New Roman"/>
          <w:noProof/>
          <w:sz w:val="24"/>
          <w:szCs w:val="24"/>
        </w:rPr>
        <w:drawing>
          <wp:inline distT="0" distB="0" distL="0" distR="0">
            <wp:extent cx="151130" cy="142875"/>
            <wp:effectExtent l="19050" t="0" r="1270" b="0"/>
            <wp:docPr id="2350" name="Imagen 23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Katanga and Chui case</w:t>
      </w:r>
      <w:r w:rsidRPr="00B431DD">
        <w:rPr>
          <w:rFonts w:ascii="Times New Roman" w:eastAsia="Times New Roman" w:hAnsi="Times New Roman" w:cs="Times New Roman"/>
          <w:sz w:val="24"/>
          <w:szCs w:val="24"/>
          <w:lang w:val="en-US"/>
        </w:rPr>
        <w:t xml:space="preserve"> before the ICC, the accused, respectively the alleged commander of the Front for Patriotic Resistance of Ituri</w:t>
      </w:r>
      <w:r w:rsidRPr="00B431DD">
        <w:rPr>
          <w:rFonts w:ascii="Times New Roman" w:eastAsia="Times New Roman" w:hAnsi="Times New Roman" w:cs="Times New Roman"/>
          <w:i/>
          <w:iCs/>
          <w:sz w:val="24"/>
          <w:szCs w:val="24"/>
          <w:lang w:val="en-US"/>
        </w:rPr>
        <w:t xml:space="preserve"> </w:t>
      </w:r>
      <w:r w:rsidRPr="00B431DD">
        <w:rPr>
          <w:rFonts w:ascii="Times New Roman" w:eastAsia="Times New Roman" w:hAnsi="Times New Roman" w:cs="Times New Roman"/>
          <w:sz w:val="24"/>
          <w:szCs w:val="24"/>
          <w:lang w:val="en-US"/>
        </w:rPr>
        <w:t xml:space="preserve">(FRPI) and the alleged former leader of the Nationalist and Integrationist Front (FNI) in the Democratic Republic of the Congo, were charged with jointly committing through other persons various crimes </w:t>
      </w:r>
      <w:r w:rsidRPr="00B431DD">
        <w:rPr>
          <w:rFonts w:ascii="Times New Roman" w:eastAsia="Times New Roman" w:hAnsi="Times New Roman" w:cs="Times New Roman"/>
          <w:sz w:val="24"/>
          <w:szCs w:val="24"/>
          <w:lang w:val="en-US"/>
        </w:rPr>
        <w:lastRenderedPageBreak/>
        <w:t>against humanity and war crimes under Articles 7 and 8 of the 1998 ICC Statute. In its decision on the confirmation of charges in 2008, the Pre-Trial Chamber set out the definition of the war crime of sexual slavery, stating:</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343. For the war crime of sexual slavery under article 8(2)(b)(xxii)-2 of the [2000 ICC] Elements of Crimes, the perpetrator must: (i) exercise any or all of the powers attaching to the right of ownership over one or more persons, such as by purchasing, selling, lending, or bartering such a person or persons, or by imposing on them a similar deprivation of liberty; and (ii) cause such person or persons to engage in one or more acts of sexual nature. The instances cited under the first element above do not constitute an exhaustive list.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344. Footnote 53 to the Elements of Crimes also states that “[i]t is understood that such deprivation of liberty may, in some circumstances, include exacting forced labour or otherwise reducing a person to servile status as defined in the Supplementary Convention on the Abolition of Slavery, the Slave Trade, and Institutions and Practices Similar to Slavery of 1956. It is also understood that the conduct described in this element includes trafficking of persons, in particular women and children.”</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346. Article 30 of the Statute requires intent and knowledge for the subjective element of the war [crime] of … sexual slavery under article 8(2)(b)(xxii). This subjective element applies to … the exercise of any or all the powers attaching to the right of ownership over one or more persons, imposing on such person(s) her/his deprivation of liberty, and causing such person(s) to engage in one or more acts of sexual nature. The subjective elements … include, first and foremost, </w:t>
      </w:r>
      <w:r w:rsidRPr="00B431DD">
        <w:rPr>
          <w:rFonts w:ascii="Times New Roman" w:eastAsia="Times New Roman" w:hAnsi="Times New Roman" w:cs="Times New Roman"/>
          <w:i/>
          <w:iCs/>
          <w:sz w:val="24"/>
          <w:szCs w:val="24"/>
          <w:lang w:val="en-US"/>
        </w:rPr>
        <w:t>dolus directus</w:t>
      </w:r>
      <w:r w:rsidRPr="00B431DD">
        <w:rPr>
          <w:rFonts w:ascii="Times New Roman" w:eastAsia="Times New Roman" w:hAnsi="Times New Roman" w:cs="Times New Roman"/>
          <w:sz w:val="24"/>
          <w:szCs w:val="24"/>
          <w:lang w:val="en-US"/>
        </w:rPr>
        <w:t xml:space="preserve"> of the first degree. They also may include </w:t>
      </w:r>
      <w:r w:rsidRPr="00B431DD">
        <w:rPr>
          <w:rFonts w:ascii="Times New Roman" w:eastAsia="Times New Roman" w:hAnsi="Times New Roman" w:cs="Times New Roman"/>
          <w:i/>
          <w:iCs/>
          <w:sz w:val="24"/>
          <w:szCs w:val="24"/>
          <w:lang w:val="en-US"/>
        </w:rPr>
        <w:t>dolus directus</w:t>
      </w:r>
      <w:r w:rsidRPr="00B431DD">
        <w:rPr>
          <w:rFonts w:ascii="Times New Roman" w:eastAsia="Times New Roman" w:hAnsi="Times New Roman" w:cs="Times New Roman"/>
          <w:sz w:val="24"/>
          <w:szCs w:val="24"/>
          <w:lang w:val="en-US"/>
        </w:rPr>
        <w:t xml:space="preserve"> of the second degree.</w:t>
      </w:r>
      <w:r>
        <w:rPr>
          <w:rFonts w:ascii="Times New Roman" w:eastAsia="Times New Roman" w:hAnsi="Times New Roman" w:cs="Times New Roman"/>
          <w:noProof/>
          <w:sz w:val="24"/>
          <w:szCs w:val="24"/>
        </w:rPr>
        <w:drawing>
          <wp:inline distT="0" distB="0" distL="0" distR="0">
            <wp:extent cx="151130" cy="142875"/>
            <wp:effectExtent l="19050" t="0" r="1270" b="0"/>
            <wp:docPr id="2351" name="Imagen 23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[footnotes in original omitted]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429. The crime against humanity of sexual slavery pursuant to article 7(l)(g) of the [1998 ICC] Statute and article 7(l)(g)-2 of the [2000 ICC] Elements of Crimes, occurs when:</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1. The perpetrator exercised any or all of the powers attaching to the right of ownership over one or more persons, such as by purchasing, selling, lending or bartering such a person or persons, or by imposing on them a similar deprivation of liberty.</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2. The perpetrator caused such person or persons to engage in one or more acts of a sexual nature.</w:t>
      </w:r>
    </w:p>
    <w:p w:rsidR="004D5C23" w:rsidRPr="004D5C23" w:rsidRDefault="004D5C23" w:rsidP="004D5C23">
      <w:pPr>
        <w:spacing w:after="24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430. The Chamber notes that although sexual slavery is included as a separate offence in article 7(1)(g) of the Statute, it may be regarded as a particular form of enslavement. Accordingly, footnotes 11 (Crime Against Humanity of Enslavement) and 18 (Crime Against Humanity of Sexual Slavery) of the Elements of Crimes, both indicate that “such deprivation of liberty may, in some circumstances, include exacting forced labour or otherwise reducing a person to a servile status as defined in the Supplementary Convention on the Abolition of Slavery, the Slave Trade, and Institutions and Practices Similar to Slavery of 1956.” The Supplementary Convention lists institutions or practices which include debt bondage, serfdom, forced marriage practices and forms of child labour, which constitute particular forms of enslavement.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431. In the view of the Chamber, sexual slavery also encompasses situations where women and girls are forced into “marriage”, domestic servitude or other forced labour involving compulsory sexual activity, including rape, by their captors. Forms of sexual slavery can, for example, be “practices such as the detention of women in ‘rape camps’ or ‘comfort stations’, forced temporary ‘marriages’ to soldiers and other practices involving the treatment of women as chattel, and as such, violations of the peremptory norm prohibiting slavery.”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lastRenderedPageBreak/>
        <w:t>432. The second element of the crime against humanity of sexual slavery requires that “the perpetrator caused such person or persons to engage in one or more acts of a sexual nature.” Thus, a particular parameter of the crime of sexual enslavement – in addition to limitations on the victim’s autonomy, freedom of movement and power – is the ability to decide matters relating to his or her sexual activity.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433. Article 30 of the Statute governs the subjective element of the crime against humanity of sexual slavery requiring the perpetrator’s intent to impose a deprivation of liberty and cause the victim to engage in one or more acts of a sexual nature. Thus, this offence encompasses, first and foremost, cases of </w:t>
      </w:r>
      <w:r w:rsidRPr="00B431DD">
        <w:rPr>
          <w:rFonts w:ascii="Times New Roman" w:eastAsia="Times New Roman" w:hAnsi="Times New Roman" w:cs="Times New Roman"/>
          <w:i/>
          <w:iCs/>
          <w:sz w:val="24"/>
          <w:szCs w:val="24"/>
          <w:lang w:val="en-US"/>
        </w:rPr>
        <w:t>dolus directus</w:t>
      </w:r>
      <w:r w:rsidRPr="00B431DD">
        <w:rPr>
          <w:rFonts w:ascii="Times New Roman" w:eastAsia="Times New Roman" w:hAnsi="Times New Roman" w:cs="Times New Roman"/>
          <w:sz w:val="24"/>
          <w:szCs w:val="24"/>
          <w:lang w:val="en-US"/>
        </w:rPr>
        <w:t xml:space="preserve"> of the first and second degree.</w:t>
      </w:r>
      <w:r>
        <w:rPr>
          <w:rFonts w:ascii="Times New Roman" w:eastAsia="Times New Roman" w:hAnsi="Times New Roman" w:cs="Times New Roman"/>
          <w:noProof/>
          <w:sz w:val="24"/>
          <w:szCs w:val="24"/>
        </w:rPr>
        <w:drawing>
          <wp:inline distT="0" distB="0" distL="0" distR="0">
            <wp:extent cx="151130" cy="142875"/>
            <wp:effectExtent l="19050" t="0" r="1270" b="0"/>
            <wp:docPr id="2352" name="Imagen 23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[footnotes in original omitted]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2012, the ICC Trial Chamber II acquitted Mr Ngudjolo Chui of all the charges against him.</w:t>
      </w:r>
      <w:r>
        <w:rPr>
          <w:rFonts w:ascii="Times New Roman" w:eastAsia="Times New Roman" w:hAnsi="Times New Roman" w:cs="Times New Roman"/>
          <w:noProof/>
          <w:sz w:val="24"/>
          <w:szCs w:val="24"/>
        </w:rPr>
        <w:drawing>
          <wp:inline distT="0" distB="0" distL="0" distR="0">
            <wp:extent cx="151130" cy="142875"/>
            <wp:effectExtent l="19050" t="0" r="1270" b="0"/>
            <wp:docPr id="2353" name="Imagen 23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International Criminal Tribunal for the former Yugoslavia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Kunarac case</w:t>
      </w:r>
      <w:r w:rsidRPr="00B431DD">
        <w:rPr>
          <w:rFonts w:ascii="Times New Roman" w:eastAsia="Times New Roman" w:hAnsi="Times New Roman" w:cs="Times New Roman"/>
          <w:sz w:val="24"/>
          <w:szCs w:val="24"/>
          <w:lang w:val="en-US"/>
        </w:rPr>
        <w:t xml:space="preserve"> before the ICTY in 1996, the accused was charged with slavery as a crime against humanity. The accused were charged with detaining nine women in a private apartment where the women were sexually assaulted on a regular basis and forced to work both inside and outside the home.</w:t>
      </w:r>
      <w:r>
        <w:rPr>
          <w:rFonts w:ascii="Times New Roman" w:eastAsia="Times New Roman" w:hAnsi="Times New Roman" w:cs="Times New Roman"/>
          <w:noProof/>
          <w:sz w:val="24"/>
          <w:szCs w:val="24"/>
        </w:rPr>
        <w:drawing>
          <wp:inline distT="0" distB="0" distL="0" distR="0">
            <wp:extent cx="151130" cy="142875"/>
            <wp:effectExtent l="19050" t="0" r="1270" b="0"/>
            <wp:docPr id="2354" name="Imagen 23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Krnojelac</w:t>
      </w:r>
      <w:r w:rsidRPr="00B431DD">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i/>
          <w:iCs/>
          <w:sz w:val="24"/>
          <w:szCs w:val="24"/>
          <w:lang w:val="en-US"/>
        </w:rPr>
        <w:t>case</w:t>
      </w:r>
      <w:r w:rsidRPr="00B431DD">
        <w:rPr>
          <w:rFonts w:ascii="Times New Roman" w:eastAsia="Times New Roman" w:hAnsi="Times New Roman" w:cs="Times New Roman"/>
          <w:sz w:val="24"/>
          <w:szCs w:val="24"/>
          <w:lang w:val="en-US"/>
        </w:rPr>
        <w:t xml:space="preserve"> before the ICTY in 1997, the accused was charged with “slavery” as a violation of the laws and customs of war pursuant to Article 3 of the 1993 ICTY Statute, on the basis of both the 1926 Slavery Convention and customary international law, and with “enslavement” as a crime against humanity pursuant to Article 5 of the 1993 ICTY Statute. The case revealed that detainees were forced to work in mines, construction, farming, mine detection and trench-digging on the front line. “The detainees were not paid for their work. Work was not voluntary. Even ill or injured detainees were forced to work. Those who refused were sent to solitary confinement.”</w:t>
      </w:r>
      <w:r>
        <w:rPr>
          <w:rFonts w:ascii="Times New Roman" w:eastAsia="Times New Roman" w:hAnsi="Times New Roman" w:cs="Times New Roman"/>
          <w:noProof/>
          <w:sz w:val="24"/>
          <w:szCs w:val="24"/>
        </w:rPr>
        <w:drawing>
          <wp:inline distT="0" distB="0" distL="0" distR="0">
            <wp:extent cx="151130" cy="142875"/>
            <wp:effectExtent l="19050" t="0" r="1270" b="0"/>
            <wp:docPr id="2355" name="Imagen 23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Simić</w:t>
      </w:r>
      <w:r w:rsidRPr="00B431DD">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i/>
          <w:iCs/>
          <w:sz w:val="24"/>
          <w:szCs w:val="24"/>
          <w:lang w:val="en-US"/>
        </w:rPr>
        <w:t>case</w:t>
      </w:r>
      <w:r w:rsidRPr="00B431DD">
        <w:rPr>
          <w:rFonts w:ascii="Times New Roman" w:eastAsia="Times New Roman" w:hAnsi="Times New Roman" w:cs="Times New Roman"/>
          <w:sz w:val="24"/>
          <w:szCs w:val="24"/>
          <w:lang w:val="en-US"/>
        </w:rPr>
        <w:t xml:space="preserve"> before the ICTY in 2003, in which the accused was charged with persecutions on political, racial and religious grounds, the Trial Chamber (citing the ICTY </w:t>
      </w:r>
      <w:r w:rsidRPr="00B431DD">
        <w:rPr>
          <w:rFonts w:ascii="Times New Roman" w:eastAsia="Times New Roman" w:hAnsi="Times New Roman" w:cs="Times New Roman"/>
          <w:i/>
          <w:iCs/>
          <w:sz w:val="24"/>
          <w:szCs w:val="24"/>
          <w:lang w:val="en-US"/>
        </w:rPr>
        <w:t>Krnojelac</w:t>
      </w:r>
      <w:r w:rsidRPr="00B431DD">
        <w:rPr>
          <w:rFonts w:ascii="Times New Roman" w:eastAsia="Times New Roman" w:hAnsi="Times New Roman" w:cs="Times New Roman"/>
          <w:sz w:val="24"/>
          <w:szCs w:val="24"/>
          <w:lang w:val="en-US"/>
        </w:rPr>
        <w:t xml:space="preserve"> Trial and Appeal Chamber judgments and the </w:t>
      </w:r>
      <w:r w:rsidRPr="00B431DD">
        <w:rPr>
          <w:rFonts w:ascii="Times New Roman" w:eastAsia="Times New Roman" w:hAnsi="Times New Roman" w:cs="Times New Roman"/>
          <w:i/>
          <w:iCs/>
          <w:sz w:val="24"/>
          <w:szCs w:val="24"/>
          <w:lang w:val="en-US"/>
        </w:rPr>
        <w:t>Naletelić</w:t>
      </w:r>
      <w:r w:rsidRPr="00B431DD">
        <w:rPr>
          <w:rFonts w:ascii="Times New Roman" w:eastAsia="Times New Roman" w:hAnsi="Times New Roman" w:cs="Times New Roman"/>
          <w:sz w:val="24"/>
          <w:szCs w:val="24"/>
          <w:lang w:val="en-US"/>
        </w:rPr>
        <w:t xml:space="preserve"> trial judgment) found: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Trial Chambers of the Tribunal have held that the charge of “forced labour assignments” may constitute the basis of the crime of enslavement as a crime against humanity under Article 5 (c) [of the 1993 ICTY Statute], and the offence of slavery as a violation of the laws or customs of war under Article 3 of the Statute, and as such this offence is of sufficient gravity to support a charge of persecution. … The underlying acts of the charge of “forced labour assignments” infringe upon certain provisions of Geneva Conventions III and IV, and as such may constitute a violation of the laws or customs of war other than grave breaches of the Geneva Conventions, falling within the scope of Article 3 of the Statute. It is settled case-law of the Tribunal that the law of the Geneva Conventions is part of customary international law. … International humanitarian law generally prohibits forced or involuntary labour in international, as well as internal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2356" name="Imagen 23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Rašević case</w:t>
      </w:r>
      <w:r w:rsidRPr="00B431DD">
        <w:rPr>
          <w:rFonts w:ascii="Times New Roman" w:eastAsia="Times New Roman" w:hAnsi="Times New Roman" w:cs="Times New Roman"/>
          <w:sz w:val="24"/>
          <w:szCs w:val="24"/>
          <w:lang w:val="en-US"/>
        </w:rPr>
        <w:t xml:space="preserve"> before the ICTY in 2006, the accused, Mitar Rašević, commander of the guards at Kazneno-Popravni Dom (“KP Dom”, a detention centre in Foča, Bosnia and Herzegovina) until at least October 1994, and Savo Todović, deputy commander of the KP Dom until at least August 1994, were charged with enslavement as a crime against humanity, punishable under Article 5(c) of the 1993 ICTY Statute, and with slavery as a violation of the laws or customs of war, as recognized under the 1926 </w:t>
      </w:r>
      <w:r w:rsidRPr="00B431DD">
        <w:rPr>
          <w:rFonts w:ascii="Times New Roman" w:eastAsia="Times New Roman" w:hAnsi="Times New Roman" w:cs="Times New Roman"/>
          <w:sz w:val="24"/>
          <w:szCs w:val="24"/>
          <w:lang w:val="en-US"/>
        </w:rPr>
        <w:lastRenderedPageBreak/>
        <w:t>Slavery Convention and international customary law and punishable under Article 3 of the 1993 ICTY Statute.</w:t>
      </w:r>
      <w:r>
        <w:rPr>
          <w:rFonts w:ascii="Times New Roman" w:eastAsia="Times New Roman" w:hAnsi="Times New Roman" w:cs="Times New Roman"/>
          <w:noProof/>
          <w:sz w:val="24"/>
          <w:szCs w:val="24"/>
        </w:rPr>
        <w:drawing>
          <wp:inline distT="0" distB="0" distL="0" distR="0">
            <wp:extent cx="151130" cy="142875"/>
            <wp:effectExtent l="19050" t="0" r="1270" b="0"/>
            <wp:docPr id="2357" name="Imagen 23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51. From May 1992 until October 1994, [the accused], acting individually or in concert with other known and unknown members of the joint criminal enterprise … planned, instigated, ordered, committed or otherwise aided and abetted in the planning, preparation or execution of enslavement of Muslim and other non-Serb male detainees at the KP Dom facility. [The accused Todović] played a central role in the work done by the detainees. He was responsible for assigning work duties to the detainees and supervised these assignments on a daily basis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52. From May 1992 until October 1994, detainees with special skills were subjected to forced labour within and outside of the prison. To facilitate forced labour outside the KP Dom, [the accused Todović] co-operated with external military and civilian authorities, including the hand-over of detainees to military personnel. High-level prison staff at the KP Dom, including [the accused Rašević] and, in particular, [the accused Todović], assigned detainees to perform particular work …</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53. The guards called out selected detainees from their cells and either took them to their place of work or handed them over to authorities outside the prison hierarch to perform various work. The detainees were usually forced to work on a daily basis from 7 a.m. to at least 3 or 4 p.m. They were not paid for their work nor was it voluntary. Even ill or injured detainees were forced by [the accused Todović] personally to work. During their work, the detainees were under armed supervision either by the regular prison guards or by Serb soldiers.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54. Within the prison, the detainees had to work in the furniture factory and the metal and mechanical workshop. In the workshop, the detainees had to repair army vehicles. The labour performed by the detainees was challenging and physically exhausting.</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55. Outside the prison, the detainees were forced to perform farming jobs at the prison outpost Brioni, to work in mills and the Miljevina mine, and to clean up rubble of damaged buildings at various places in Foča. [The accused Rašević] was present while detainees were performing forced labour at the farm. During the winter of 1992 to 1993, detainees were forced to repair the private house of Milorad Krnojelac, the warden of the KP Dom, to install a bar in the house of one of his sons, and to furnish a store for one of his sons.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56. On 18 September 1992, detainees FWS-109 and G.K. were called out by a KP Dom guard for a supposed prisoner exchange. Instead, [the accused Todović] handed the two detainees over to military authorities from outside the prison who took them to the Kalinovik police station to be used as drivers for the detection of land mines. Between September 1992 and March 1993, on at least 5 occasions, they had to drive ahead of Serb convoys to detect land mines. The detainees worked under severe pressure with the danger that every day at work would be their last.</w:t>
      </w:r>
      <w:r>
        <w:rPr>
          <w:rFonts w:ascii="Times New Roman" w:eastAsia="Times New Roman" w:hAnsi="Times New Roman" w:cs="Times New Roman"/>
          <w:noProof/>
          <w:sz w:val="24"/>
          <w:szCs w:val="24"/>
        </w:rPr>
        <w:drawing>
          <wp:inline distT="0" distB="0" distL="0" distR="0">
            <wp:extent cx="151130" cy="142875"/>
            <wp:effectExtent l="19050" t="0" r="1270" b="0"/>
            <wp:docPr id="2358" name="Imagen 23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Special Court for Sierra Leone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Brima case</w:t>
      </w:r>
      <w:r w:rsidRPr="00B431DD">
        <w:rPr>
          <w:rFonts w:ascii="Times New Roman" w:eastAsia="Times New Roman" w:hAnsi="Times New Roman" w:cs="Times New Roman"/>
          <w:sz w:val="24"/>
          <w:szCs w:val="24"/>
          <w:lang w:val="en-US"/>
        </w:rPr>
        <w:t xml:space="preserve"> before the SCSL in 2005, the three accused, all former non-commissioned officers in the Sierra Leone Army who became senior members of the Armed Forces Revolutionary Council (AFRC) that seized power from the elected government of the Republic of Sierra Leone in May 1997, were charged with “[e]nslavement, a </w:t>
      </w:r>
      <w:r w:rsidRPr="00B431DD">
        <w:rPr>
          <w:rFonts w:ascii="Times New Roman" w:eastAsia="Times New Roman" w:hAnsi="Times New Roman" w:cs="Times New Roman"/>
          <w:b/>
          <w:bCs/>
          <w:sz w:val="24"/>
          <w:szCs w:val="24"/>
          <w:lang w:val="en-US"/>
        </w:rPr>
        <w:t>CRIME AGAINST HUMANITY</w:t>
      </w:r>
      <w:r w:rsidRPr="00B431DD">
        <w:rPr>
          <w:rFonts w:ascii="Times New Roman" w:eastAsia="Times New Roman" w:hAnsi="Times New Roman" w:cs="Times New Roman"/>
          <w:sz w:val="24"/>
          <w:szCs w:val="24"/>
          <w:lang w:val="en-US"/>
        </w:rPr>
        <w:t>, punishable under Article 2.c. of the [2002 Statute of the Special Court for Sierra Leone]”.</w:t>
      </w:r>
      <w:r>
        <w:rPr>
          <w:rFonts w:ascii="Times New Roman" w:eastAsia="Times New Roman" w:hAnsi="Times New Roman" w:cs="Times New Roman"/>
          <w:noProof/>
          <w:sz w:val="24"/>
          <w:szCs w:val="24"/>
        </w:rPr>
        <w:drawing>
          <wp:inline distT="0" distB="0" distL="0" distR="0">
            <wp:extent cx="151130" cy="142875"/>
            <wp:effectExtent l="19050" t="0" r="1270" b="0"/>
            <wp:docPr id="2359" name="Imagen 23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(emphasis in original)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739. Count 13 alleges the crime of enslavement by abductions and forced labour, not sexual slavery. Although sexual slavery can lead to a conviction for enslavement, the Trial Chamber has considered the crime of sexual slavery under Count 9 (Outrages upon Personal Dignity).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lastRenderedPageBreak/>
        <w:t>740. The Accused are charged under Count 13 with enslavement, a crime against humanity, punishable under Article 2(c) of the [2002 Statute of the Special Court for Sierra Leone], in that “[at] all times relevant to this Indictment, AFRC/RUF engaged in widespread and large scale abductions of civilians and use of civilians as forced labour. Forced labour included domestic labour and use as diamond miners.”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741. The Indictment alleges that the abductions and forced labour included the districts of Kenema, Kono, Koinadugu, Bombali, Kailahun, Freetown and the Western Area and Port Loko. It is alleged that the Accused, by their acts or omissions in relation to these events, pursuant to Article. 6(1) and, or alternatively, Article 6(3) of the [2002 Statute of the Special Court for Sierra Leone], are individually criminally responsible for the said crimes.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742. The crime of “enslavement” has long been criminalised under customary international law. The Slavery Convention of 1926 defined slavery as “the status or condition of a person over whom any or all of the powers attaching to the right of ownership are exercised.” Being an indication of “enslavement”, forced labour has been defined as “all work or service which is exacted from any person under the menace of any penalty and for which the said person has not offered himself voluntarily.”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743. “Enslavement” was listed both as a war crime and a crime against humanity in the Nuremberg Charter, with convictions entered on this count in a number of cases. The International Law Commission consistently included “enslavement” as a crime against humanity in its Draft Codes of Crimes Against the Peace and Security of Mankind. The ICTY Trial Chamber in the </w:t>
      </w:r>
      <w:r w:rsidRPr="00B431DD">
        <w:rPr>
          <w:rFonts w:ascii="Times New Roman" w:eastAsia="Times New Roman" w:hAnsi="Times New Roman" w:cs="Times New Roman"/>
          <w:i/>
          <w:iCs/>
          <w:sz w:val="24"/>
          <w:szCs w:val="24"/>
          <w:lang w:val="en-US"/>
        </w:rPr>
        <w:t xml:space="preserve">Krnojelac </w:t>
      </w:r>
      <w:r w:rsidRPr="00B431DD">
        <w:rPr>
          <w:rFonts w:ascii="Times New Roman" w:eastAsia="Times New Roman" w:hAnsi="Times New Roman" w:cs="Times New Roman"/>
          <w:sz w:val="24"/>
          <w:szCs w:val="24"/>
          <w:lang w:val="en-US"/>
        </w:rPr>
        <w:t xml:space="preserve">case held that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the express prohibition of slavery in Additional Protocol II of 1977, which relates to internal armed conflicts, confirms the conclusion that slavery is prohibited by customary international humanitarian law outside the context of a crime against humanity. The Trial Chamber considers that the prohibition against slavery in situations of armed conflict is an inalienable, non-derogable (sic) and fundamental right, one of the core rules of general customary and conventional international law. [</w:t>
      </w:r>
      <w:r w:rsidRPr="004D5C23">
        <w:rPr>
          <w:rFonts w:ascii="Times New Roman" w:eastAsia="Times New Roman" w:hAnsi="Times New Roman" w:cs="Times New Roman"/>
          <w:i/>
          <w:iCs/>
          <w:sz w:val="24"/>
          <w:szCs w:val="24"/>
          <w:lang w:val="en-US"/>
        </w:rPr>
        <w:t xml:space="preserve">Krnojelac </w:t>
      </w:r>
      <w:r w:rsidRPr="004D5C23">
        <w:rPr>
          <w:rFonts w:ascii="Times New Roman" w:eastAsia="Times New Roman" w:hAnsi="Times New Roman" w:cs="Times New Roman"/>
          <w:sz w:val="24"/>
          <w:szCs w:val="24"/>
          <w:lang w:val="en-US"/>
        </w:rPr>
        <w:t>Trial Judgement, § 353].</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 Elements of the crime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744. In </w:t>
      </w:r>
      <w:r w:rsidRPr="00B431DD">
        <w:rPr>
          <w:rFonts w:ascii="Times New Roman" w:eastAsia="Times New Roman" w:hAnsi="Times New Roman" w:cs="Times New Roman"/>
          <w:i/>
          <w:iCs/>
          <w:sz w:val="24"/>
          <w:szCs w:val="24"/>
          <w:lang w:val="en-US"/>
        </w:rPr>
        <w:t>Kunarac</w:t>
      </w:r>
      <w:r w:rsidRPr="00B431DD">
        <w:rPr>
          <w:rFonts w:ascii="Times New Roman" w:eastAsia="Times New Roman" w:hAnsi="Times New Roman" w:cs="Times New Roman"/>
          <w:sz w:val="24"/>
          <w:szCs w:val="24"/>
          <w:lang w:val="en-US"/>
        </w:rPr>
        <w:t>, the ICTY Trial Chamber held that “enslavement as a crime against humanity in customary international law consisted of the exercise of any or all of the powers attaching to the right of ownership over a person” (</w:t>
      </w:r>
      <w:r w:rsidRPr="00B431DD">
        <w:rPr>
          <w:rFonts w:ascii="Times New Roman" w:eastAsia="Times New Roman" w:hAnsi="Times New Roman" w:cs="Times New Roman"/>
          <w:i/>
          <w:iCs/>
          <w:sz w:val="24"/>
          <w:szCs w:val="24"/>
          <w:lang w:val="en-US"/>
        </w:rPr>
        <w:t>actus reus</w:t>
      </w:r>
      <w:r w:rsidRPr="00B431DD">
        <w:rPr>
          <w:rFonts w:ascii="Times New Roman" w:eastAsia="Times New Roman" w:hAnsi="Times New Roman" w:cs="Times New Roman"/>
          <w:sz w:val="24"/>
          <w:szCs w:val="24"/>
          <w:lang w:val="en-US"/>
        </w:rPr>
        <w:t xml:space="preserve">), while the </w:t>
      </w:r>
      <w:r w:rsidRPr="00B431DD">
        <w:rPr>
          <w:rFonts w:ascii="Times New Roman" w:eastAsia="Times New Roman" w:hAnsi="Times New Roman" w:cs="Times New Roman"/>
          <w:i/>
          <w:iCs/>
          <w:sz w:val="24"/>
          <w:szCs w:val="24"/>
          <w:lang w:val="en-US"/>
        </w:rPr>
        <w:t xml:space="preserve">mens rea </w:t>
      </w:r>
      <w:r w:rsidRPr="00B431DD">
        <w:rPr>
          <w:rFonts w:ascii="Times New Roman" w:eastAsia="Times New Roman" w:hAnsi="Times New Roman" w:cs="Times New Roman"/>
          <w:sz w:val="24"/>
          <w:szCs w:val="24"/>
          <w:lang w:val="en-US"/>
        </w:rPr>
        <w:t>of the violation consists in the intentional exercise of such powers”.</w:t>
      </w:r>
      <w:r w:rsidRPr="00B431DD">
        <w:rPr>
          <w:rFonts w:ascii="Times New Roman" w:eastAsia="Times New Roman" w:hAnsi="Times New Roman" w:cs="Times New Roman"/>
          <w:i/>
          <w:iCs/>
          <w:sz w:val="24"/>
          <w:szCs w:val="24"/>
          <w:lang w:val="en-US"/>
        </w:rPr>
        <w:t xml:space="preserve"> </w:t>
      </w: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 xml:space="preserve">Kunarac </w:t>
      </w:r>
      <w:r w:rsidRPr="00B431DD">
        <w:rPr>
          <w:rFonts w:ascii="Times New Roman" w:eastAsia="Times New Roman" w:hAnsi="Times New Roman" w:cs="Times New Roman"/>
          <w:sz w:val="24"/>
          <w:szCs w:val="24"/>
          <w:lang w:val="en-US"/>
        </w:rPr>
        <w:t>Trial Judgement, § 540]</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745. The </w:t>
      </w:r>
      <w:r w:rsidRPr="00B431DD">
        <w:rPr>
          <w:rFonts w:ascii="Times New Roman" w:eastAsia="Times New Roman" w:hAnsi="Times New Roman" w:cs="Times New Roman"/>
          <w:i/>
          <w:iCs/>
          <w:sz w:val="24"/>
          <w:szCs w:val="24"/>
          <w:lang w:val="en-US"/>
        </w:rPr>
        <w:t xml:space="preserve">Kunarac </w:t>
      </w:r>
      <w:r w:rsidRPr="00B431DD">
        <w:rPr>
          <w:rFonts w:ascii="Times New Roman" w:eastAsia="Times New Roman" w:hAnsi="Times New Roman" w:cs="Times New Roman"/>
          <w:sz w:val="24"/>
          <w:szCs w:val="24"/>
          <w:lang w:val="en-US"/>
        </w:rPr>
        <w:t xml:space="preserve">Trial Chamber held that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“[u]nder this definition, indications of enslavement include elements of control and ownership; the restriction or control of an individual’s autonomy, freedom of choice or freedom of movement; and, often, the accruing of some gain to the perpetrator. The consent or free will of the victim is absent. It is often rendered impossible or irrelevant by, for example, the threat or use of force or other forms of coercion; the fear of violence, deception or false promises; the abuse of power; the victim’s position of vulnerability; detention or captivity, psychological oppression or socio-economic conditions. Further indications of enslavement include exploitation; the exaction of forced or compulsory labour or service, often without remuneration and often, though not necessarily, involving physical hardship; sex; prostitution; and human trafficking.” [</w:t>
      </w:r>
      <w:r w:rsidRPr="004D5C23">
        <w:rPr>
          <w:rFonts w:ascii="Times New Roman" w:eastAsia="Times New Roman" w:hAnsi="Times New Roman" w:cs="Times New Roman"/>
          <w:i/>
          <w:iCs/>
          <w:sz w:val="24"/>
          <w:szCs w:val="24"/>
          <w:lang w:val="en-US"/>
        </w:rPr>
        <w:t xml:space="preserve">Kunarac </w:t>
      </w:r>
      <w:r w:rsidRPr="004D5C23">
        <w:rPr>
          <w:rFonts w:ascii="Times New Roman" w:eastAsia="Times New Roman" w:hAnsi="Times New Roman" w:cs="Times New Roman"/>
          <w:sz w:val="24"/>
          <w:szCs w:val="24"/>
          <w:lang w:val="en-US"/>
        </w:rPr>
        <w:t>Judgement, § 542].</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746. The ICTY Appeals Chamber further clarified this definition by finding that “lack of consent” is not an element of the crime of enslavement, although it may be a significant issue in terms of evidence of the status of the alleged victim. [</w:t>
      </w:r>
      <w:r w:rsidRPr="00B431DD">
        <w:rPr>
          <w:rFonts w:ascii="Times New Roman" w:eastAsia="Times New Roman" w:hAnsi="Times New Roman" w:cs="Times New Roman"/>
          <w:i/>
          <w:iCs/>
          <w:sz w:val="24"/>
          <w:szCs w:val="24"/>
          <w:lang w:val="en-US"/>
        </w:rPr>
        <w:t xml:space="preserve">Kunarac </w:t>
      </w:r>
      <w:r w:rsidRPr="00B431DD">
        <w:rPr>
          <w:rFonts w:ascii="Times New Roman" w:eastAsia="Times New Roman" w:hAnsi="Times New Roman" w:cs="Times New Roman"/>
          <w:sz w:val="24"/>
          <w:szCs w:val="24"/>
          <w:lang w:val="en-US"/>
        </w:rPr>
        <w:lastRenderedPageBreak/>
        <w:t>Appeal Judgement, §. 120].</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747. The definition set forth in </w:t>
      </w:r>
      <w:r w:rsidRPr="00B431DD">
        <w:rPr>
          <w:rFonts w:ascii="Times New Roman" w:eastAsia="Times New Roman" w:hAnsi="Times New Roman" w:cs="Times New Roman"/>
          <w:i/>
          <w:iCs/>
          <w:sz w:val="24"/>
          <w:szCs w:val="24"/>
          <w:lang w:val="en-US"/>
        </w:rPr>
        <w:t xml:space="preserve">Kunarac </w:t>
      </w:r>
      <w:r w:rsidRPr="00B431DD">
        <w:rPr>
          <w:rFonts w:ascii="Times New Roman" w:eastAsia="Times New Roman" w:hAnsi="Times New Roman" w:cs="Times New Roman"/>
          <w:sz w:val="24"/>
          <w:szCs w:val="24"/>
          <w:lang w:val="en-US"/>
        </w:rPr>
        <w:t xml:space="preserve">was later reiterated in </w:t>
      </w:r>
      <w:r w:rsidRPr="00B431DD">
        <w:rPr>
          <w:rFonts w:ascii="Times New Roman" w:eastAsia="Times New Roman" w:hAnsi="Times New Roman" w:cs="Times New Roman"/>
          <w:i/>
          <w:iCs/>
          <w:sz w:val="24"/>
          <w:szCs w:val="24"/>
          <w:lang w:val="en-US"/>
        </w:rPr>
        <w:t>Krnojelac</w:t>
      </w:r>
      <w:r w:rsidRPr="00B431DD">
        <w:rPr>
          <w:rFonts w:ascii="Times New Roman" w:eastAsia="Times New Roman" w:hAnsi="Times New Roman" w:cs="Times New Roman"/>
          <w:sz w:val="24"/>
          <w:szCs w:val="24"/>
          <w:lang w:val="en-US"/>
        </w:rPr>
        <w:t xml:space="preserve">, in which it was stated that enslavement as a crime against humanity was the “exercise of any or all of the powers attaching to the right of ownership over a person. The </w:t>
      </w:r>
      <w:r w:rsidRPr="00B431DD">
        <w:rPr>
          <w:rFonts w:ascii="Times New Roman" w:eastAsia="Times New Roman" w:hAnsi="Times New Roman" w:cs="Times New Roman"/>
          <w:i/>
          <w:iCs/>
          <w:sz w:val="24"/>
          <w:szCs w:val="24"/>
          <w:lang w:val="en-US"/>
        </w:rPr>
        <w:t xml:space="preserve">actus reus </w:t>
      </w:r>
      <w:r w:rsidRPr="00B431DD">
        <w:rPr>
          <w:rFonts w:ascii="Times New Roman" w:eastAsia="Times New Roman" w:hAnsi="Times New Roman" w:cs="Times New Roman"/>
          <w:sz w:val="24"/>
          <w:szCs w:val="24"/>
          <w:lang w:val="en-US"/>
        </w:rPr>
        <w:t xml:space="preserve">of enslavement is the exercise of those powers, and the </w:t>
      </w:r>
      <w:r w:rsidRPr="00B431DD">
        <w:rPr>
          <w:rFonts w:ascii="Times New Roman" w:eastAsia="Times New Roman" w:hAnsi="Times New Roman" w:cs="Times New Roman"/>
          <w:i/>
          <w:iCs/>
          <w:sz w:val="24"/>
          <w:szCs w:val="24"/>
          <w:lang w:val="en-US"/>
        </w:rPr>
        <w:t xml:space="preserve">mens rea </w:t>
      </w:r>
      <w:r w:rsidRPr="00B431DD">
        <w:rPr>
          <w:rFonts w:ascii="Times New Roman" w:eastAsia="Times New Roman" w:hAnsi="Times New Roman" w:cs="Times New Roman"/>
          <w:sz w:val="24"/>
          <w:szCs w:val="24"/>
          <w:lang w:val="en-US"/>
        </w:rPr>
        <w:t>is the intentional exercise of such powers.”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748. In </w:t>
      </w:r>
      <w:r w:rsidRPr="00B431DD">
        <w:rPr>
          <w:rFonts w:ascii="Times New Roman" w:eastAsia="Times New Roman" w:hAnsi="Times New Roman" w:cs="Times New Roman"/>
          <w:i/>
          <w:iCs/>
          <w:sz w:val="24"/>
          <w:szCs w:val="24"/>
          <w:lang w:val="en-US"/>
        </w:rPr>
        <w:t>Krnojelac</w:t>
      </w:r>
      <w:r w:rsidRPr="00B431DD">
        <w:rPr>
          <w:rFonts w:ascii="Times New Roman" w:eastAsia="Times New Roman" w:hAnsi="Times New Roman" w:cs="Times New Roman"/>
          <w:sz w:val="24"/>
          <w:szCs w:val="24"/>
          <w:lang w:val="en-US"/>
        </w:rPr>
        <w:t>, the allegations concerned enslavement for the purpose of forced labour. It was held by the Chamber that to establish forced labour constituting enslavement, the Prosecutor must demonstrate that “the Accused (or persons for whose actions he is criminally responsible) forced the detainees to work, that he (or they) exercised any or all of the powers attaching to the right of ownership over them, and that he (or they) exercised those powers intentionally.”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749. In addition to the chapeau requirements of Crimes against Humanity pursuant to Article 2 of the [2002 Statute of the Special Court for Sierra Leone], the Trial Chamber therefore adopts the following elements of the crime of enslavement: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1. The perpetrator exercised any or all of the powers attaching to the right of ownership over one or more persons, such as by purchasing, selling, lending or bartering such a person or persons, or by imposing on them a similar deprivation of liberty;</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2. the intentional exercise of such powers.</w:t>
      </w:r>
      <w:r>
        <w:rPr>
          <w:rFonts w:ascii="Times New Roman" w:eastAsia="Times New Roman" w:hAnsi="Times New Roman" w:cs="Times New Roman"/>
          <w:noProof/>
          <w:sz w:val="24"/>
          <w:szCs w:val="24"/>
        </w:rPr>
        <w:drawing>
          <wp:inline distT="0" distB="0" distL="0" distR="0">
            <wp:extent cx="151130" cy="142875"/>
            <wp:effectExtent l="19050" t="0" r="1270" b="0"/>
            <wp:docPr id="2360" name="Imagen 23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Sesay case</w:t>
      </w:r>
      <w:r w:rsidRPr="00B431DD">
        <w:rPr>
          <w:rFonts w:ascii="Times New Roman" w:eastAsia="Times New Roman" w:hAnsi="Times New Roman" w:cs="Times New Roman"/>
          <w:sz w:val="24"/>
          <w:szCs w:val="24"/>
          <w:lang w:val="en-US"/>
        </w:rPr>
        <w:t xml:space="preserve"> before the SCSL, the accused Sesay and Kallon, senior commanders in the Revolutionary United Front (RUF), Junta and Armed Forces Revolutionary Council (AFRC)/RUF forces, and the accused Gbao, senior commander in the RUF and AFRC/RUF forces, were each charged with eight counts of crimes against humanity, eight counts of war crimes, and two counts of other serious violations of international humanitarian law. In its judgment in the case in 2009, the Trial Chamber set out the definition of the crime of enslavement, stating:</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196. This Chamber agrees with the ICTY Trial Chamber in </w:t>
      </w:r>
      <w:r w:rsidRPr="00B431DD">
        <w:rPr>
          <w:rFonts w:ascii="Times New Roman" w:eastAsia="Times New Roman" w:hAnsi="Times New Roman" w:cs="Times New Roman"/>
          <w:i/>
          <w:iCs/>
          <w:sz w:val="24"/>
          <w:szCs w:val="24"/>
          <w:lang w:val="en-US"/>
        </w:rPr>
        <w:t>Krnojelac</w:t>
      </w:r>
      <w:r w:rsidRPr="00B431DD">
        <w:rPr>
          <w:rFonts w:ascii="Times New Roman" w:eastAsia="Times New Roman" w:hAnsi="Times New Roman" w:cs="Times New Roman"/>
          <w:sz w:val="24"/>
          <w:szCs w:val="24"/>
          <w:lang w:val="en-US"/>
        </w:rPr>
        <w:t xml:space="preserve"> that the “prohibition against slavery in situations of armed conflict is an inalienable, non-derogable and fundamental right, one of the core rules of general customary and conventional international law.” [ICTY, </w:t>
      </w:r>
      <w:r w:rsidRPr="00B431DD">
        <w:rPr>
          <w:rFonts w:ascii="Times New Roman" w:eastAsia="Times New Roman" w:hAnsi="Times New Roman" w:cs="Times New Roman"/>
          <w:i/>
          <w:iCs/>
          <w:sz w:val="24"/>
          <w:szCs w:val="24"/>
          <w:lang w:val="en-US"/>
        </w:rPr>
        <w:t>Krnojelac case</w:t>
      </w:r>
      <w:r w:rsidRPr="00B431DD">
        <w:rPr>
          <w:rFonts w:ascii="Times New Roman" w:eastAsia="Times New Roman" w:hAnsi="Times New Roman" w:cs="Times New Roman"/>
          <w:sz w:val="24"/>
          <w:szCs w:val="24"/>
          <w:lang w:val="en-US"/>
        </w:rPr>
        <w:t>, Judgement, § 353] The Chamber considers that the offence of enslavement exists at customary international law and entails individual criminal responsibility.</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197. In the Chamber’s Rule 98 Decision in this case, the Chamber held that the elements of the crime of enslavement are as follows: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 The Accused exercised any or all of the powers attaching to the right of ownership over a person, such as by purchasing, selling, lending or bartering such person or persons, or by imposing on them a similar deprivation of liberty; and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(ii) The Accused intended to exercise the act of enslavement or acted in the reasonable knowledge that this was likely to occur. [SCSL, </w:t>
      </w:r>
      <w:r w:rsidRPr="004D5C23">
        <w:rPr>
          <w:rFonts w:ascii="Times New Roman" w:eastAsia="Times New Roman" w:hAnsi="Times New Roman" w:cs="Times New Roman"/>
          <w:i/>
          <w:iCs/>
          <w:sz w:val="24"/>
          <w:szCs w:val="24"/>
          <w:lang w:val="en-US"/>
        </w:rPr>
        <w:t>Sesay case</w:t>
      </w:r>
      <w:r w:rsidRPr="004D5C23">
        <w:rPr>
          <w:rFonts w:ascii="Times New Roman" w:eastAsia="Times New Roman" w:hAnsi="Times New Roman" w:cs="Times New Roman"/>
          <w:sz w:val="24"/>
          <w:szCs w:val="24"/>
          <w:lang w:val="en-US"/>
        </w:rPr>
        <w:t>, Oral Rule 98 Decision, Transcript of 25 October 2006, page 31]</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198. The </w:t>
      </w:r>
      <w:r w:rsidRPr="00B431DD">
        <w:rPr>
          <w:rFonts w:ascii="Times New Roman" w:eastAsia="Times New Roman" w:hAnsi="Times New Roman" w:cs="Times New Roman"/>
          <w:i/>
          <w:iCs/>
          <w:sz w:val="24"/>
          <w:szCs w:val="24"/>
          <w:lang w:val="en-US"/>
        </w:rPr>
        <w:t xml:space="preserve">actus reus </w:t>
      </w:r>
      <w:r w:rsidRPr="00B431DD">
        <w:rPr>
          <w:rFonts w:ascii="Times New Roman" w:eastAsia="Times New Roman" w:hAnsi="Times New Roman" w:cs="Times New Roman"/>
          <w:sz w:val="24"/>
          <w:szCs w:val="24"/>
          <w:lang w:val="en-US"/>
        </w:rPr>
        <w:t xml:space="preserve">of the offence is that the Accused exercised any or all of the powers attaching to the right of ownership over a person or persons while the </w:t>
      </w:r>
      <w:r w:rsidRPr="00B431DD">
        <w:rPr>
          <w:rFonts w:ascii="Times New Roman" w:eastAsia="Times New Roman" w:hAnsi="Times New Roman" w:cs="Times New Roman"/>
          <w:i/>
          <w:iCs/>
          <w:sz w:val="24"/>
          <w:szCs w:val="24"/>
          <w:lang w:val="en-US"/>
        </w:rPr>
        <w:t>mens rea</w:t>
      </w:r>
      <w:r w:rsidRPr="00B431DD">
        <w:rPr>
          <w:rFonts w:ascii="Times New Roman" w:eastAsia="Times New Roman" w:hAnsi="Times New Roman" w:cs="Times New Roman"/>
          <w:sz w:val="24"/>
          <w:szCs w:val="24"/>
          <w:lang w:val="en-US"/>
        </w:rPr>
        <w:t xml:space="preserve"> is the intention to exercise such powers.</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199. In determining whether or not enslavement has occurred, the Chamber is mindful of the following indicia of enslavement that have been identified by the ICTY in the </w:t>
      </w:r>
      <w:r w:rsidRPr="00B431DD">
        <w:rPr>
          <w:rFonts w:ascii="Times New Roman" w:eastAsia="Times New Roman" w:hAnsi="Times New Roman" w:cs="Times New Roman"/>
          <w:i/>
          <w:iCs/>
          <w:sz w:val="24"/>
          <w:szCs w:val="24"/>
          <w:lang w:val="en-US"/>
        </w:rPr>
        <w:t>Kunarac et al</w:t>
      </w:r>
      <w:r w:rsidRPr="00B431DD">
        <w:rPr>
          <w:rFonts w:ascii="Times New Roman" w:eastAsia="Times New Roman" w:hAnsi="Times New Roman" w:cs="Times New Roman"/>
          <w:sz w:val="24"/>
          <w:szCs w:val="24"/>
          <w:lang w:val="en-US"/>
        </w:rPr>
        <w:t xml:space="preserve">. case: “control of someone’s movement, control of physical environment, psychological control, measures taken to prevent or deter escape, force, threat of force or coercion, duration, assertion of exclusivity, subjection to cruel treatment and abuse, control of sexuality and forced labour.” [ICTY, </w:t>
      </w:r>
      <w:r w:rsidRPr="00B431DD">
        <w:rPr>
          <w:rFonts w:ascii="Times New Roman" w:eastAsia="Times New Roman" w:hAnsi="Times New Roman" w:cs="Times New Roman"/>
          <w:i/>
          <w:iCs/>
          <w:sz w:val="24"/>
          <w:szCs w:val="24"/>
          <w:lang w:val="en-US"/>
        </w:rPr>
        <w:t>Kunarac case</w:t>
      </w:r>
      <w:r w:rsidRPr="00B431DD">
        <w:rPr>
          <w:rFonts w:ascii="Times New Roman" w:eastAsia="Times New Roman" w:hAnsi="Times New Roman" w:cs="Times New Roman"/>
          <w:sz w:val="24"/>
          <w:szCs w:val="24"/>
          <w:lang w:val="en-US"/>
        </w:rPr>
        <w:t>, Judgement, § 543]</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200. The Chamber observes that the lack of consent of the victim is not an element to be </w:t>
      </w:r>
      <w:r w:rsidRPr="00B431DD">
        <w:rPr>
          <w:rFonts w:ascii="Times New Roman" w:eastAsia="Times New Roman" w:hAnsi="Times New Roman" w:cs="Times New Roman"/>
          <w:sz w:val="24"/>
          <w:szCs w:val="24"/>
          <w:lang w:val="en-US"/>
        </w:rPr>
        <w:lastRenderedPageBreak/>
        <w:t xml:space="preserve">proved by the Prosecution; although whether or not there was consent may be relevant from an evidentiary perspective. The Chamber considers that “circumstances which render it impossible to express consent may be sufficient to presume the absence of consent.” [ICTY, </w:t>
      </w:r>
      <w:r w:rsidRPr="00B431DD">
        <w:rPr>
          <w:rFonts w:ascii="Times New Roman" w:eastAsia="Times New Roman" w:hAnsi="Times New Roman" w:cs="Times New Roman"/>
          <w:i/>
          <w:iCs/>
          <w:sz w:val="24"/>
          <w:szCs w:val="24"/>
          <w:lang w:val="en-US"/>
        </w:rPr>
        <w:t>Kunarac case</w:t>
      </w:r>
      <w:r w:rsidRPr="00B431DD">
        <w:rPr>
          <w:rFonts w:ascii="Times New Roman" w:eastAsia="Times New Roman" w:hAnsi="Times New Roman" w:cs="Times New Roman"/>
          <w:sz w:val="24"/>
          <w:szCs w:val="24"/>
          <w:lang w:val="en-US"/>
        </w:rPr>
        <w:t>, Judgement on Appeal, § 120] Similarly, there is no requisite duration of the relationship between the Accused and the victim that must exist in order to establish enslavement. The duration may, however, be relevant in determining the quality of the relationship.</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201. We hold that the </w:t>
      </w:r>
      <w:r w:rsidRPr="00B431DD">
        <w:rPr>
          <w:rFonts w:ascii="Times New Roman" w:eastAsia="Times New Roman" w:hAnsi="Times New Roman" w:cs="Times New Roman"/>
          <w:i/>
          <w:iCs/>
          <w:sz w:val="24"/>
          <w:szCs w:val="24"/>
          <w:lang w:val="en-US"/>
        </w:rPr>
        <w:t>mens rea</w:t>
      </w:r>
      <w:r w:rsidRPr="00B431DD">
        <w:rPr>
          <w:rFonts w:ascii="Times New Roman" w:eastAsia="Times New Roman" w:hAnsi="Times New Roman" w:cs="Times New Roman"/>
          <w:sz w:val="24"/>
          <w:szCs w:val="24"/>
          <w:lang w:val="en-US"/>
        </w:rPr>
        <w:t xml:space="preserve"> of the crime of enslavement consists of the intention to exercise the act of enslavement or to act in the reasonable knowledge that this was likely to occur. As the absence of consent is not an element of the offence, the knowledge on the part of the Accused of this absence of consent is not an element of the offence either.</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202. … [T]he Chamber notes that not all labour by civilians during an armed conflict is prohibited – the prohibition is only against forced or involuntary labour. “What must be established is that the relevant persons had no real choice as to whether they would work.” [ICTY, </w:t>
      </w:r>
      <w:r w:rsidRPr="00B431DD">
        <w:rPr>
          <w:rFonts w:ascii="Times New Roman" w:eastAsia="Times New Roman" w:hAnsi="Times New Roman" w:cs="Times New Roman"/>
          <w:i/>
          <w:iCs/>
          <w:sz w:val="24"/>
          <w:szCs w:val="24"/>
          <w:lang w:val="en-US"/>
        </w:rPr>
        <w:t>Krnojelac case</w:t>
      </w:r>
      <w:r w:rsidRPr="00B431DD">
        <w:rPr>
          <w:rFonts w:ascii="Times New Roman" w:eastAsia="Times New Roman" w:hAnsi="Times New Roman" w:cs="Times New Roman"/>
          <w:sz w:val="24"/>
          <w:szCs w:val="24"/>
          <w:lang w:val="en-US"/>
        </w:rPr>
        <w:t>, Judgement, § 359] Whether the labour was forced and constituted enslavement is a factual determination that must be made in light of the indicia of enslavement outlined above. However, the subjective belief of labourers that they were forced to work is not sufficient to establish lack of consent, but must be supported by objective evidence.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203. The Chamber, like the ICTY Appeals Chamber before it, considers it relevant to quote from the </w:t>
      </w:r>
      <w:r w:rsidRPr="00B431DD">
        <w:rPr>
          <w:rFonts w:ascii="Times New Roman" w:eastAsia="Times New Roman" w:hAnsi="Times New Roman" w:cs="Times New Roman"/>
          <w:i/>
          <w:iCs/>
          <w:sz w:val="24"/>
          <w:szCs w:val="24"/>
          <w:lang w:val="en-US"/>
        </w:rPr>
        <w:t>Pohl</w:t>
      </w:r>
      <w:r w:rsidRPr="00B431DD">
        <w:rPr>
          <w:rFonts w:ascii="Times New Roman" w:eastAsia="Times New Roman" w:hAnsi="Times New Roman" w:cs="Times New Roman"/>
          <w:sz w:val="24"/>
          <w:szCs w:val="24"/>
          <w:lang w:val="en-US"/>
        </w:rPr>
        <w:t xml:space="preserve"> case on the nature of enslavement:</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Slavery may exist even without torture. Slaves may be well fed, well clothed, and comfortably housed, but they are still slaves if without lawful process they are deprived of their freedom by forceful restraint. We might eliminate all proof of ill treatment, overlook the starvation, beatings, and other barbarous acts, but the admitted fact of slavery – compulsory uncompensated labour – would still remain. There is no such thing as benevolent slavery. Involuntary servitude, even if tempered by humane treatment, is still slavery.</w:t>
      </w:r>
      <w:r>
        <w:rPr>
          <w:rFonts w:ascii="Times New Roman" w:eastAsia="Times New Roman" w:hAnsi="Times New Roman" w:cs="Times New Roman"/>
          <w:noProof/>
          <w:sz w:val="24"/>
          <w:szCs w:val="24"/>
        </w:rPr>
        <w:drawing>
          <wp:inline distT="0" distB="0" distL="0" distR="0">
            <wp:extent cx="151130" cy="142875"/>
            <wp:effectExtent l="19050" t="0" r="1270" b="0"/>
            <wp:docPr id="2361" name="Imagen 23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[footnotes in original omitted]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Appeals Chamber observes that lack of remuneration is not an element of the crime against humanity of enslavement under Article 2.c of the [2002] Statute [of the Special Court for Sierra Leone]. Rather, absence of remuneration for labour allegedly underlying the offence may constitute a relevant evidentiary factor in determining whether the labour was forced, which in turn may be an indicia of whether enslavement has been committed. In this regard, the Appeals Chamber endorses the Trial Chamber’s reference to the </w:t>
      </w:r>
      <w:r w:rsidRPr="00B431DD">
        <w:rPr>
          <w:rFonts w:ascii="Times New Roman" w:eastAsia="Times New Roman" w:hAnsi="Times New Roman" w:cs="Times New Roman"/>
          <w:i/>
          <w:iCs/>
          <w:sz w:val="24"/>
          <w:szCs w:val="24"/>
          <w:lang w:val="en-US"/>
        </w:rPr>
        <w:t>Kunarac et al</w:t>
      </w:r>
      <w:r w:rsidRPr="00B431DD">
        <w:rPr>
          <w:rFonts w:ascii="Times New Roman" w:eastAsia="Times New Roman" w:hAnsi="Times New Roman" w:cs="Times New Roman"/>
          <w:sz w:val="24"/>
          <w:szCs w:val="24"/>
          <w:lang w:val="en-US"/>
        </w:rPr>
        <w:t xml:space="preserve">. Appeal Judgment, which quoted the following passage from the </w:t>
      </w:r>
      <w:r w:rsidRPr="00B431DD">
        <w:rPr>
          <w:rFonts w:ascii="Times New Roman" w:eastAsia="Times New Roman" w:hAnsi="Times New Roman" w:cs="Times New Roman"/>
          <w:i/>
          <w:iCs/>
          <w:sz w:val="24"/>
          <w:szCs w:val="24"/>
          <w:lang w:val="en-US"/>
        </w:rPr>
        <w:t>Pohl</w:t>
      </w:r>
      <w:r w:rsidRPr="00B431DD">
        <w:rPr>
          <w:rFonts w:ascii="Times New Roman" w:eastAsia="Times New Roman" w:hAnsi="Times New Roman" w:cs="Times New Roman"/>
          <w:sz w:val="24"/>
          <w:szCs w:val="24"/>
          <w:lang w:val="en-US"/>
        </w:rPr>
        <w:t xml:space="preserve"> case: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Slavery may exist even without torture. Slaves may be well fed, well clothed, and comfortably housed, but they are still slaves if without lawful process they are deprived of their freedom by forceful restraint. We might eliminate all proof of ill-treatment, overlook the starvation, beatings, and other barbarous acts, but the admitted fact of slavery – compulsory uncompensated labour – would still remain. There is no such thing as benevolent slavery. Involuntary servitude, even if tempered by humane treatment, is still slavery [ICTY, </w:t>
      </w:r>
      <w:r w:rsidRPr="004D5C23">
        <w:rPr>
          <w:rFonts w:ascii="Times New Roman" w:eastAsia="Times New Roman" w:hAnsi="Times New Roman" w:cs="Times New Roman"/>
          <w:i/>
          <w:iCs/>
          <w:sz w:val="24"/>
          <w:szCs w:val="24"/>
          <w:lang w:val="en-US"/>
        </w:rPr>
        <w:t>Kunarac case</w:t>
      </w:r>
      <w:r w:rsidRPr="004D5C23">
        <w:rPr>
          <w:rFonts w:ascii="Times New Roman" w:eastAsia="Times New Roman" w:hAnsi="Times New Roman" w:cs="Times New Roman"/>
          <w:sz w:val="24"/>
          <w:szCs w:val="24"/>
          <w:lang w:val="en-US"/>
        </w:rPr>
        <w:t>, Judgement on Appeal, § 123].</w:t>
      </w:r>
      <w:r>
        <w:rPr>
          <w:rFonts w:ascii="Times New Roman" w:eastAsia="Times New Roman" w:hAnsi="Times New Roman" w:cs="Times New Roman"/>
          <w:noProof/>
          <w:sz w:val="24"/>
          <w:szCs w:val="24"/>
        </w:rPr>
        <w:drawing>
          <wp:inline distT="0" distB="0" distL="0" distR="0">
            <wp:extent cx="151130" cy="142875"/>
            <wp:effectExtent l="19050" t="0" r="1270" b="0"/>
            <wp:docPr id="2362" name="Imagen 23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[footnotes in original omitted]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Extraordinary Chambers in the Courts of Cambodia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the </w:t>
      </w:r>
      <w:r w:rsidRPr="00B431DD">
        <w:rPr>
          <w:rFonts w:ascii="Times New Roman" w:eastAsia="Times New Roman" w:hAnsi="Times New Roman" w:cs="Times New Roman"/>
          <w:i/>
          <w:iCs/>
          <w:sz w:val="24"/>
          <w:szCs w:val="24"/>
          <w:lang w:val="en-US"/>
        </w:rPr>
        <w:t>Kaing case</w:t>
      </w:r>
      <w:r w:rsidRPr="00B431DD">
        <w:rPr>
          <w:rFonts w:ascii="Times New Roman" w:eastAsia="Times New Roman" w:hAnsi="Times New Roman" w:cs="Times New Roman"/>
          <w:sz w:val="24"/>
          <w:szCs w:val="24"/>
          <w:lang w:val="en-US"/>
        </w:rPr>
        <w:t xml:space="preserve"> before the ECCC, the accused was charged, both individually and as a superior, with, </w:t>
      </w:r>
      <w:r w:rsidRPr="00B431DD">
        <w:rPr>
          <w:rFonts w:ascii="Times New Roman" w:eastAsia="Times New Roman" w:hAnsi="Times New Roman" w:cs="Times New Roman"/>
          <w:i/>
          <w:iCs/>
          <w:sz w:val="24"/>
          <w:szCs w:val="24"/>
          <w:lang w:val="en-US"/>
        </w:rPr>
        <w:t>inter alia</w:t>
      </w:r>
      <w:r w:rsidRPr="00B431DD">
        <w:rPr>
          <w:rFonts w:ascii="Times New Roman" w:eastAsia="Times New Roman" w:hAnsi="Times New Roman" w:cs="Times New Roman"/>
          <w:sz w:val="24"/>
          <w:szCs w:val="24"/>
          <w:lang w:val="en-US"/>
        </w:rPr>
        <w:t>, various crimes against humanity and grave breaches of the 1949 Geneva Conventions. In its judgment in 2010, the Trial Chamber considered the prohibition on slavery, stating:</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lastRenderedPageBreak/>
        <w:t xml:space="preserve">342. The prohibition against slavery is unambiguously part of customary international law. Enslavement is characterised by the exercise of any or all powers attaching to the right of ownership over a person. Indicia of enslavement include “control of someone’s movement, control of physical environment, psychological control, measures taken to prevent or deter escape, force, threat of force or coercion, duration, assertion of exclusivity, subjection to cruel treatment and abuse, control of sexuality and forced labour.” [ICTY, </w:t>
      </w:r>
      <w:r w:rsidRPr="00B431DD">
        <w:rPr>
          <w:rFonts w:ascii="Times New Roman" w:eastAsia="Times New Roman" w:hAnsi="Times New Roman" w:cs="Times New Roman"/>
          <w:i/>
          <w:iCs/>
          <w:sz w:val="24"/>
          <w:szCs w:val="24"/>
          <w:lang w:val="en-US"/>
        </w:rPr>
        <w:t>Kunarac case</w:t>
      </w:r>
      <w:r w:rsidRPr="00B431DD">
        <w:rPr>
          <w:rFonts w:ascii="Times New Roman" w:eastAsia="Times New Roman" w:hAnsi="Times New Roman" w:cs="Times New Roman"/>
          <w:sz w:val="24"/>
          <w:szCs w:val="24"/>
          <w:lang w:val="en-US"/>
        </w:rPr>
        <w:t>, Judgement on Appeal, § 119]</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343. Proof that the victim did not consent to being enslaved is not required, as enslavement is characterised by the perpetrator’s exercise of power. The question of whether the victim has consented may however be relevant to determining if the perpetrator exercised these powers over the victim. The absence of consent may be presumed in situations where the expression of consent is impossible.</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 xml:space="preserve">344. Forced or involuntary labour may also constitute enslavement. The ICTY Trial Chamber has noted that “[w]hat must be established is that the relevant persons had no real choice as to whether they would work.” [ICTY, </w:t>
      </w:r>
      <w:r w:rsidRPr="00B431DD">
        <w:rPr>
          <w:rFonts w:ascii="Times New Roman" w:eastAsia="Times New Roman" w:hAnsi="Times New Roman" w:cs="Times New Roman"/>
          <w:i/>
          <w:iCs/>
          <w:sz w:val="24"/>
          <w:szCs w:val="24"/>
          <w:lang w:val="en-US"/>
        </w:rPr>
        <w:t>Krnojelac case</w:t>
      </w:r>
      <w:r w:rsidRPr="00B431DD">
        <w:rPr>
          <w:rFonts w:ascii="Times New Roman" w:eastAsia="Times New Roman" w:hAnsi="Times New Roman" w:cs="Times New Roman"/>
          <w:sz w:val="24"/>
          <w:szCs w:val="24"/>
          <w:lang w:val="en-US"/>
        </w:rPr>
        <w:t>, Judgement, § 359] A Chamber shall decide if the labour is forced or involuntary on the basis of the recognised factors outlined above. The elements of the crime of enslavement may be satisfied without evidence of additional ill-treatment.</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345. It must be shown that the perpetrator intentionally exercised any or all of the powers attaching to the right of ownership.</w:t>
      </w:r>
      <w:r>
        <w:rPr>
          <w:rFonts w:ascii="Times New Roman" w:eastAsia="Times New Roman" w:hAnsi="Times New Roman" w:cs="Times New Roman"/>
          <w:noProof/>
          <w:sz w:val="24"/>
          <w:szCs w:val="24"/>
        </w:rPr>
        <w:drawing>
          <wp:inline distT="0" distB="0" distL="0" distR="0">
            <wp:extent cx="151130" cy="142875"/>
            <wp:effectExtent l="19050" t="0" r="1270" b="0"/>
            <wp:docPr id="2363" name="Imagen 23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[footnotes in original omitted]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Human Rights Committee</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its concluding observations on the third periodic report of the Sudan in 2007, the Human Rights Committee stated:</w:t>
      </w:r>
      <w:r w:rsidRPr="004D5C23">
        <w:rPr>
          <w:rFonts w:ascii="Times New Roman" w:eastAsia="Times New Roman" w:hAnsi="Times New Roman" w:cs="Times New Roman"/>
          <w:sz w:val="24"/>
          <w:szCs w:val="24"/>
          <w:lang w:val="en-US"/>
        </w:rPr>
        <w:br/>
      </w:r>
      <w:r w:rsidRPr="00B431DD">
        <w:rPr>
          <w:rFonts w:ascii="Times New Roman" w:eastAsia="Times New Roman" w:hAnsi="Times New Roman" w:cs="Times New Roman"/>
          <w:sz w:val="24"/>
          <w:szCs w:val="24"/>
          <w:lang w:val="en-US"/>
        </w:rPr>
        <w:t>While noting efforts by the State party to eradicate the practice of abducting women and children and secure the return of abductees, in the light of reports from non-governmental sources and the State party of large numbers of abductions the Committee remains concerned at the small numbers of people who are traced. The Committee also takes note of the explanations put forward regarding the role and responsibility of tribes in the matter. (arts. 8 and 24 of the [1966 International Covenant on Civil and Political Rights])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i/>
          <w:iCs/>
          <w:sz w:val="24"/>
          <w:szCs w:val="24"/>
          <w:lang w:val="en-US"/>
        </w:rPr>
        <w:t>The State party should put a stop to all forms of slavery and abduction in its territory and prosecute those engaging in such practices. It should make available to the Committee for the Elimination of Abduction of Women and Children the human and financial resources it needs to fulfill its mandate. The State party should also provide abductees with assistance in settling back into their families and communities. It enjoins the State party to hold the tribes more accountable, and to take forceful action against tribes that continue to engage in abduction</w:t>
      </w:r>
      <w:r w:rsidRPr="004D5C23">
        <w:rPr>
          <w:rFonts w:ascii="Times New Roman" w:eastAsia="Times New Roman" w:hAnsi="Times New Roman" w:cs="Times New Roman"/>
          <w:sz w:val="24"/>
          <w:szCs w:val="24"/>
          <w:lang w:val="en-US"/>
        </w:rPr>
        <w:t>.</w:t>
      </w:r>
      <w:r>
        <w:rPr>
          <w:rFonts w:ascii="Times New Roman" w:eastAsia="Times New Roman" w:hAnsi="Times New Roman" w:cs="Times New Roman"/>
          <w:noProof/>
          <w:sz w:val="24"/>
          <w:szCs w:val="24"/>
        </w:rPr>
        <w:drawing>
          <wp:inline distT="0" distB="0" distL="0" distR="0">
            <wp:extent cx="151130" cy="142875"/>
            <wp:effectExtent l="19050" t="0" r="1270" b="0"/>
            <wp:docPr id="2364" name="Imagen 23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[emphasis in original]</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Committee on the Rights of the Child</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1993, in its concluding observations on the report of Sudan, the Committee on the Rights of the Child expressed “its concern regarding the issues of forced labour and slavery”.</w:t>
      </w:r>
      <w:r>
        <w:rPr>
          <w:rFonts w:ascii="Times New Roman" w:eastAsia="Times New Roman" w:hAnsi="Times New Roman" w:cs="Times New Roman"/>
          <w:noProof/>
          <w:sz w:val="24"/>
          <w:szCs w:val="24"/>
        </w:rPr>
        <w:drawing>
          <wp:inline distT="0" distB="0" distL="0" distR="0">
            <wp:extent cx="151130" cy="142875"/>
            <wp:effectExtent l="19050" t="0" r="1270" b="0"/>
            <wp:docPr id="2365" name="Imagen 23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European Commission of Human Rights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its admissibility decision in </w:t>
      </w:r>
      <w:r w:rsidRPr="00B431DD">
        <w:rPr>
          <w:rFonts w:ascii="Times New Roman" w:eastAsia="Times New Roman" w:hAnsi="Times New Roman" w:cs="Times New Roman"/>
          <w:i/>
          <w:iCs/>
          <w:sz w:val="24"/>
          <w:szCs w:val="24"/>
          <w:lang w:val="en-US"/>
        </w:rPr>
        <w:t>Van Droogenbroeck v. Belgium</w:t>
      </w:r>
      <w:r w:rsidRPr="00B431DD">
        <w:rPr>
          <w:rFonts w:ascii="Times New Roman" w:eastAsia="Times New Roman" w:hAnsi="Times New Roman" w:cs="Times New Roman"/>
          <w:sz w:val="24"/>
          <w:szCs w:val="24"/>
          <w:lang w:val="en-US"/>
        </w:rPr>
        <w:t xml:space="preserve"> in 1979, the European Commission of Human Rights (guided by Article 1 of the 1956 Supplementary Convention on the Abolition of Slavery) observed that the distinction between servitude and forced labour was not explicitly stated in the 1950 European Convention on Human Rights and that “it may be considered, however, that in addition to the obligation to perform certain services for others, the notion of servitude embraces the obligation for the ‘serf’ to live on another person’s property and the impossibility of altering his condition”.</w:t>
      </w:r>
      <w:r>
        <w:rPr>
          <w:rFonts w:ascii="Times New Roman" w:eastAsia="Times New Roman" w:hAnsi="Times New Roman" w:cs="Times New Roman"/>
          <w:noProof/>
          <w:sz w:val="24"/>
          <w:szCs w:val="24"/>
        </w:rPr>
        <w:drawing>
          <wp:inline distT="0" distB="0" distL="0" distR="0">
            <wp:extent cx="151130" cy="142875"/>
            <wp:effectExtent l="19050" t="0" r="1270" b="0"/>
            <wp:docPr id="2366" name="Imagen 23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lastRenderedPageBreak/>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29" w:history="1">
        <w:r w:rsidRPr="00B431DD">
          <w:rPr>
            <w:rFonts w:ascii="Times New Roman" w:eastAsia="Times New Roman" w:hAnsi="Times New Roman" w:cs="Times New Roman"/>
            <w:color w:val="0000FF"/>
            <w:sz w:val="24"/>
            <w:szCs w:val="24"/>
            <w:u w:val="single"/>
            <w:lang w:val="en-US"/>
          </w:rPr>
          <w:t>XI. International Red Cross and Red Crescent Movement</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No data.</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Back to top</w:t>
      </w:r>
    </w:p>
    <w:p w:rsidR="004D5C23" w:rsidRPr="004D5C23" w:rsidRDefault="004D5C23" w:rsidP="004D5C23">
      <w:pPr>
        <w:spacing w:after="0" w:line="240" w:lineRule="auto"/>
        <w:rPr>
          <w:rFonts w:ascii="Times New Roman" w:eastAsia="Times New Roman" w:hAnsi="Times New Roman" w:cs="Times New Roman"/>
          <w:sz w:val="24"/>
          <w:szCs w:val="24"/>
          <w:lang w:val="en-US"/>
        </w:rPr>
      </w:pPr>
      <w:hyperlink r:id="rId30" w:history="1">
        <w:r w:rsidRPr="004D5C23">
          <w:rPr>
            <w:rFonts w:ascii="Times New Roman" w:eastAsia="Times New Roman" w:hAnsi="Times New Roman" w:cs="Times New Roman"/>
            <w:color w:val="0000FF"/>
            <w:sz w:val="24"/>
            <w:szCs w:val="24"/>
            <w:u w:val="single"/>
            <w:lang w:val="en-US"/>
          </w:rPr>
          <w:t>XII. Other</w:t>
        </w:r>
      </w:hyperlink>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Bangkok NGO Declaration on Human Rights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The Bangkok NGO Declaration on Human Rights, adopted in 1993, stated:</w:t>
      </w:r>
      <w:r w:rsidRPr="004D5C23">
        <w:rPr>
          <w:rFonts w:ascii="Times New Roman" w:eastAsia="Times New Roman" w:hAnsi="Times New Roman" w:cs="Times New Roman"/>
          <w:sz w:val="24"/>
          <w:szCs w:val="24"/>
          <w:lang w:val="en-US"/>
        </w:rPr>
        <w:br/>
        <w:t>Crimes against women, including sexual slavery and trafficking are rampant. Crimes against women are crimes against humanity, and the failure of governments to prosecute those responsible implies complicity … In crisis situations – ethnic violence, communal riots, armed conflicts, military conflicts, military occupation and displacement of population – women’s rights are specifically violated.</w:t>
      </w:r>
      <w:r>
        <w:rPr>
          <w:rFonts w:ascii="Times New Roman" w:eastAsia="Times New Roman" w:hAnsi="Times New Roman" w:cs="Times New Roman"/>
          <w:noProof/>
          <w:sz w:val="24"/>
          <w:szCs w:val="24"/>
        </w:rPr>
        <w:drawing>
          <wp:inline distT="0" distB="0" distL="0" distR="0">
            <wp:extent cx="151130" cy="142875"/>
            <wp:effectExtent l="19050" t="0" r="1270" b="0"/>
            <wp:docPr id="2367" name="Imagen 23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American Law Institute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The Restatement (Third) of the Foreign Relations Law of the United States, adopted and promulgated by the American Law Institute in 1986, provides: “A state violates international law if, as a matter of state policy, it practices, encourages, or condones … (b) slavery or slave trade”.</w:t>
      </w:r>
      <w:r>
        <w:rPr>
          <w:rFonts w:ascii="Times New Roman" w:eastAsia="Times New Roman" w:hAnsi="Times New Roman" w:cs="Times New Roman"/>
          <w:noProof/>
          <w:sz w:val="24"/>
          <w:szCs w:val="24"/>
        </w:rPr>
        <w:drawing>
          <wp:inline distT="0" distB="0" distL="0" distR="0">
            <wp:extent cx="151130" cy="142875"/>
            <wp:effectExtent l="19050" t="0" r="1270" b="0"/>
            <wp:docPr id="2368" name="Imagen 23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International Commission of Jurists</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In 1994, the International Commission of Jurists argued that the 1921 International Convention for the Suppression of the Traffic in Women and Children was evidence of customary law in existence at the time of its adoption.</w:t>
      </w:r>
      <w:r>
        <w:rPr>
          <w:rFonts w:ascii="Times New Roman" w:eastAsia="Times New Roman" w:hAnsi="Times New Roman" w:cs="Times New Roman"/>
          <w:noProof/>
          <w:sz w:val="24"/>
          <w:szCs w:val="24"/>
        </w:rPr>
        <w:drawing>
          <wp:inline distT="0" distB="0" distL="0" distR="0">
            <wp:extent cx="151130" cy="142875"/>
            <wp:effectExtent l="19050" t="0" r="1270" b="0"/>
            <wp:docPr id="2369" name="Imagen 23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4D5C23">
        <w:rPr>
          <w:rFonts w:ascii="Times New Roman" w:eastAsia="Times New Roman" w:hAnsi="Times New Roman" w:cs="Times New Roman"/>
          <w:sz w:val="24"/>
          <w:szCs w:val="24"/>
          <w:lang w:val="en-US"/>
        </w:rPr>
        <w:t> </w:t>
      </w:r>
    </w:p>
    <w:p w:rsidR="004D5C23" w:rsidRPr="004D5C23" w:rsidRDefault="004D5C23" w:rsidP="004D5C23">
      <w:pPr>
        <w:spacing w:after="0" w:line="240" w:lineRule="auto"/>
        <w:rPr>
          <w:rFonts w:ascii="Times New Roman" w:eastAsia="Times New Roman" w:hAnsi="Times New Roman" w:cs="Times New Roman"/>
          <w:sz w:val="24"/>
          <w:szCs w:val="24"/>
          <w:lang w:val="en-US"/>
        </w:rPr>
      </w:pPr>
      <w:r w:rsidRPr="004D5C23">
        <w:rPr>
          <w:rFonts w:ascii="Times New Roman" w:eastAsia="Times New Roman" w:hAnsi="Times New Roman" w:cs="Times New Roman"/>
          <w:sz w:val="24"/>
          <w:szCs w:val="24"/>
          <w:lang w:val="en-US"/>
        </w:rPr>
        <w:t xml:space="preserve">Women’s International War Crimes Tribunal on Japan’s Military Sexual Slavery </w:t>
      </w:r>
    </w:p>
    <w:p w:rsidR="00C74F6F" w:rsidRPr="004D5C23" w:rsidRDefault="004D5C23" w:rsidP="004D5C23">
      <w:pPr>
        <w:rPr>
          <w:lang w:val="en-US"/>
        </w:rPr>
      </w:pPr>
      <w:r w:rsidRPr="004D5C23">
        <w:rPr>
          <w:rFonts w:ascii="Times New Roman" w:eastAsia="Times New Roman" w:hAnsi="Times New Roman" w:cs="Times New Roman"/>
          <w:sz w:val="24"/>
          <w:szCs w:val="24"/>
          <w:lang w:val="en-US"/>
        </w:rPr>
        <w:t>In December 2000, a Japanese NGO simulated a “Women’s International War Crimes Tribunal on Japan’s Military Sexual Slavery” which had jurisdiction over crimes committed against women, including sexual slavery and enslavement.</w:t>
      </w: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C74F6F" w:rsidRDefault="00C74F6F">
      <w:pPr>
        <w:rPr>
          <w:lang w:val="en-US"/>
        </w:rPr>
      </w:pPr>
    </w:p>
    <w:p w:rsidR="00FB00FF" w:rsidRDefault="00FB00FF">
      <w:pPr>
        <w:rPr>
          <w:lang w:val="en-US"/>
        </w:rPr>
      </w:pPr>
    </w:p>
    <w:p w:rsidR="00FB00FF" w:rsidRDefault="00FB00FF">
      <w:pPr>
        <w:rPr>
          <w:lang w:val="en-US"/>
        </w:rPr>
      </w:pPr>
    </w:p>
    <w:p w:rsidR="004D5C23" w:rsidRDefault="004D5C23">
      <w:pPr>
        <w:rPr>
          <w:lang w:val="en-US"/>
        </w:rPr>
      </w:pPr>
    </w:p>
    <w:p w:rsidR="004D5C23" w:rsidRDefault="004D5C23">
      <w:pPr>
        <w:rPr>
          <w:lang w:val="en-US"/>
        </w:rPr>
      </w:pPr>
    </w:p>
    <w:p w:rsidR="004D5C23" w:rsidRDefault="004D5C23">
      <w:pPr>
        <w:rPr>
          <w:lang w:val="en-US"/>
        </w:rPr>
      </w:pPr>
    </w:p>
    <w:p w:rsidR="004D5C23" w:rsidRDefault="004D5C23">
      <w:pPr>
        <w:rPr>
          <w:lang w:val="en-US"/>
        </w:rPr>
      </w:pPr>
    </w:p>
    <w:p w:rsidR="004D5C23" w:rsidRDefault="004D5C23">
      <w:pPr>
        <w:rPr>
          <w:lang w:val="en-US"/>
        </w:rPr>
      </w:pPr>
    </w:p>
    <w:p w:rsidR="00F40642" w:rsidRPr="00530144" w:rsidRDefault="00F40642" w:rsidP="00F40642">
      <w:pPr>
        <w:rPr>
          <w:b/>
          <w:sz w:val="28"/>
          <w:szCs w:val="28"/>
          <w:lang w:val="en-US"/>
        </w:rPr>
      </w:pPr>
      <w:r w:rsidRPr="00530144">
        <w:rPr>
          <w:b/>
          <w:sz w:val="28"/>
          <w:szCs w:val="28"/>
          <w:lang w:val="en-US"/>
        </w:rPr>
        <w:t>Part V * Responsibility for Violations of International Humanitarian Law</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Responsibility for violations of International Humanitarian Law</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b/>
          <w:bCs/>
          <w:sz w:val="24"/>
          <w:szCs w:val="24"/>
          <w:lang w:val="en-US"/>
        </w:rPr>
        <w:t>Rule 149. A State is responsible for violations of international humanitarian law attributable to it, including:</w:t>
      </w:r>
      <w:r w:rsidRPr="00615181">
        <w:rPr>
          <w:rFonts w:ascii="Times New Roman" w:eastAsia="Times New Roman" w:hAnsi="Times New Roman" w:cs="Times New Roman"/>
          <w:b/>
          <w:bCs/>
          <w:sz w:val="24"/>
          <w:szCs w:val="24"/>
          <w:lang w:val="en-US"/>
        </w:rPr>
        <w:br/>
      </w:r>
      <w:r w:rsidRPr="00BE407E">
        <w:rPr>
          <w:rFonts w:ascii="Times New Roman" w:eastAsia="Times New Roman" w:hAnsi="Times New Roman" w:cs="Times New Roman"/>
          <w:b/>
          <w:bCs/>
          <w:sz w:val="24"/>
          <w:szCs w:val="24"/>
          <w:lang w:val="en-US"/>
        </w:rPr>
        <w:t>(a) violations committed by its organs, including its armed forces;</w:t>
      </w:r>
      <w:r w:rsidRPr="00615181">
        <w:rPr>
          <w:rFonts w:ascii="Times New Roman" w:eastAsia="Times New Roman" w:hAnsi="Times New Roman" w:cs="Times New Roman"/>
          <w:b/>
          <w:bCs/>
          <w:sz w:val="24"/>
          <w:szCs w:val="24"/>
          <w:lang w:val="en-US"/>
        </w:rPr>
        <w:br/>
      </w:r>
      <w:r w:rsidRPr="00BE407E">
        <w:rPr>
          <w:rFonts w:ascii="Times New Roman" w:eastAsia="Times New Roman" w:hAnsi="Times New Roman" w:cs="Times New Roman"/>
          <w:b/>
          <w:bCs/>
          <w:sz w:val="24"/>
          <w:szCs w:val="24"/>
          <w:lang w:val="en-US"/>
        </w:rPr>
        <w:t>(b) violations committed by persons or entities it empowered to exercise elements of governmental authority;</w:t>
      </w:r>
      <w:r w:rsidRPr="00615181">
        <w:rPr>
          <w:rFonts w:ascii="Times New Roman" w:eastAsia="Times New Roman" w:hAnsi="Times New Roman" w:cs="Times New Roman"/>
          <w:b/>
          <w:bCs/>
          <w:sz w:val="24"/>
          <w:szCs w:val="24"/>
          <w:lang w:val="en-US"/>
        </w:rPr>
        <w:br/>
      </w:r>
      <w:r w:rsidRPr="00BE407E">
        <w:rPr>
          <w:rFonts w:ascii="Times New Roman" w:eastAsia="Times New Roman" w:hAnsi="Times New Roman" w:cs="Times New Roman"/>
          <w:b/>
          <w:bCs/>
          <w:sz w:val="24"/>
          <w:szCs w:val="24"/>
          <w:lang w:val="en-US"/>
        </w:rPr>
        <w:t>(c) violations committed by persons or groups acting in fact on its instructions, or under its direction or control; and</w:t>
      </w:r>
      <w:r w:rsidRPr="00615181">
        <w:rPr>
          <w:rFonts w:ascii="Times New Roman" w:eastAsia="Times New Roman" w:hAnsi="Times New Roman" w:cs="Times New Roman"/>
          <w:b/>
          <w:bCs/>
          <w:sz w:val="24"/>
          <w:szCs w:val="24"/>
          <w:lang w:val="en-US"/>
        </w:rPr>
        <w:br/>
      </w:r>
      <w:r w:rsidRPr="00BE407E">
        <w:rPr>
          <w:rFonts w:ascii="Times New Roman" w:eastAsia="Times New Roman" w:hAnsi="Times New Roman" w:cs="Times New Roman"/>
          <w:b/>
          <w:bCs/>
          <w:sz w:val="24"/>
          <w:szCs w:val="24"/>
          <w:lang w:val="en-US"/>
        </w:rPr>
        <w:t>(d) violations committed by private persons or groups which it acknowledges and adopts as its own conduct.</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Summary</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State practice establishes this rule as a norm of customary international law applicable to violations committed in both international and non-international armed conflicts.</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State responsibility for violations committed by the organs of a State, including its armed forces</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It is a long-standing rule of customary international law, set forth in Article 3 of the 1907 Hague Convention (IV) and repeated in Article 91 of Additional Protocol I, that a State is responsible for “all acts committed by persons forming part of its armed forces”.</w:t>
      </w:r>
      <w:hyperlink r:id="rId31" w:anchor="Fn_14_1" w:history="1">
        <w:r w:rsidRPr="00BE407E">
          <w:rPr>
            <w:rFonts w:ascii="Times New Roman" w:eastAsia="Times New Roman" w:hAnsi="Times New Roman" w:cs="Times New Roman"/>
            <w:color w:val="0000FF"/>
            <w:sz w:val="24"/>
            <w:szCs w:val="24"/>
            <w:u w:val="single"/>
            <w:lang w:val="en-US"/>
          </w:rPr>
          <w:t>[1]</w:t>
        </w:r>
      </w:hyperlink>
      <w:r w:rsidRPr="00BE407E">
        <w:rPr>
          <w:rFonts w:ascii="Times New Roman" w:eastAsia="Times New Roman" w:hAnsi="Times New Roman" w:cs="Times New Roman"/>
          <w:sz w:val="24"/>
          <w:szCs w:val="24"/>
          <w:lang w:val="en-US"/>
        </w:rPr>
        <w:t>  This rule is an application of the general rule of State responsibility for internationally wrongful acts, whereby a State is responsible for the behaviour of its organs.</w:t>
      </w:r>
      <w:hyperlink r:id="rId32" w:anchor="Fn_14_2" w:history="1">
        <w:r w:rsidRPr="00BE407E">
          <w:rPr>
            <w:rFonts w:ascii="Times New Roman" w:eastAsia="Times New Roman" w:hAnsi="Times New Roman" w:cs="Times New Roman"/>
            <w:color w:val="0000FF"/>
            <w:sz w:val="24"/>
            <w:szCs w:val="24"/>
            <w:u w:val="single"/>
            <w:lang w:val="en-US"/>
          </w:rPr>
          <w:t>[2]</w:t>
        </w:r>
      </w:hyperlink>
      <w:r w:rsidRPr="00BE407E">
        <w:rPr>
          <w:rFonts w:ascii="Times New Roman" w:eastAsia="Times New Roman" w:hAnsi="Times New Roman" w:cs="Times New Roman"/>
          <w:sz w:val="24"/>
          <w:szCs w:val="24"/>
          <w:lang w:val="en-US"/>
        </w:rPr>
        <w:t>  The armed forces are considered to be a State organ, like any other entity of the executive, legislative or judicial branch of government. The application of this general rule of attribution of responsibility to international humanitarian law is reflected in the four Geneva Conventions, which specify that State responsibility exists in addition to the requirement to prosecute individuals for grave breaches.</w:t>
      </w:r>
      <w:hyperlink r:id="rId33" w:anchor="Fn_14_3" w:history="1">
        <w:r w:rsidRPr="00BE407E">
          <w:rPr>
            <w:rFonts w:ascii="Times New Roman" w:eastAsia="Times New Roman" w:hAnsi="Times New Roman" w:cs="Times New Roman"/>
            <w:color w:val="0000FF"/>
            <w:sz w:val="24"/>
            <w:szCs w:val="24"/>
            <w:u w:val="single"/>
            <w:lang w:val="en-US"/>
          </w:rPr>
          <w:t>[3]</w:t>
        </w:r>
      </w:hyperlink>
      <w:r w:rsidRPr="00BE407E">
        <w:rPr>
          <w:rFonts w:ascii="Times New Roman" w:eastAsia="Times New Roman" w:hAnsi="Times New Roman" w:cs="Times New Roman"/>
          <w:sz w:val="24"/>
          <w:szCs w:val="24"/>
          <w:lang w:val="en-US"/>
        </w:rPr>
        <w:t>  The principle that State responsibility exists in addition to individual criminal responsibility is also reaffirmed in the Second Protocol to the Hague Convention for the Protection of Cultural Property.</w:t>
      </w:r>
      <w:hyperlink r:id="rId34" w:anchor="Fn_14_4" w:history="1">
        <w:r w:rsidRPr="00BE407E">
          <w:rPr>
            <w:rFonts w:ascii="Times New Roman" w:eastAsia="Times New Roman" w:hAnsi="Times New Roman" w:cs="Times New Roman"/>
            <w:color w:val="0000FF"/>
            <w:sz w:val="24"/>
            <w:szCs w:val="24"/>
            <w:u w:val="single"/>
            <w:lang w:val="en-US"/>
          </w:rPr>
          <w:t>[4]</w:t>
        </w:r>
      </w:hyperlink>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 number of military manuals specify that a State is responsible for violations of international humanitarian law. Some of these manuals expressly refer to acts committed by members of the armed forces of a State, while others more generally deal with responsibility for grave breaches or war crimes, not specifying by whom such acts must be committed in order to be attributable to the State.</w:t>
      </w:r>
      <w:hyperlink r:id="rId35" w:anchor="Fn_14_5" w:history="1">
        <w:r w:rsidRPr="00BE407E">
          <w:rPr>
            <w:rFonts w:ascii="Times New Roman" w:eastAsia="Times New Roman" w:hAnsi="Times New Roman" w:cs="Times New Roman"/>
            <w:color w:val="0000FF"/>
            <w:sz w:val="24"/>
            <w:szCs w:val="24"/>
            <w:u w:val="single"/>
            <w:lang w:val="en-US"/>
          </w:rPr>
          <w:t>[5]</w:t>
        </w:r>
      </w:hyperlink>
      <w:r w:rsidRPr="00BE407E">
        <w:rPr>
          <w:rFonts w:ascii="Times New Roman" w:eastAsia="Times New Roman" w:hAnsi="Times New Roman" w:cs="Times New Roman"/>
          <w:sz w:val="24"/>
          <w:szCs w:val="24"/>
          <w:lang w:val="en-US"/>
        </w:rPr>
        <w:t>  However, it is clear from the above-mentioned general principle of international law that the acts of all State organs are attributable to the State, be they military or civilian.</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There is also national case-law supporting this rule. In its judgment in the </w:t>
      </w:r>
      <w:r w:rsidRPr="00BE407E">
        <w:rPr>
          <w:rFonts w:ascii="Times New Roman" w:eastAsia="Times New Roman" w:hAnsi="Times New Roman" w:cs="Times New Roman"/>
          <w:i/>
          <w:iCs/>
          <w:sz w:val="24"/>
          <w:szCs w:val="24"/>
          <w:lang w:val="en-US"/>
        </w:rPr>
        <w:t>Eichmann case</w:t>
      </w:r>
      <w:r w:rsidRPr="00BE407E">
        <w:rPr>
          <w:rFonts w:ascii="Times New Roman" w:eastAsia="Times New Roman" w:hAnsi="Times New Roman" w:cs="Times New Roman"/>
          <w:sz w:val="24"/>
          <w:szCs w:val="24"/>
          <w:lang w:val="en-US"/>
        </w:rPr>
        <w:t xml:space="preserve"> in 1961, Israel’s District Court of Jerusalem attributed the wrongful acts committed by the accused to Germany as its own “acts of State”.</w:t>
      </w:r>
      <w:hyperlink r:id="rId36" w:anchor="Fn_14_6" w:history="1">
        <w:r w:rsidRPr="00BE407E">
          <w:rPr>
            <w:rFonts w:ascii="Times New Roman" w:eastAsia="Times New Roman" w:hAnsi="Times New Roman" w:cs="Times New Roman"/>
            <w:color w:val="0000FF"/>
            <w:sz w:val="24"/>
            <w:szCs w:val="24"/>
            <w:u w:val="single"/>
            <w:lang w:val="en-US"/>
          </w:rPr>
          <w:t>[6]</w:t>
        </w:r>
      </w:hyperlink>
      <w:r w:rsidRPr="00BE407E">
        <w:rPr>
          <w:rFonts w:ascii="Times New Roman" w:eastAsia="Times New Roman" w:hAnsi="Times New Roman" w:cs="Times New Roman"/>
          <w:sz w:val="24"/>
          <w:szCs w:val="24"/>
          <w:lang w:val="en-US"/>
        </w:rPr>
        <w:t xml:space="preserve">  Furthermore, in the </w:t>
      </w:r>
      <w:r w:rsidRPr="00BE407E">
        <w:rPr>
          <w:rFonts w:ascii="Times New Roman" w:eastAsia="Times New Roman" w:hAnsi="Times New Roman" w:cs="Times New Roman"/>
          <w:i/>
          <w:iCs/>
          <w:sz w:val="24"/>
          <w:szCs w:val="24"/>
          <w:lang w:val="en-US"/>
        </w:rPr>
        <w:t>Reparation Payments case</w:t>
      </w:r>
      <w:r w:rsidRPr="00BE407E">
        <w:rPr>
          <w:rFonts w:ascii="Times New Roman" w:eastAsia="Times New Roman" w:hAnsi="Times New Roman" w:cs="Times New Roman"/>
          <w:sz w:val="24"/>
          <w:szCs w:val="24"/>
          <w:lang w:val="en-US"/>
        </w:rPr>
        <w:t xml:space="preserve"> in 1963, Germany’s Federal Supreme Court referred to the “principle of public international law according to which a State party to a conflict is also responsible for acts committed by its nationals in relation to the conduct of hostilities which are </w:t>
      </w:r>
      <w:r w:rsidRPr="00BE407E">
        <w:rPr>
          <w:rFonts w:ascii="Times New Roman" w:eastAsia="Times New Roman" w:hAnsi="Times New Roman" w:cs="Times New Roman"/>
          <w:i/>
          <w:iCs/>
          <w:sz w:val="24"/>
          <w:szCs w:val="24"/>
          <w:lang w:val="en-US"/>
        </w:rPr>
        <w:t>not</w:t>
      </w:r>
      <w:r w:rsidRPr="00BE407E">
        <w:rPr>
          <w:rFonts w:ascii="Times New Roman" w:eastAsia="Times New Roman" w:hAnsi="Times New Roman" w:cs="Times New Roman"/>
          <w:sz w:val="24"/>
          <w:szCs w:val="24"/>
          <w:lang w:val="en-US"/>
        </w:rPr>
        <w:t xml:space="preserve"> in line with public international law” (emphasis in original).</w:t>
      </w:r>
      <w:hyperlink r:id="rId37" w:anchor="Fn_14_7" w:history="1">
        <w:r w:rsidRPr="00BE407E">
          <w:rPr>
            <w:rFonts w:ascii="Times New Roman" w:eastAsia="Times New Roman" w:hAnsi="Times New Roman" w:cs="Times New Roman"/>
            <w:color w:val="0000FF"/>
            <w:sz w:val="24"/>
            <w:szCs w:val="24"/>
            <w:u w:val="single"/>
            <w:lang w:val="en-US"/>
          </w:rPr>
          <w:t>[7]</w:t>
        </w:r>
      </w:hyperlink>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in 2003, the same German court affirmed that the responsibility of States for internationally wrongful acts committed during hostilities “comprises liability for the acts of all persons belonging to the armed forces”.</w:t>
      </w:r>
      <w:hyperlink r:id="rId38" w:anchor="Fn_14_8" w:history="1">
        <w:r w:rsidRPr="00BE407E">
          <w:rPr>
            <w:rFonts w:ascii="Times New Roman" w:eastAsia="Times New Roman" w:hAnsi="Times New Roman" w:cs="Times New Roman"/>
            <w:color w:val="0000FF"/>
            <w:sz w:val="24"/>
            <w:szCs w:val="24"/>
            <w:u w:val="single"/>
            <w:lang w:val="en-US"/>
          </w:rPr>
          <w:t>[8]</w:t>
        </w:r>
      </w:hyperlink>
      <w:r w:rsidRPr="00BE407E">
        <w:rPr>
          <w:rFonts w:ascii="Times New Roman" w:eastAsia="Times New Roman" w:hAnsi="Times New Roman" w:cs="Times New Roman"/>
          <w:sz w:val="24"/>
          <w:szCs w:val="24"/>
          <w:lang w:val="en-US"/>
        </w:rPr>
        <w:t xml:space="preserve">  The </w:t>
      </w:r>
      <w:r w:rsidRPr="00BE407E">
        <w:rPr>
          <w:rFonts w:ascii="Times New Roman" w:eastAsia="Times New Roman" w:hAnsi="Times New Roman" w:cs="Times New Roman"/>
          <w:i/>
          <w:iCs/>
          <w:sz w:val="24"/>
          <w:szCs w:val="24"/>
          <w:lang w:val="en-US"/>
        </w:rPr>
        <w:t>J. T. case</w:t>
      </w:r>
      <w:r w:rsidRPr="00BE407E">
        <w:rPr>
          <w:rFonts w:ascii="Times New Roman" w:eastAsia="Times New Roman" w:hAnsi="Times New Roman" w:cs="Times New Roman"/>
          <w:sz w:val="24"/>
          <w:szCs w:val="24"/>
          <w:lang w:val="en-US"/>
        </w:rPr>
        <w:t xml:space="preserve"> before the District Court of The Hague in the Netherlands in 1949 involved a </w:t>
      </w:r>
      <w:r w:rsidRPr="00BE407E">
        <w:rPr>
          <w:rFonts w:ascii="Times New Roman" w:eastAsia="Times New Roman" w:hAnsi="Times New Roman" w:cs="Times New Roman"/>
          <w:sz w:val="24"/>
          <w:szCs w:val="24"/>
          <w:lang w:val="en-US"/>
        </w:rPr>
        <w:lastRenderedPageBreak/>
        <w:t>claim for reimbursement of money that had disappeared during the arrest of an individual by the Dutch resistance movement during the Second World War and was later found to have been taken by the police.</w:t>
      </w:r>
      <w:hyperlink r:id="rId39" w:anchor="Fn_14_9" w:history="1">
        <w:r w:rsidRPr="00BE407E">
          <w:rPr>
            <w:rFonts w:ascii="Times New Roman" w:eastAsia="Times New Roman" w:hAnsi="Times New Roman" w:cs="Times New Roman"/>
            <w:color w:val="0000FF"/>
            <w:sz w:val="24"/>
            <w:szCs w:val="24"/>
            <w:u w:val="single"/>
            <w:lang w:val="en-US"/>
          </w:rPr>
          <w:t>[9]</w:t>
        </w:r>
      </w:hyperlink>
      <w:r w:rsidRPr="00BE407E">
        <w:rPr>
          <w:rFonts w:ascii="Times New Roman" w:eastAsia="Times New Roman" w:hAnsi="Times New Roman" w:cs="Times New Roman"/>
          <w:sz w:val="24"/>
          <w:szCs w:val="24"/>
          <w:lang w:val="en-US"/>
        </w:rPr>
        <w:t>  The case is further evidence of the rule that States are responsible for violations of international humanitarian law committed by State organs. Official statements and reported practice further support this conclusion.</w:t>
      </w:r>
      <w:hyperlink r:id="rId40" w:anchor="Fn_14_10" w:history="1">
        <w:r w:rsidRPr="00BE407E">
          <w:rPr>
            <w:rFonts w:ascii="Times New Roman" w:eastAsia="Times New Roman" w:hAnsi="Times New Roman" w:cs="Times New Roman"/>
            <w:color w:val="0000FF"/>
            <w:sz w:val="24"/>
            <w:szCs w:val="24"/>
            <w:u w:val="single"/>
            <w:lang w:val="en-US"/>
          </w:rPr>
          <w:t>[10]</w:t>
        </w:r>
      </w:hyperlink>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The International Criminal Tribunal for the former Yugoslavia, in its judgment in the </w:t>
      </w:r>
      <w:r w:rsidRPr="00BE407E">
        <w:rPr>
          <w:rFonts w:ascii="Times New Roman" w:eastAsia="Times New Roman" w:hAnsi="Times New Roman" w:cs="Times New Roman"/>
          <w:i/>
          <w:iCs/>
          <w:sz w:val="24"/>
          <w:szCs w:val="24"/>
          <w:lang w:val="en-US"/>
        </w:rPr>
        <w:t>Furundžija case</w:t>
      </w:r>
      <w:r w:rsidRPr="00BE407E">
        <w:rPr>
          <w:rFonts w:ascii="Times New Roman" w:eastAsia="Times New Roman" w:hAnsi="Times New Roman" w:cs="Times New Roman"/>
          <w:sz w:val="24"/>
          <w:szCs w:val="24"/>
          <w:lang w:val="en-US"/>
        </w:rPr>
        <w:t xml:space="preserve"> in 1998 and in its judgment on appeal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case</w:t>
      </w:r>
      <w:r w:rsidRPr="00BE407E">
        <w:rPr>
          <w:rFonts w:ascii="Times New Roman" w:eastAsia="Times New Roman" w:hAnsi="Times New Roman" w:cs="Times New Roman"/>
          <w:sz w:val="24"/>
          <w:szCs w:val="24"/>
          <w:lang w:val="en-US"/>
        </w:rPr>
        <w:t xml:space="preserve"> in 1999, held that a State is responsible for the behaviour of its armed forces.</w:t>
      </w:r>
      <w:hyperlink r:id="rId41" w:anchor="Fn_14_11" w:history="1">
        <w:r w:rsidRPr="00BE407E">
          <w:rPr>
            <w:rFonts w:ascii="Times New Roman" w:eastAsia="Times New Roman" w:hAnsi="Times New Roman" w:cs="Times New Roman"/>
            <w:color w:val="0000FF"/>
            <w:sz w:val="24"/>
            <w:szCs w:val="24"/>
            <w:u w:val="single"/>
            <w:lang w:val="en-US"/>
          </w:rPr>
          <w:t>[11]</w:t>
        </w:r>
      </w:hyperlink>
      <w:r w:rsidRPr="00BE407E">
        <w:rPr>
          <w:rFonts w:ascii="Times New Roman" w:eastAsia="Times New Roman" w:hAnsi="Times New Roman" w:cs="Times New Roman"/>
          <w:sz w:val="24"/>
          <w:szCs w:val="24"/>
          <w:lang w:val="en-US"/>
        </w:rPr>
        <w:t> </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Omissions</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 State is also responsible for the omissions</w:t>
      </w:r>
      <w:r w:rsidRPr="00BE407E">
        <w:rPr>
          <w:rFonts w:ascii="Times New Roman" w:eastAsia="Times New Roman" w:hAnsi="Times New Roman" w:cs="Times New Roman"/>
          <w:i/>
          <w:iCs/>
          <w:sz w:val="24"/>
          <w:szCs w:val="24"/>
          <w:lang w:val="en-US"/>
        </w:rPr>
        <w:t xml:space="preserve"> </w:t>
      </w:r>
      <w:r w:rsidRPr="00BE407E">
        <w:rPr>
          <w:rFonts w:ascii="Times New Roman" w:eastAsia="Times New Roman" w:hAnsi="Times New Roman" w:cs="Times New Roman"/>
          <w:sz w:val="24"/>
          <w:szCs w:val="24"/>
          <w:lang w:val="en-US"/>
        </w:rPr>
        <w:t>of its organs when they are under a duty to act, such as in the case of commanders and other superiors who are responsible for preventing and punishing war crimes (see Rule 153). This principle is reflected in Article 2 of the Draft Articles on State Responsibility, which states that an internationally wrongful act can consist of “an act or omission”.</w:t>
      </w:r>
      <w:hyperlink r:id="rId42" w:anchor="Fn_14_12" w:history="1">
        <w:r w:rsidRPr="00BE407E">
          <w:rPr>
            <w:rFonts w:ascii="Times New Roman" w:eastAsia="Times New Roman" w:hAnsi="Times New Roman" w:cs="Times New Roman"/>
            <w:color w:val="0000FF"/>
            <w:sz w:val="24"/>
            <w:szCs w:val="24"/>
            <w:u w:val="single"/>
            <w:lang w:val="en-US"/>
          </w:rPr>
          <w:t>[12]</w:t>
        </w:r>
      </w:hyperlink>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British Claims in the Spanish Zone of Morocco case</w:t>
      </w:r>
      <w:r w:rsidRPr="00BE407E">
        <w:rPr>
          <w:rFonts w:ascii="Times New Roman" w:eastAsia="Times New Roman" w:hAnsi="Times New Roman" w:cs="Times New Roman"/>
          <w:sz w:val="24"/>
          <w:szCs w:val="24"/>
          <w:lang w:val="en-US"/>
        </w:rPr>
        <w:t xml:space="preserve"> in 1925, the arbitrator Max Huber stated that a State that failed to exercise due diligence in preventing or punishing the unlawful actions of armed groups could be held responsible for such failure.</w:t>
      </w:r>
      <w:hyperlink r:id="rId43" w:anchor="Fn_14_13" w:history="1">
        <w:r w:rsidRPr="00BE407E">
          <w:rPr>
            <w:rFonts w:ascii="Times New Roman" w:eastAsia="Times New Roman" w:hAnsi="Times New Roman" w:cs="Times New Roman"/>
            <w:color w:val="0000FF"/>
            <w:sz w:val="24"/>
            <w:szCs w:val="24"/>
            <w:u w:val="single"/>
            <w:lang w:val="en-US"/>
          </w:rPr>
          <w:t>[13]</w:t>
        </w:r>
      </w:hyperlink>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Essen Lynching case</w:t>
      </w:r>
      <w:r w:rsidRPr="00BE407E">
        <w:rPr>
          <w:rFonts w:ascii="Times New Roman" w:eastAsia="Times New Roman" w:hAnsi="Times New Roman" w:cs="Times New Roman"/>
          <w:sz w:val="24"/>
          <w:szCs w:val="24"/>
          <w:lang w:val="en-US"/>
        </w:rPr>
        <w:t xml:space="preserve"> before the UK Military Court at Essen, the members of a German military escort were convicted because they failed to protect allied prisoners of war from being aggressed by a crowd.</w:t>
      </w:r>
      <w:hyperlink r:id="rId44" w:anchor="Fn_14_14" w:history="1">
        <w:r w:rsidRPr="00BE407E">
          <w:rPr>
            <w:rFonts w:ascii="Times New Roman" w:eastAsia="Times New Roman" w:hAnsi="Times New Roman" w:cs="Times New Roman"/>
            <w:color w:val="0000FF"/>
            <w:sz w:val="24"/>
            <w:szCs w:val="24"/>
            <w:u w:val="single"/>
            <w:lang w:val="en-US"/>
          </w:rPr>
          <w:t>[14]</w:t>
        </w:r>
      </w:hyperlink>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Velásquez Rodríguez case</w:t>
      </w:r>
      <w:r w:rsidRPr="00BE407E">
        <w:rPr>
          <w:rFonts w:ascii="Times New Roman" w:eastAsia="Times New Roman" w:hAnsi="Times New Roman" w:cs="Times New Roman"/>
          <w:sz w:val="24"/>
          <w:szCs w:val="24"/>
          <w:lang w:val="en-US"/>
        </w:rPr>
        <w:t>, the Inter-American Court of Human Rights stated that a State would be responsible for the actions of armed groups if it did not seriously investigate acts that violated an individual’s rights.</w:t>
      </w:r>
      <w:hyperlink r:id="rId45" w:anchor="Fn_14_15" w:history="1">
        <w:r w:rsidRPr="00BE407E">
          <w:rPr>
            <w:rFonts w:ascii="Times New Roman" w:eastAsia="Times New Roman" w:hAnsi="Times New Roman" w:cs="Times New Roman"/>
            <w:color w:val="0000FF"/>
            <w:sz w:val="24"/>
            <w:szCs w:val="24"/>
            <w:u w:val="single"/>
            <w:lang w:val="en-US"/>
          </w:rPr>
          <w:t>[15]</w:t>
        </w:r>
      </w:hyperlink>
      <w:r w:rsidRPr="00BE407E">
        <w:rPr>
          <w:rFonts w:ascii="Times New Roman" w:eastAsia="Times New Roman" w:hAnsi="Times New Roman" w:cs="Times New Roman"/>
          <w:sz w:val="24"/>
          <w:szCs w:val="24"/>
          <w:lang w:val="en-US"/>
        </w:rPr>
        <w:t>  The same point was made by the African Commission on Human and Peoples’ Rights in relation to killings and ill-treatment during the armed conflict in Chad.</w:t>
      </w:r>
      <w:hyperlink r:id="rId46" w:anchor="Fn_14_16" w:history="1">
        <w:r w:rsidRPr="00BE407E">
          <w:rPr>
            <w:rFonts w:ascii="Times New Roman" w:eastAsia="Times New Roman" w:hAnsi="Times New Roman" w:cs="Times New Roman"/>
            <w:color w:val="0000FF"/>
            <w:sz w:val="24"/>
            <w:szCs w:val="24"/>
            <w:u w:val="single"/>
            <w:lang w:val="en-US"/>
          </w:rPr>
          <w:t>[16]</w:t>
        </w:r>
      </w:hyperlink>
      <w:r w:rsidRPr="00BE407E">
        <w:rPr>
          <w:rFonts w:ascii="Times New Roman" w:eastAsia="Times New Roman" w:hAnsi="Times New Roman" w:cs="Times New Roman"/>
          <w:sz w:val="24"/>
          <w:szCs w:val="24"/>
          <w:lang w:val="en-US"/>
        </w:rPr>
        <w:t> </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State responsibility for violations committed by persons or entities empowered to exercise elements of governmental authority</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States are also responsible for acts committed by other persons or entities which they have empowered, under their internal law, to exercise elements of governmental authority.</w:t>
      </w:r>
      <w:hyperlink r:id="rId47" w:anchor="Fn_14_17" w:history="1">
        <w:r w:rsidRPr="00BE407E">
          <w:rPr>
            <w:rFonts w:ascii="Times New Roman" w:eastAsia="Times New Roman" w:hAnsi="Times New Roman" w:cs="Times New Roman"/>
            <w:color w:val="0000FF"/>
            <w:sz w:val="24"/>
            <w:szCs w:val="24"/>
            <w:u w:val="single"/>
            <w:lang w:val="en-US"/>
          </w:rPr>
          <w:t>[17]</w:t>
        </w:r>
      </w:hyperlink>
      <w:r w:rsidRPr="00BE407E">
        <w:rPr>
          <w:rFonts w:ascii="Times New Roman" w:eastAsia="Times New Roman" w:hAnsi="Times New Roman" w:cs="Times New Roman"/>
          <w:sz w:val="24"/>
          <w:szCs w:val="24"/>
          <w:lang w:val="en-US"/>
        </w:rPr>
        <w:t>  This rule is based on the consideration that States can have recourse to para-statal entities in carrying out certain activities instead of letting State organs carry them out, but do not thereby avoid responsibility.</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States are responsible for the acts of private firms or individuals that are used by the armed forces to accomplish tasks that are typically those of the armed forces. Examples of such individuals or entities are mercenaries or private military companies.</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State responsibility for acts committed in excess of authority or contrary to instructions</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 State is responsible for all acts committed by its organs and other persons or entities empowered to act on its behalf, even if such organs or persons exceed their authority or contravene instructions.</w:t>
      </w:r>
      <w:hyperlink r:id="rId48" w:anchor="Fn_14_18" w:history="1">
        <w:r w:rsidRPr="00BE407E">
          <w:rPr>
            <w:rFonts w:ascii="Times New Roman" w:eastAsia="Times New Roman" w:hAnsi="Times New Roman" w:cs="Times New Roman"/>
            <w:color w:val="0000FF"/>
            <w:sz w:val="24"/>
            <w:szCs w:val="24"/>
            <w:u w:val="single"/>
            <w:lang w:val="en-US"/>
          </w:rPr>
          <w:t>[18]</w:t>
        </w:r>
      </w:hyperlink>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With regard to the armed forces of a State, this principle is contained in Article 3 of the 1907 Hague Convention (IV) and in Article 91 of Additional Protocol I, which provide that a party to the conflict is responsible for “all acts” committed by persons forming part of its armed forces.</w:t>
      </w:r>
      <w:hyperlink r:id="rId49" w:anchor="Fn_14_19" w:history="1">
        <w:r w:rsidRPr="00BE407E">
          <w:rPr>
            <w:rFonts w:ascii="Times New Roman" w:eastAsia="Times New Roman" w:hAnsi="Times New Roman" w:cs="Times New Roman"/>
            <w:color w:val="0000FF"/>
            <w:sz w:val="24"/>
            <w:szCs w:val="24"/>
            <w:u w:val="single"/>
            <w:lang w:val="en-US"/>
          </w:rPr>
          <w:t>[19]</w:t>
        </w:r>
      </w:hyperlink>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in 2003, Germany’s Federal Supreme Court stated that the responsibility of a State “comprises liability for the acts of all persons belonging to the armed forces, and this not only in case these persons commit acts falling within their sphere of competence, but also in case they act without or against orders”.</w:t>
      </w:r>
      <w:hyperlink r:id="rId50" w:anchor="Fn_14_20" w:history="1">
        <w:r w:rsidRPr="00BE407E">
          <w:rPr>
            <w:rFonts w:ascii="Times New Roman" w:eastAsia="Times New Roman" w:hAnsi="Times New Roman" w:cs="Times New Roman"/>
            <w:color w:val="0000FF"/>
            <w:sz w:val="24"/>
            <w:szCs w:val="24"/>
            <w:u w:val="single"/>
            <w:lang w:val="en-US"/>
          </w:rPr>
          <w:t>[20]</w:t>
        </w:r>
      </w:hyperlink>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The Report on US Practice, however, states that it is the </w:t>
      </w:r>
      <w:r w:rsidRPr="00BE407E">
        <w:rPr>
          <w:rFonts w:ascii="Times New Roman" w:eastAsia="Times New Roman" w:hAnsi="Times New Roman" w:cs="Times New Roman"/>
          <w:i/>
          <w:iCs/>
          <w:sz w:val="24"/>
          <w:szCs w:val="24"/>
          <w:lang w:val="en-US"/>
        </w:rPr>
        <w:t>opinio juris</w:t>
      </w:r>
      <w:r w:rsidRPr="00BE407E">
        <w:rPr>
          <w:rFonts w:ascii="Times New Roman" w:eastAsia="Times New Roman" w:hAnsi="Times New Roman" w:cs="Times New Roman"/>
          <w:sz w:val="24"/>
          <w:szCs w:val="24"/>
          <w:lang w:val="en-US"/>
        </w:rPr>
        <w:t xml:space="preserve"> of the United States that a State is not responsible for “private” acts of its armed forces.</w:t>
      </w:r>
      <w:bookmarkStart w:id="251" w:name="refFn_14_21"/>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"Fn_14_21"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[21]</w:t>
      </w:r>
      <w:r w:rsidRPr="00615181">
        <w:rPr>
          <w:rFonts w:ascii="Times New Roman" w:eastAsia="Times New Roman" w:hAnsi="Times New Roman" w:cs="Times New Roman"/>
          <w:sz w:val="24"/>
          <w:szCs w:val="24"/>
        </w:rPr>
        <w:fldChar w:fldCharType="end"/>
      </w:r>
      <w:bookmarkEnd w:id="251"/>
      <w:r w:rsidRPr="00BE407E">
        <w:rPr>
          <w:rFonts w:ascii="Times New Roman" w:eastAsia="Times New Roman" w:hAnsi="Times New Roman" w:cs="Times New Roman"/>
          <w:sz w:val="24"/>
          <w:szCs w:val="24"/>
          <w:lang w:val="en-US"/>
        </w:rPr>
        <w:t xml:space="preserve">  The US </w:t>
      </w:r>
      <w:r w:rsidRPr="00BE407E">
        <w:rPr>
          <w:rFonts w:ascii="Times New Roman" w:eastAsia="Times New Roman" w:hAnsi="Times New Roman" w:cs="Times New Roman"/>
          <w:sz w:val="24"/>
          <w:szCs w:val="24"/>
          <w:lang w:val="en-US"/>
        </w:rPr>
        <w:lastRenderedPageBreak/>
        <w:t>Air Force Pamphlet states that no obligation of the State arises for violations by individuals of the law of armed conflicts committed outside their general area of responsibility unless some fault can be shown such as inadequate supervision or training.</w:t>
      </w:r>
      <w:bookmarkStart w:id="252" w:name="refFn_14_22"/>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"Fn_14_22"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[22]</w:t>
      </w:r>
      <w:r w:rsidRPr="00615181">
        <w:rPr>
          <w:rFonts w:ascii="Times New Roman" w:eastAsia="Times New Roman" w:hAnsi="Times New Roman" w:cs="Times New Roman"/>
          <w:sz w:val="24"/>
          <w:szCs w:val="24"/>
        </w:rPr>
        <w:fldChar w:fldCharType="end"/>
      </w:r>
      <w:bookmarkEnd w:id="252"/>
      <w:r w:rsidRPr="00BE407E">
        <w:rPr>
          <w:rFonts w:ascii="Times New Roman" w:eastAsia="Times New Roman" w:hAnsi="Times New Roman" w:cs="Times New Roman"/>
          <w:sz w:val="24"/>
          <w:szCs w:val="24"/>
          <w:lang w:val="en-US"/>
        </w:rPr>
        <w:t>  The commentary on the Draft Articles on State Responsibility similarly distinguishes between “cases where officials acted in their capacity as such, albeit unlawfully or contrary to instructions”, which are attributable to the State, and “cases where the conduct is so removed from the scope of their official functions that it should be assimilated to that of private individuals”, which are not attributable to the State.</w:t>
      </w:r>
      <w:bookmarkStart w:id="253" w:name="refFn_14_23"/>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"Fn_14_23"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[23]</w:t>
      </w:r>
      <w:r w:rsidRPr="00615181">
        <w:rPr>
          <w:rFonts w:ascii="Times New Roman" w:eastAsia="Times New Roman" w:hAnsi="Times New Roman" w:cs="Times New Roman"/>
          <w:sz w:val="24"/>
          <w:szCs w:val="24"/>
        </w:rPr>
        <w:fldChar w:fldCharType="end"/>
      </w:r>
      <w:bookmarkEnd w:id="253"/>
      <w:r w:rsidRPr="00BE407E">
        <w:rPr>
          <w:rFonts w:ascii="Times New Roman" w:eastAsia="Times New Roman" w:hAnsi="Times New Roman" w:cs="Times New Roman"/>
          <w:sz w:val="24"/>
          <w:szCs w:val="24"/>
          <w:lang w:val="en-US"/>
        </w:rPr>
        <w:t> </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State responsibility for violations committed by persons or groups acting in fact on the instructions of, or under the direction or control of, a State</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 State can also be held responsible for the actions of persons or groups which are neither its organs nor entitled, under national law, to exercise governmental authority, if these persons or groups act in fact on the instructions of, or under the direction or control of, that State.</w:t>
      </w:r>
      <w:bookmarkStart w:id="254" w:name="refFn_14_24"/>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"Fn_14_24"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[24]</w:t>
      </w:r>
      <w:r w:rsidRPr="00615181">
        <w:rPr>
          <w:rFonts w:ascii="Times New Roman" w:eastAsia="Times New Roman" w:hAnsi="Times New Roman" w:cs="Times New Roman"/>
          <w:sz w:val="24"/>
          <w:szCs w:val="24"/>
        </w:rPr>
        <w:fldChar w:fldCharType="end"/>
      </w:r>
      <w:bookmarkEnd w:id="254"/>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The International Court of Justice stated in the </w:t>
      </w:r>
      <w:r w:rsidRPr="00BE407E">
        <w:rPr>
          <w:rFonts w:ascii="Times New Roman" w:eastAsia="Times New Roman" w:hAnsi="Times New Roman" w:cs="Times New Roman"/>
          <w:i/>
          <w:iCs/>
          <w:sz w:val="24"/>
          <w:szCs w:val="24"/>
          <w:lang w:val="en-US"/>
        </w:rPr>
        <w:t>Nicaragua case (Merits)</w:t>
      </w:r>
      <w:r w:rsidRPr="00BE407E">
        <w:rPr>
          <w:rFonts w:ascii="Times New Roman" w:eastAsia="Times New Roman" w:hAnsi="Times New Roman" w:cs="Times New Roman"/>
          <w:sz w:val="24"/>
          <w:szCs w:val="24"/>
          <w:lang w:val="en-US"/>
        </w:rPr>
        <w:t xml:space="preserve"> in 1986 that to be responsible for violations of international human rights and humanitarian law committed by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xml:space="preserve"> in Nicaragua, the United States would have to have had “effective control over the military or paramilitary operations in the course of which the violations occurred”.</w:t>
      </w:r>
      <w:bookmarkStart w:id="255" w:name="refFn_14_25"/>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"Fn_14_25"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[25]</w:t>
      </w:r>
      <w:r w:rsidRPr="00615181">
        <w:rPr>
          <w:rFonts w:ascii="Times New Roman" w:eastAsia="Times New Roman" w:hAnsi="Times New Roman" w:cs="Times New Roman"/>
          <w:sz w:val="24"/>
          <w:szCs w:val="24"/>
        </w:rPr>
        <w:fldChar w:fldCharType="end"/>
      </w:r>
      <w:bookmarkEnd w:id="255"/>
      <w:r w:rsidRPr="00BE407E">
        <w:rPr>
          <w:rFonts w:ascii="Times New Roman" w:eastAsia="Times New Roman" w:hAnsi="Times New Roman" w:cs="Times New Roman"/>
          <w:sz w:val="24"/>
          <w:szCs w:val="24"/>
          <w:lang w:val="en-US"/>
        </w:rPr>
        <w:t xml:space="preserve">  In the judgment on appeal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case</w:t>
      </w:r>
      <w:r w:rsidRPr="00BE407E">
        <w:rPr>
          <w:rFonts w:ascii="Times New Roman" w:eastAsia="Times New Roman" w:hAnsi="Times New Roman" w:cs="Times New Roman"/>
          <w:sz w:val="24"/>
          <w:szCs w:val="24"/>
          <w:lang w:val="en-US"/>
        </w:rPr>
        <w:t xml:space="preserve"> in 1999, the International Criminal Tribunal for the former Yugoslavia stated that “the extent of the requisite State control varies”. According to the Tribunal, the conduct of a single private individual or a group that is not militarily organized is attributable to the State only if specific instructions concerning that conduct were given. However, conduct of subordinate armed forces, militias or paramilitary units is attributable to a State which has control of an “overall character”.</w:t>
      </w:r>
      <w:bookmarkStart w:id="256" w:name="refFn_14_26"/>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"Fn_14_26"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[26]</w:t>
      </w:r>
      <w:r w:rsidRPr="00615181">
        <w:rPr>
          <w:rFonts w:ascii="Times New Roman" w:eastAsia="Times New Roman" w:hAnsi="Times New Roman" w:cs="Times New Roman"/>
          <w:sz w:val="24"/>
          <w:szCs w:val="24"/>
        </w:rPr>
        <w:fldChar w:fldCharType="end"/>
      </w:r>
      <w:bookmarkEnd w:id="256"/>
      <w:r w:rsidRPr="00BE407E">
        <w:rPr>
          <w:rFonts w:ascii="Times New Roman" w:eastAsia="Times New Roman" w:hAnsi="Times New Roman" w:cs="Times New Roman"/>
          <w:sz w:val="24"/>
          <w:szCs w:val="24"/>
          <w:lang w:val="en-US"/>
        </w:rPr>
        <w:t>  Such control would exist, according to the Tribunal, where a State “has a role in organizing, coordinating or planning the military actions of the military group, in addition to financing, training and equipping or providing operational support to that group”. But the requirement of “overall control” does not go so far as to include “the issuing of specific orders by the State, or its direction of each individual operation”. In cases where the armed groups operate in the territory of another State, the Tribunal considered that “more extensive and compelling evidence is required to show that the State is genuinely in control of the units or groups not merely by financing and equipping them, but also by generally directing or helping plan their actions”.</w:t>
      </w:r>
      <w:bookmarkStart w:id="257" w:name="refFn_14_27"/>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"Fn_14_27"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[27]</w:t>
      </w:r>
      <w:r w:rsidRPr="00615181">
        <w:rPr>
          <w:rFonts w:ascii="Times New Roman" w:eastAsia="Times New Roman" w:hAnsi="Times New Roman" w:cs="Times New Roman"/>
          <w:sz w:val="24"/>
          <w:szCs w:val="24"/>
        </w:rPr>
        <w:fldChar w:fldCharType="end"/>
      </w:r>
      <w:bookmarkEnd w:id="257"/>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As stated in the commentary on the Draft Articles on State Responsibility, “the legal issues and the factual situation” in the above-mentioned cases before the International Court of Justice and the International Criminal Tribunal for the former Yugoslavia were different and “it is a matter for appreciation in each case whether particular conduct was or was not carried out under the control of a State, to such an extent that the conduct controlled should be attributed to it”.</w:t>
      </w:r>
      <w:bookmarkStart w:id="258" w:name="refFn_14_28"/>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"Fn_14_28"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[28]</w:t>
      </w:r>
      <w:r w:rsidRPr="00615181">
        <w:rPr>
          <w:rFonts w:ascii="Times New Roman" w:eastAsia="Times New Roman" w:hAnsi="Times New Roman" w:cs="Times New Roman"/>
          <w:sz w:val="24"/>
          <w:szCs w:val="24"/>
        </w:rPr>
        <w:fldChar w:fldCharType="end"/>
      </w:r>
      <w:bookmarkEnd w:id="258"/>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2001, in a report on the alleged killings in 1991 in Riofrío in Colombia, the Inter-American Commission on Human Rights established that the State was responsible for the actions of the paramilitary forces because there was evidence to show that agents of the State (namely branches of the army) helped coordinate the massacre, carry it out and then cover it up.</w:t>
      </w:r>
      <w:bookmarkStart w:id="259" w:name="refFn_14_29"/>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"Fn_14_29"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[29]</w:t>
      </w:r>
      <w:r w:rsidRPr="00615181">
        <w:rPr>
          <w:rFonts w:ascii="Times New Roman" w:eastAsia="Times New Roman" w:hAnsi="Times New Roman" w:cs="Times New Roman"/>
          <w:sz w:val="24"/>
          <w:szCs w:val="24"/>
        </w:rPr>
        <w:fldChar w:fldCharType="end"/>
      </w:r>
      <w:bookmarkEnd w:id="259"/>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As to private individuals or groups which are not militarily organized, the International Criminal Tribunal for the former Yugoslavia,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case</w:t>
      </w:r>
      <w:r w:rsidRPr="00BE407E">
        <w:rPr>
          <w:rFonts w:ascii="Times New Roman" w:eastAsia="Times New Roman" w:hAnsi="Times New Roman" w:cs="Times New Roman"/>
          <w:sz w:val="24"/>
          <w:szCs w:val="24"/>
          <w:lang w:val="en-US"/>
        </w:rPr>
        <w:t xml:space="preserve"> in 1999, stated that they could be considered a </w:t>
      </w:r>
      <w:r w:rsidRPr="00BE407E">
        <w:rPr>
          <w:rFonts w:ascii="Times New Roman" w:eastAsia="Times New Roman" w:hAnsi="Times New Roman" w:cs="Times New Roman"/>
          <w:i/>
          <w:iCs/>
          <w:sz w:val="24"/>
          <w:szCs w:val="24"/>
          <w:lang w:val="en-US"/>
        </w:rPr>
        <w:t xml:space="preserve">de facto </w:t>
      </w:r>
      <w:r w:rsidRPr="00BE407E">
        <w:rPr>
          <w:rFonts w:ascii="Times New Roman" w:eastAsia="Times New Roman" w:hAnsi="Times New Roman" w:cs="Times New Roman"/>
          <w:sz w:val="24"/>
          <w:szCs w:val="24"/>
          <w:lang w:val="en-US"/>
        </w:rPr>
        <w:t>organ of a State, and thus responsibility for their acts could be attributed to that State, if specific instructions concerning the commission of those acts had been issued to the individual or group.</w:t>
      </w:r>
      <w:bookmarkStart w:id="260" w:name="refFn_14_30"/>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"Fn_14_30"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[30]</w:t>
      </w:r>
      <w:r w:rsidRPr="00615181">
        <w:rPr>
          <w:rFonts w:ascii="Times New Roman" w:eastAsia="Times New Roman" w:hAnsi="Times New Roman" w:cs="Times New Roman"/>
          <w:sz w:val="24"/>
          <w:szCs w:val="24"/>
        </w:rPr>
        <w:fldChar w:fldCharType="end"/>
      </w:r>
      <w:bookmarkEnd w:id="260"/>
      <w:r w:rsidRPr="00BE407E">
        <w:rPr>
          <w:rFonts w:ascii="Times New Roman" w:eastAsia="Times New Roman" w:hAnsi="Times New Roman" w:cs="Times New Roman"/>
          <w:sz w:val="24"/>
          <w:szCs w:val="24"/>
          <w:lang w:val="en-US"/>
        </w:rPr>
        <w:t> </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lastRenderedPageBreak/>
        <w:t>State responsibility for violations committed by private persons or groups which are acknowledged and adopted by a State as its own conduct</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State practice also indicates that State responsibility for acts committed by private individuals or groups can arise through subsequent acknowledgement and adoption of the acts of these persons or groups.</w:t>
      </w:r>
      <w:bookmarkStart w:id="261" w:name="refFn_14_31"/>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"Fn_14_31"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[31]</w:t>
      </w:r>
      <w:r w:rsidRPr="00615181">
        <w:rPr>
          <w:rFonts w:ascii="Times New Roman" w:eastAsia="Times New Roman" w:hAnsi="Times New Roman" w:cs="Times New Roman"/>
          <w:sz w:val="24"/>
          <w:szCs w:val="24"/>
        </w:rPr>
        <w:fldChar w:fldCharType="end"/>
      </w:r>
      <w:bookmarkEnd w:id="261"/>
      <w:r w:rsidRPr="00BE407E">
        <w:rPr>
          <w:rFonts w:ascii="Times New Roman" w:eastAsia="Times New Roman" w:hAnsi="Times New Roman" w:cs="Times New Roman"/>
          <w:sz w:val="24"/>
          <w:szCs w:val="24"/>
          <w:lang w:val="en-US"/>
        </w:rPr>
        <w:t xml:space="preserve">  Such acts then become acts of the State, regardless of the fact that the acting person or entity was not, at the time of the commission of the acts, an organ of the State and was not mandated to act on behalf of the State. For example, in the </w:t>
      </w:r>
      <w:r w:rsidRPr="00BE407E">
        <w:rPr>
          <w:rFonts w:ascii="Times New Roman" w:eastAsia="Times New Roman" w:hAnsi="Times New Roman" w:cs="Times New Roman"/>
          <w:i/>
          <w:iCs/>
          <w:sz w:val="24"/>
          <w:szCs w:val="24"/>
          <w:lang w:val="en-US"/>
        </w:rPr>
        <w:t>Priebke case</w:t>
      </w:r>
      <w:r w:rsidRPr="00BE407E">
        <w:rPr>
          <w:rFonts w:ascii="Times New Roman" w:eastAsia="Times New Roman" w:hAnsi="Times New Roman" w:cs="Times New Roman"/>
          <w:sz w:val="24"/>
          <w:szCs w:val="24"/>
          <w:lang w:val="en-US"/>
        </w:rPr>
        <w:t xml:space="preserve"> in 1996, the Military Tribunal of Rome attributed responsibility to Italy for the behaviour of Italian partisans during the Second World War on the basis that it had encouraged their actions and had officially recognized them after the conflict.</w:t>
      </w:r>
      <w:bookmarkStart w:id="262" w:name="refFn_14_32"/>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"Fn_14_32"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[32]</w:t>
      </w:r>
      <w:r w:rsidRPr="00615181">
        <w:rPr>
          <w:rFonts w:ascii="Times New Roman" w:eastAsia="Times New Roman" w:hAnsi="Times New Roman" w:cs="Times New Roman"/>
          <w:sz w:val="24"/>
          <w:szCs w:val="24"/>
        </w:rPr>
        <w:fldChar w:fldCharType="end"/>
      </w:r>
      <w:bookmarkEnd w:id="262"/>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J. T. case</w:t>
      </w:r>
      <w:r w:rsidRPr="00BE407E">
        <w:rPr>
          <w:rFonts w:ascii="Times New Roman" w:eastAsia="Times New Roman" w:hAnsi="Times New Roman" w:cs="Times New Roman"/>
          <w:sz w:val="24"/>
          <w:szCs w:val="24"/>
          <w:lang w:val="en-US"/>
        </w:rPr>
        <w:t xml:space="preserve"> in 1949, the District Court of The Hague also raised the question of how far a State whose territory had been occupied could be held liable, after liberation, for acts committed by the resistance movement organized with the consent of the government-in-exile.</w:t>
      </w:r>
      <w:bookmarkStart w:id="263" w:name="refFn_14_33"/>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"Fn_14_33"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[33]</w:t>
      </w:r>
      <w:r w:rsidRPr="00615181">
        <w:rPr>
          <w:rFonts w:ascii="Times New Roman" w:eastAsia="Times New Roman" w:hAnsi="Times New Roman" w:cs="Times New Roman"/>
          <w:sz w:val="24"/>
          <w:szCs w:val="24"/>
        </w:rPr>
        <w:fldChar w:fldCharType="end"/>
      </w:r>
      <w:bookmarkEnd w:id="263"/>
      <w:r w:rsidRPr="00BE407E">
        <w:rPr>
          <w:rFonts w:ascii="Times New Roman" w:eastAsia="Times New Roman" w:hAnsi="Times New Roman" w:cs="Times New Roman"/>
          <w:sz w:val="24"/>
          <w:szCs w:val="24"/>
          <w:lang w:val="en-US"/>
        </w:rPr>
        <w:t xml:space="preserve">  The International Criminal Tribunal for the former Yugoslavia made the same point in its judgment on appeal in the </w:t>
      </w:r>
      <w:r w:rsidRPr="00BE407E">
        <w:rPr>
          <w:rFonts w:ascii="Times New Roman" w:eastAsia="Times New Roman" w:hAnsi="Times New Roman" w:cs="Times New Roman"/>
          <w:i/>
          <w:iCs/>
          <w:sz w:val="24"/>
          <w:szCs w:val="24"/>
          <w:lang w:val="en-US"/>
        </w:rPr>
        <w:t>Tadić case</w:t>
      </w:r>
      <w:r w:rsidRPr="00BE407E">
        <w:rPr>
          <w:rFonts w:ascii="Times New Roman" w:eastAsia="Times New Roman" w:hAnsi="Times New Roman" w:cs="Times New Roman"/>
          <w:sz w:val="24"/>
          <w:szCs w:val="24"/>
          <w:lang w:val="en-US"/>
        </w:rPr>
        <w:t xml:space="preserve"> in 1999, when it held that a State was responsible for the acts of individuals or groups that were not militarily organized and that could be regarded as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State organs if the unlawful act had been publicly endorsed or approved </w:t>
      </w:r>
      <w:r w:rsidRPr="00BE407E">
        <w:rPr>
          <w:rFonts w:ascii="Times New Roman" w:eastAsia="Times New Roman" w:hAnsi="Times New Roman" w:cs="Times New Roman"/>
          <w:i/>
          <w:iCs/>
          <w:sz w:val="24"/>
          <w:szCs w:val="24"/>
          <w:lang w:val="en-US"/>
        </w:rPr>
        <w:t>ex post facto</w:t>
      </w:r>
      <w:r w:rsidRPr="00BE407E">
        <w:rPr>
          <w:rFonts w:ascii="Times New Roman" w:eastAsia="Times New Roman" w:hAnsi="Times New Roman" w:cs="Times New Roman"/>
          <w:sz w:val="24"/>
          <w:szCs w:val="24"/>
          <w:lang w:val="en-US"/>
        </w:rPr>
        <w:t xml:space="preserve"> by the State.</w:t>
      </w:r>
      <w:bookmarkStart w:id="264" w:name="refFn_14_34"/>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"Fn_14_34"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[34]</w:t>
      </w:r>
      <w:r w:rsidRPr="00615181">
        <w:rPr>
          <w:rFonts w:ascii="Times New Roman" w:eastAsia="Times New Roman" w:hAnsi="Times New Roman" w:cs="Times New Roman"/>
          <w:sz w:val="24"/>
          <w:szCs w:val="24"/>
        </w:rPr>
        <w:fldChar w:fldCharType="end"/>
      </w:r>
      <w:bookmarkEnd w:id="264"/>
      <w:r w:rsidRPr="00BE407E">
        <w:rPr>
          <w:rFonts w:ascii="Times New Roman" w:eastAsia="Times New Roman" w:hAnsi="Times New Roman" w:cs="Times New Roman"/>
          <w:sz w:val="24"/>
          <w:szCs w:val="24"/>
          <w:lang w:val="en-US"/>
        </w:rPr>
        <w:t> </w:t>
      </w:r>
    </w:p>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lang w:val="en-US"/>
        </w:rPr>
        <w:t>Responsibility of armed opposition groups</w:t>
      </w:r>
    </w:p>
    <w:p w:rsidR="00615181" w:rsidRPr="00615181" w:rsidRDefault="00615181" w:rsidP="00615181">
      <w:pPr>
        <w:spacing w:after="24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Armed opposition groups must respect international humanitarian law (see Rule 139) and they must operate under a “responsible command”.</w:t>
      </w:r>
      <w:bookmarkStart w:id="265" w:name="refFn_14_35"/>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"Fn_14_35"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[35]</w:t>
      </w:r>
      <w:r w:rsidRPr="00615181">
        <w:rPr>
          <w:rFonts w:ascii="Times New Roman" w:eastAsia="Times New Roman" w:hAnsi="Times New Roman" w:cs="Times New Roman"/>
          <w:sz w:val="24"/>
          <w:szCs w:val="24"/>
        </w:rPr>
        <w:fldChar w:fldCharType="end"/>
      </w:r>
      <w:bookmarkEnd w:id="265"/>
      <w:r w:rsidRPr="00BE407E">
        <w:rPr>
          <w:rFonts w:ascii="Times New Roman" w:eastAsia="Times New Roman" w:hAnsi="Times New Roman" w:cs="Times New Roman"/>
          <w:sz w:val="24"/>
          <w:szCs w:val="24"/>
          <w:lang w:val="en-US"/>
        </w:rPr>
        <w:t>  It can therefore be argued that they incur responsibility for acts committed by persons forming part of such groups, but the consequences of such responsibility are not clear.</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Article 14(3) of the Draft Articles on State Responsibility, as provisionally adopted on first reading in 1996, stated that the fact that the conduct of an organ of an insurrectional movement was not to be considered an act of State “is without prejudice to the attribution of the conduct of the organ of the insurrectional movement to that movement in any case in which such attribution may be made under international law”.</w:t>
      </w:r>
      <w:bookmarkStart w:id="266" w:name="refFn_14_36"/>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"Fn_14_36"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[36]</w:t>
      </w:r>
      <w:r w:rsidRPr="00615181">
        <w:rPr>
          <w:rFonts w:ascii="Times New Roman" w:eastAsia="Times New Roman" w:hAnsi="Times New Roman" w:cs="Times New Roman"/>
          <w:sz w:val="24"/>
          <w:szCs w:val="24"/>
        </w:rPr>
        <w:fldChar w:fldCharType="end"/>
      </w:r>
      <w:bookmarkEnd w:id="266"/>
      <w:r w:rsidRPr="00BE407E">
        <w:rPr>
          <w:rFonts w:ascii="Times New Roman" w:eastAsia="Times New Roman" w:hAnsi="Times New Roman" w:cs="Times New Roman"/>
          <w:sz w:val="24"/>
          <w:szCs w:val="24"/>
          <w:lang w:val="en-US"/>
        </w:rPr>
        <w:t>  While this Article was subsequently deleted because it was deemed to fall outside the scope of the subject matter under discussion, the Special Rapporteur noted that “the responsibility of such movements, for example for breaches of international humanitarian law, can certainly be envisaged”.</w:t>
      </w:r>
      <w:bookmarkStart w:id="267" w:name="refFn_14_37"/>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"Fn_14_37"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[37]</w:t>
      </w:r>
      <w:r w:rsidRPr="00615181">
        <w:rPr>
          <w:rFonts w:ascii="Times New Roman" w:eastAsia="Times New Roman" w:hAnsi="Times New Roman" w:cs="Times New Roman"/>
          <w:sz w:val="24"/>
          <w:szCs w:val="24"/>
        </w:rPr>
        <w:fldChar w:fldCharType="end"/>
      </w:r>
      <w:bookmarkEnd w:id="267"/>
      <w:r w:rsidRPr="00BE407E">
        <w:rPr>
          <w:rFonts w:ascii="Times New Roman" w:eastAsia="Times New Roman" w:hAnsi="Times New Roman" w:cs="Times New Roman"/>
          <w:sz w:val="24"/>
          <w:szCs w:val="24"/>
          <w:lang w:val="en-US"/>
        </w:rPr>
        <w:t>  As a result of the exclusion of this subject from the Draft Articles, Article 10 states only that the conduct of an insurrectional movement which becomes the new government must be considered an act of that State under international law.</w:t>
      </w:r>
      <w:bookmarkStart w:id="268" w:name="refFn_14_38"/>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"Fn_14_38"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[38]</w:t>
      </w:r>
      <w:r w:rsidRPr="00615181">
        <w:rPr>
          <w:rFonts w:ascii="Times New Roman" w:eastAsia="Times New Roman" w:hAnsi="Times New Roman" w:cs="Times New Roman"/>
          <w:sz w:val="24"/>
          <w:szCs w:val="24"/>
        </w:rPr>
        <w:fldChar w:fldCharType="end"/>
      </w:r>
      <w:bookmarkEnd w:id="268"/>
      <w:r w:rsidRPr="00BE407E">
        <w:rPr>
          <w:rFonts w:ascii="Times New Roman" w:eastAsia="Times New Roman" w:hAnsi="Times New Roman" w:cs="Times New Roman"/>
          <w:sz w:val="24"/>
          <w:szCs w:val="24"/>
          <w:lang w:val="en-US"/>
        </w:rPr>
        <w:t> </w:t>
      </w:r>
      <w:r w:rsidRPr="00615181">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addition to practice indicating the obligation of armed opposition groups to respect international humanitarian law (see commentary to Rule 139), there are some examples of attribution of responsibility to armed opposition groups. For example, in a report on the situation of human rights in Sudan, the Special Rapporteur of the UN Commission on Human Rights stated that the Sudanese People’s Liberation Army was responsible for the killing and abduction of civilians, looting and hostage-taking of relief workers committed by “local commanders from its own ranks”.</w:t>
      </w:r>
      <w:bookmarkStart w:id="269" w:name="refFn_14_39"/>
      <w:r w:rsidRPr="00615181">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"https://ihl-databases.icrc.org/customary-ihl/eng/docs/v1_rul_rule149" \l "Fn_14_39"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[39]</w:t>
      </w:r>
      <w:r w:rsidRPr="00615181">
        <w:rPr>
          <w:rFonts w:ascii="Times New Roman" w:eastAsia="Times New Roman" w:hAnsi="Times New Roman" w:cs="Times New Roman"/>
          <w:sz w:val="24"/>
          <w:szCs w:val="24"/>
        </w:rPr>
        <w:fldChar w:fldCharType="end"/>
      </w:r>
      <w:bookmarkEnd w:id="269"/>
      <w:r w:rsidRPr="00BE407E">
        <w:rPr>
          <w:rFonts w:ascii="Times New Roman" w:eastAsia="Times New Roman" w:hAnsi="Times New Roman" w:cs="Times New Roman"/>
          <w:sz w:val="24"/>
          <w:szCs w:val="24"/>
          <w:lang w:val="en-US"/>
        </w:rPr>
        <w:t> </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1" w:anchor="refFn_14_1" w:history="1">
        <w:r w:rsidRPr="00BE407E">
          <w:rPr>
            <w:rFonts w:ascii="Times New Roman" w:eastAsia="Times New Roman" w:hAnsi="Times New Roman" w:cs="Times New Roman"/>
            <w:color w:val="0000FF"/>
            <w:sz w:val="24"/>
            <w:szCs w:val="24"/>
            <w:u w:val="single"/>
            <w:lang w:val="en-US"/>
          </w:rPr>
          <w:t>[1]</w:t>
        </w:r>
      </w:hyperlink>
      <w:r w:rsidRPr="00615181">
        <w:rPr>
          <w:rFonts w:ascii="Times New Roman" w:eastAsia="Times New Roman" w:hAnsi="Times New Roman" w:cs="Times New Roman"/>
          <w:sz w:val="24"/>
          <w:szCs w:val="24"/>
          <w:lang w:val="en-US"/>
        </w:rPr>
        <w:t xml:space="preserve"> Hague Convention (IV), Article 3 (cited in Vol. II. Ch. 42, § 1); Additional Protocol I, Article 91 (adopted by consensus)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2" w:anchor="refFn_14_2" w:history="1">
        <w:r w:rsidRPr="00BE407E">
          <w:rPr>
            <w:rFonts w:ascii="Times New Roman" w:eastAsia="Times New Roman" w:hAnsi="Times New Roman" w:cs="Times New Roman"/>
            <w:color w:val="0000FF"/>
            <w:sz w:val="24"/>
            <w:szCs w:val="24"/>
            <w:u w:val="single"/>
            <w:lang w:val="en-US"/>
          </w:rPr>
          <w:t>[2]</w:t>
        </w:r>
      </w:hyperlink>
      <w:r w:rsidRPr="00615181">
        <w:rPr>
          <w:rFonts w:ascii="Times New Roman" w:eastAsia="Times New Roman" w:hAnsi="Times New Roman" w:cs="Times New Roman"/>
          <w:sz w:val="24"/>
          <w:szCs w:val="24"/>
          <w:lang w:val="en-US"/>
        </w:rPr>
        <w:t xml:space="preserve"> See Article 4 of the Draft Articles on State Responsibility, adopted in 2001 after more than 40 years of work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8). These Draft Articles “seek to formulate … the basic rules of international law concerning the responsibility of States for their internationally wrongful acts” (International Law Commission, Commentaries to the </w:t>
      </w:r>
      <w:r w:rsidRPr="00615181">
        <w:rPr>
          <w:rFonts w:ascii="Times New Roman" w:eastAsia="Times New Roman" w:hAnsi="Times New Roman" w:cs="Times New Roman"/>
          <w:sz w:val="24"/>
          <w:szCs w:val="24"/>
          <w:lang w:val="en-US"/>
        </w:rPr>
        <w:lastRenderedPageBreak/>
        <w:t>Draft Articles on State Responsibility, Report of the International Law Commission on the work of its Fifty-third session, UN Doc. A/56/10, New York, 2001, p. 59). They were taken note of in UN General Assembly Resolution 56/83 on the responsibility of States for internationally wrongful acts (cited in Vol. II. Ch. 42, § 51), which commended them to the attention of governments.</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3" w:anchor="refFn_14_3" w:history="1">
        <w:r w:rsidRPr="00BE407E">
          <w:rPr>
            <w:rFonts w:ascii="Times New Roman" w:eastAsia="Times New Roman" w:hAnsi="Times New Roman" w:cs="Times New Roman"/>
            <w:color w:val="0000FF"/>
            <w:sz w:val="24"/>
            <w:szCs w:val="24"/>
            <w:u w:val="single"/>
            <w:lang w:val="en-US"/>
          </w:rPr>
          <w:t>[3]</w:t>
        </w:r>
      </w:hyperlink>
      <w:r w:rsidRPr="00615181">
        <w:rPr>
          <w:rFonts w:ascii="Times New Roman" w:eastAsia="Times New Roman" w:hAnsi="Times New Roman" w:cs="Times New Roman"/>
          <w:sz w:val="24"/>
          <w:szCs w:val="24"/>
          <w:lang w:val="en-US"/>
        </w:rPr>
        <w:t xml:space="preserve"> First Geneva Convention, Article 51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 Second Geneva Convention, Article 52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 Third Geneva Convention, Article 131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 Fourth Geneva Convention, Article 148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4" w:anchor="refFn_14_4" w:history="1">
        <w:r w:rsidRPr="00BE407E">
          <w:rPr>
            <w:rFonts w:ascii="Times New Roman" w:eastAsia="Times New Roman" w:hAnsi="Times New Roman" w:cs="Times New Roman"/>
            <w:color w:val="0000FF"/>
            <w:sz w:val="24"/>
            <w:szCs w:val="24"/>
            <w:u w:val="single"/>
            <w:lang w:val="en-US"/>
          </w:rPr>
          <w:t>[4]</w:t>
        </w:r>
      </w:hyperlink>
      <w:r w:rsidRPr="00615181">
        <w:rPr>
          <w:rFonts w:ascii="Times New Roman" w:eastAsia="Times New Roman" w:hAnsi="Times New Roman" w:cs="Times New Roman"/>
          <w:sz w:val="24"/>
          <w:szCs w:val="24"/>
          <w:lang w:val="en-US"/>
        </w:rPr>
        <w:t xml:space="preserve"> Second Protocol to the Hague Convention for the Protection of Cultural Property, Article 38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5" w:anchor="refFn_14_5" w:history="1">
        <w:r w:rsidRPr="00BE407E">
          <w:rPr>
            <w:rFonts w:ascii="Times New Roman" w:eastAsia="Times New Roman" w:hAnsi="Times New Roman" w:cs="Times New Roman"/>
            <w:color w:val="0000FF"/>
            <w:sz w:val="24"/>
            <w:szCs w:val="24"/>
            <w:u w:val="single"/>
            <w:lang w:val="en-US"/>
          </w:rPr>
          <w:t>[5]</w:t>
        </w:r>
      </w:hyperlink>
      <w:r w:rsidRPr="00615181">
        <w:rPr>
          <w:rFonts w:ascii="Times New Roman" w:eastAsia="Times New Roman" w:hAnsi="Times New Roman" w:cs="Times New Roman"/>
          <w:sz w:val="24"/>
          <w:szCs w:val="24"/>
          <w:lang w:val="en-US"/>
        </w:rPr>
        <w:t xml:space="preserve"> See, e.g., the military manuals of Argentina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9), Canada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10), Colombia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11), Germany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12), Netherlands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13), New Zealand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14), Nigeria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15), Russian Federation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16), Spain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17), Switzerland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18), United Kingdom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19), United States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20–21) and Yugoslavia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22).</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6" w:anchor="refFn_14_6" w:history="1">
        <w:r w:rsidRPr="00BE407E">
          <w:rPr>
            <w:rFonts w:ascii="Times New Roman" w:eastAsia="Times New Roman" w:hAnsi="Times New Roman" w:cs="Times New Roman"/>
            <w:color w:val="0000FF"/>
            <w:sz w:val="24"/>
            <w:szCs w:val="24"/>
            <w:u w:val="single"/>
            <w:lang w:val="en-US"/>
          </w:rPr>
          <w:t>[6]</w:t>
        </w:r>
      </w:hyperlink>
      <w:r w:rsidRPr="00615181">
        <w:rPr>
          <w:rFonts w:ascii="Times New Roman" w:eastAsia="Times New Roman" w:hAnsi="Times New Roman" w:cs="Times New Roman"/>
          <w:sz w:val="24"/>
          <w:szCs w:val="24"/>
          <w:lang w:val="en-US"/>
        </w:rPr>
        <w:t xml:space="preserve"> Israel, District Court of Jerusalem,</w:t>
      </w:r>
      <w:r w:rsidRPr="00615181">
        <w:rPr>
          <w:rFonts w:ascii="Times New Roman" w:eastAsia="Times New Roman" w:hAnsi="Times New Roman" w:cs="Times New Roman"/>
          <w:i/>
          <w:iCs/>
          <w:sz w:val="24"/>
          <w:szCs w:val="24"/>
          <w:lang w:val="en-US"/>
        </w:rPr>
        <w:t xml:space="preserve"> Eichmann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26).</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7" w:anchor="refFn_14_7" w:history="1">
        <w:r w:rsidRPr="00BE407E">
          <w:rPr>
            <w:rFonts w:ascii="Times New Roman" w:eastAsia="Times New Roman" w:hAnsi="Times New Roman" w:cs="Times New Roman"/>
            <w:color w:val="0000FF"/>
            <w:sz w:val="24"/>
            <w:szCs w:val="24"/>
            <w:u w:val="single"/>
            <w:lang w:val="en-US"/>
          </w:rPr>
          <w:t>[7]</w:t>
        </w:r>
      </w:hyperlink>
      <w:r w:rsidRPr="00615181">
        <w:rPr>
          <w:rFonts w:ascii="Times New Roman" w:eastAsia="Times New Roman" w:hAnsi="Times New Roman" w:cs="Times New Roman"/>
          <w:sz w:val="24"/>
          <w:szCs w:val="24"/>
          <w:lang w:val="en-US"/>
        </w:rPr>
        <w:t xml:space="preserve"> Germany, Federal Supreme Court,</w:t>
      </w:r>
      <w:r w:rsidRPr="00615181">
        <w:rPr>
          <w:rFonts w:ascii="Times New Roman" w:eastAsia="Times New Roman" w:hAnsi="Times New Roman" w:cs="Times New Roman"/>
          <w:i/>
          <w:iCs/>
          <w:sz w:val="24"/>
          <w:szCs w:val="24"/>
          <w:lang w:val="en-US"/>
        </w:rPr>
        <w:t xml:space="preserve"> Reparation Payments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24).</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8" w:anchor="refFn_14_8" w:history="1">
        <w:r w:rsidRPr="00BE407E">
          <w:rPr>
            <w:rFonts w:ascii="Times New Roman" w:eastAsia="Times New Roman" w:hAnsi="Times New Roman" w:cs="Times New Roman"/>
            <w:color w:val="0000FF"/>
            <w:sz w:val="24"/>
            <w:szCs w:val="24"/>
            <w:u w:val="single"/>
            <w:lang w:val="en-US"/>
          </w:rPr>
          <w:t>[8]</w:t>
        </w:r>
      </w:hyperlink>
      <w:r w:rsidRPr="00615181">
        <w:rPr>
          <w:rFonts w:ascii="Times New Roman" w:eastAsia="Times New Roman" w:hAnsi="Times New Roman" w:cs="Times New Roman"/>
          <w:sz w:val="24"/>
          <w:szCs w:val="24"/>
          <w:lang w:val="en-US"/>
        </w:rPr>
        <w:t xml:space="preserve"> Germany, Federal Supreme Court, </w:t>
      </w:r>
      <w:r w:rsidRPr="00615181">
        <w:rPr>
          <w:rFonts w:ascii="Times New Roman" w:eastAsia="Times New Roman" w:hAnsi="Times New Roman" w:cs="Times New Roman"/>
          <w:i/>
          <w:iCs/>
          <w:sz w:val="24"/>
          <w:szCs w:val="24"/>
          <w:lang w:val="en-US"/>
        </w:rPr>
        <w:t xml:space="preserve">Distomo case </w:t>
      </w:r>
      <w:r w:rsidRPr="00615181">
        <w:rPr>
          <w:rFonts w:ascii="Times New Roman" w:eastAsia="Times New Roman" w:hAnsi="Times New Roman" w:cs="Times New Roman"/>
          <w:sz w:val="24"/>
          <w:szCs w:val="24"/>
          <w:lang w:val="en-US"/>
        </w:rPr>
        <w:t>(</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25).</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59" w:anchor="refFn_14_9" w:history="1">
        <w:r w:rsidRPr="00BE407E">
          <w:rPr>
            <w:rFonts w:ascii="Times New Roman" w:eastAsia="Times New Roman" w:hAnsi="Times New Roman" w:cs="Times New Roman"/>
            <w:color w:val="0000FF"/>
            <w:sz w:val="24"/>
            <w:szCs w:val="24"/>
            <w:u w:val="single"/>
            <w:lang w:val="en-US"/>
          </w:rPr>
          <w:t>[9]</w:t>
        </w:r>
      </w:hyperlink>
      <w:r w:rsidRPr="00615181">
        <w:rPr>
          <w:rFonts w:ascii="Times New Roman" w:eastAsia="Times New Roman" w:hAnsi="Times New Roman" w:cs="Times New Roman"/>
          <w:sz w:val="24"/>
          <w:szCs w:val="24"/>
          <w:lang w:val="en-US"/>
        </w:rPr>
        <w:t xml:space="preserve"> Netherlands, District Court of The Hague,</w:t>
      </w:r>
      <w:r w:rsidRPr="00615181">
        <w:rPr>
          <w:rFonts w:ascii="Times New Roman" w:eastAsia="Times New Roman" w:hAnsi="Times New Roman" w:cs="Times New Roman"/>
          <w:i/>
          <w:iCs/>
          <w:sz w:val="24"/>
          <w:szCs w:val="24"/>
          <w:lang w:val="en-US"/>
        </w:rPr>
        <w:t xml:space="preserve"> J. T.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28).</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0" w:anchor="refFn_14_10" w:history="1">
        <w:r w:rsidRPr="00BE407E">
          <w:rPr>
            <w:rFonts w:ascii="Times New Roman" w:eastAsia="Times New Roman" w:hAnsi="Times New Roman" w:cs="Times New Roman"/>
            <w:color w:val="0000FF"/>
            <w:sz w:val="24"/>
            <w:szCs w:val="24"/>
            <w:u w:val="single"/>
            <w:lang w:val="en-US"/>
          </w:rPr>
          <w:t>[10]</w:t>
        </w:r>
      </w:hyperlink>
      <w:r w:rsidRPr="00615181">
        <w:rPr>
          <w:rFonts w:ascii="Times New Roman" w:eastAsia="Times New Roman" w:hAnsi="Times New Roman" w:cs="Times New Roman"/>
          <w:sz w:val="24"/>
          <w:szCs w:val="24"/>
          <w:lang w:val="en-US"/>
        </w:rPr>
        <w:t xml:space="preserve"> See, e.g., the statements of Argentina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29), Austria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30), China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31), Indonesia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32), Islamic Republic of Iran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33), Israel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34), Mexico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36), Norway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37), Pakistan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38), Peru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39), Solomon Islands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40), Turkey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42), United Kingdom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43), United States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44) and Yugoslavia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46) and the reported practice of Israel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35) and Spain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41).</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1" w:anchor="refFn_14_11" w:history="1">
        <w:r w:rsidRPr="00BE407E">
          <w:rPr>
            <w:rFonts w:ascii="Times New Roman" w:eastAsia="Times New Roman" w:hAnsi="Times New Roman" w:cs="Times New Roman"/>
            <w:color w:val="0000FF"/>
            <w:sz w:val="24"/>
            <w:szCs w:val="24"/>
            <w:u w:val="single"/>
            <w:lang w:val="en-US"/>
          </w:rPr>
          <w:t>[11]</w:t>
        </w:r>
      </w:hyperlink>
      <w:r w:rsidRPr="00615181">
        <w:rPr>
          <w:rFonts w:ascii="Times New Roman" w:eastAsia="Times New Roman" w:hAnsi="Times New Roman" w:cs="Times New Roman"/>
          <w:sz w:val="24"/>
          <w:szCs w:val="24"/>
          <w:lang w:val="en-US"/>
        </w:rPr>
        <w:t xml:space="preserve"> ICTY, </w:t>
      </w:r>
      <w:r w:rsidRPr="00615181">
        <w:rPr>
          <w:rFonts w:ascii="Times New Roman" w:eastAsia="Times New Roman" w:hAnsi="Times New Roman" w:cs="Times New Roman"/>
          <w:i/>
          <w:iCs/>
          <w:sz w:val="24"/>
          <w:szCs w:val="24"/>
          <w:lang w:val="en-US"/>
        </w:rPr>
        <w:t>Furundžija case</w:t>
      </w:r>
      <w:r w:rsidRPr="00615181">
        <w:rPr>
          <w:rFonts w:ascii="Times New Roman" w:eastAsia="Times New Roman" w:hAnsi="Times New Roman" w:cs="Times New Roman"/>
          <w:sz w:val="24"/>
          <w:szCs w:val="24"/>
          <w:lang w:val="en-US"/>
        </w:rPr>
        <w:t>, Judgment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62) and </w:t>
      </w:r>
      <w:r w:rsidRPr="00615181">
        <w:rPr>
          <w:rFonts w:ascii="Times New Roman" w:eastAsia="Times New Roman" w:hAnsi="Times New Roman" w:cs="Times New Roman"/>
          <w:i/>
          <w:iCs/>
          <w:sz w:val="24"/>
          <w:szCs w:val="24"/>
          <w:lang w:val="en-US"/>
        </w:rPr>
        <w:t>Tadić</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63).</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2" w:anchor="refFn_14_12" w:history="1">
        <w:r w:rsidRPr="00BE407E">
          <w:rPr>
            <w:rFonts w:ascii="Times New Roman" w:eastAsia="Times New Roman" w:hAnsi="Times New Roman" w:cs="Times New Roman"/>
            <w:color w:val="0000FF"/>
            <w:sz w:val="24"/>
            <w:szCs w:val="24"/>
            <w:u w:val="single"/>
            <w:lang w:val="en-US"/>
          </w:rPr>
          <w:t>[12]</w:t>
        </w:r>
      </w:hyperlink>
      <w:r w:rsidRPr="00615181">
        <w:rPr>
          <w:rFonts w:ascii="Times New Roman" w:eastAsia="Times New Roman" w:hAnsi="Times New Roman" w:cs="Times New Roman"/>
          <w:sz w:val="24"/>
          <w:szCs w:val="24"/>
          <w:lang w:val="en-US"/>
        </w:rPr>
        <w:t xml:space="preserve"> Draft Articles on State Responsibility, Article 2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8). </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3" w:anchor="refFn_14_13" w:history="1">
        <w:r w:rsidRPr="00BE407E">
          <w:rPr>
            <w:rFonts w:ascii="Times New Roman" w:eastAsia="Times New Roman" w:hAnsi="Times New Roman" w:cs="Times New Roman"/>
            <w:color w:val="0000FF"/>
            <w:sz w:val="24"/>
            <w:szCs w:val="24"/>
            <w:u w:val="single"/>
            <w:lang w:val="en-US"/>
          </w:rPr>
          <w:t>[13]</w:t>
        </w:r>
      </w:hyperlink>
      <w:r w:rsidRPr="00615181">
        <w:rPr>
          <w:rFonts w:ascii="Times New Roman" w:eastAsia="Times New Roman" w:hAnsi="Times New Roman" w:cs="Times New Roman"/>
          <w:sz w:val="24"/>
          <w:szCs w:val="24"/>
          <w:lang w:val="en-US"/>
        </w:rPr>
        <w:t xml:space="preserve"> Arbitral Tribunal, </w:t>
      </w:r>
      <w:r w:rsidRPr="00615181">
        <w:rPr>
          <w:rFonts w:ascii="Times New Roman" w:eastAsia="Times New Roman" w:hAnsi="Times New Roman" w:cs="Times New Roman"/>
          <w:i/>
          <w:iCs/>
          <w:sz w:val="24"/>
          <w:szCs w:val="24"/>
          <w:lang w:val="en-US"/>
        </w:rPr>
        <w:t>British Claims in the Spanish Zone of Morocco case (Affaire des biens britanniques au Maroc espagnol)</w:t>
      </w:r>
      <w:r w:rsidRPr="00615181">
        <w:rPr>
          <w:rFonts w:ascii="Times New Roman" w:eastAsia="Times New Roman" w:hAnsi="Times New Roman" w:cs="Times New Roman"/>
          <w:sz w:val="24"/>
          <w:szCs w:val="24"/>
          <w:lang w:val="en-US"/>
        </w:rPr>
        <w:t xml:space="preserve">, Arbitral Award, 1 May 1925, reprinted in </w:t>
      </w:r>
      <w:r w:rsidRPr="00615181">
        <w:rPr>
          <w:rFonts w:ascii="Times New Roman" w:eastAsia="Times New Roman" w:hAnsi="Times New Roman" w:cs="Times New Roman"/>
          <w:i/>
          <w:iCs/>
          <w:sz w:val="24"/>
          <w:szCs w:val="24"/>
          <w:lang w:val="en-US"/>
        </w:rPr>
        <w:t>Reports of International Arbitral Awards</w:t>
      </w:r>
      <w:r w:rsidRPr="00615181">
        <w:rPr>
          <w:rFonts w:ascii="Times New Roman" w:eastAsia="Times New Roman" w:hAnsi="Times New Roman" w:cs="Times New Roman"/>
          <w:sz w:val="24"/>
          <w:szCs w:val="24"/>
          <w:lang w:val="en-US"/>
        </w:rPr>
        <w:t>, Vol. II, United Nations, New York, 1949, Section III(II), pp. 642–646, §§ 3–6.</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4" w:anchor="refFn_14_14" w:history="1">
        <w:r w:rsidRPr="00BE407E">
          <w:rPr>
            <w:rFonts w:ascii="Times New Roman" w:eastAsia="Times New Roman" w:hAnsi="Times New Roman" w:cs="Times New Roman"/>
            <w:color w:val="0000FF"/>
            <w:sz w:val="24"/>
            <w:szCs w:val="24"/>
            <w:u w:val="single"/>
            <w:lang w:val="en-US"/>
          </w:rPr>
          <w:t>[14]</w:t>
        </w:r>
      </w:hyperlink>
      <w:r w:rsidRPr="00615181">
        <w:rPr>
          <w:rFonts w:ascii="Times New Roman" w:eastAsia="Times New Roman" w:hAnsi="Times New Roman" w:cs="Times New Roman"/>
          <w:sz w:val="24"/>
          <w:szCs w:val="24"/>
          <w:lang w:val="en-US"/>
        </w:rPr>
        <w:t xml:space="preserve"> United Kingdom, Military Court at Essen, </w:t>
      </w:r>
      <w:r w:rsidRPr="00615181">
        <w:rPr>
          <w:rFonts w:ascii="Times New Roman" w:eastAsia="Times New Roman" w:hAnsi="Times New Roman" w:cs="Times New Roman"/>
          <w:i/>
          <w:iCs/>
          <w:sz w:val="24"/>
          <w:szCs w:val="24"/>
          <w:lang w:val="en-US"/>
        </w:rPr>
        <w:t>The Essen Lynching case</w:t>
      </w:r>
      <w:r w:rsidRPr="00615181">
        <w:rPr>
          <w:rFonts w:ascii="Times New Roman" w:eastAsia="Times New Roman" w:hAnsi="Times New Roman" w:cs="Times New Roman"/>
          <w:sz w:val="24"/>
          <w:szCs w:val="24"/>
          <w:lang w:val="en-US"/>
        </w:rPr>
        <w:t xml:space="preserve">, Judgment, 21–22 December 1945, </w:t>
      </w:r>
      <w:r w:rsidRPr="00615181">
        <w:rPr>
          <w:rFonts w:ascii="Times New Roman" w:eastAsia="Times New Roman" w:hAnsi="Times New Roman" w:cs="Times New Roman"/>
          <w:i/>
          <w:iCs/>
          <w:sz w:val="24"/>
          <w:szCs w:val="24"/>
          <w:lang w:val="en-US"/>
        </w:rPr>
        <w:t>WCR</w:t>
      </w:r>
      <w:r w:rsidRPr="00615181">
        <w:rPr>
          <w:rFonts w:ascii="Times New Roman" w:eastAsia="Times New Roman" w:hAnsi="Times New Roman" w:cs="Times New Roman"/>
          <w:sz w:val="24"/>
          <w:szCs w:val="24"/>
          <w:lang w:val="en-US"/>
        </w:rPr>
        <w:t xml:space="preserve">, Vol. I, 1946, p. 88. </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5" w:anchor="refFn_14_15" w:history="1">
        <w:r w:rsidRPr="00BE407E">
          <w:rPr>
            <w:rFonts w:ascii="Times New Roman" w:eastAsia="Times New Roman" w:hAnsi="Times New Roman" w:cs="Times New Roman"/>
            <w:color w:val="0000FF"/>
            <w:sz w:val="24"/>
            <w:szCs w:val="24"/>
            <w:u w:val="single"/>
            <w:lang w:val="en-US"/>
          </w:rPr>
          <w:t>[15]</w:t>
        </w:r>
      </w:hyperlink>
      <w:r w:rsidRPr="00615181">
        <w:rPr>
          <w:rFonts w:ascii="Times New Roman" w:eastAsia="Times New Roman" w:hAnsi="Times New Roman" w:cs="Times New Roman"/>
          <w:sz w:val="24"/>
          <w:szCs w:val="24"/>
          <w:lang w:val="en-US"/>
        </w:rPr>
        <w:t xml:space="preserve"> Inter-American Court of Human Rights, </w:t>
      </w:r>
      <w:r w:rsidRPr="00615181">
        <w:rPr>
          <w:rFonts w:ascii="Times New Roman" w:eastAsia="Times New Roman" w:hAnsi="Times New Roman" w:cs="Times New Roman"/>
          <w:i/>
          <w:iCs/>
          <w:sz w:val="24"/>
          <w:szCs w:val="24"/>
          <w:lang w:val="en-US"/>
        </w:rPr>
        <w:t>Velásquez Rodríguez case</w:t>
      </w:r>
      <w:r w:rsidRPr="00615181">
        <w:rPr>
          <w:rFonts w:ascii="Times New Roman" w:eastAsia="Times New Roman" w:hAnsi="Times New Roman" w:cs="Times New Roman"/>
          <w:sz w:val="24"/>
          <w:szCs w:val="24"/>
          <w:lang w:val="en-US"/>
        </w:rPr>
        <w:t xml:space="preserve"> (cited in Vol. II, Ch. 42, § 69).</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6" w:anchor="refFn_14_16" w:history="1">
        <w:r w:rsidRPr="00BE407E">
          <w:rPr>
            <w:rFonts w:ascii="Times New Roman" w:eastAsia="Times New Roman" w:hAnsi="Times New Roman" w:cs="Times New Roman"/>
            <w:color w:val="0000FF"/>
            <w:sz w:val="24"/>
            <w:szCs w:val="24"/>
            <w:u w:val="single"/>
            <w:lang w:val="en-US"/>
          </w:rPr>
          <w:t>[16]</w:t>
        </w:r>
      </w:hyperlink>
      <w:r w:rsidRPr="00615181">
        <w:rPr>
          <w:rFonts w:ascii="Times New Roman" w:eastAsia="Times New Roman" w:hAnsi="Times New Roman" w:cs="Times New Roman"/>
          <w:sz w:val="24"/>
          <w:szCs w:val="24"/>
          <w:lang w:val="en-US"/>
        </w:rPr>
        <w:t xml:space="preserve"> African Commission on Human and Peoples’ Rights, </w:t>
      </w:r>
      <w:r w:rsidRPr="00615181">
        <w:rPr>
          <w:rFonts w:ascii="Times New Roman" w:eastAsia="Times New Roman" w:hAnsi="Times New Roman" w:cs="Times New Roman"/>
          <w:i/>
          <w:iCs/>
          <w:sz w:val="24"/>
          <w:szCs w:val="24"/>
          <w:lang w:val="en-US"/>
        </w:rPr>
        <w:t>Civil Liberties Organisation v. Chad</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67).</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7" w:anchor="refFn_14_17" w:history="1">
        <w:r w:rsidRPr="00BE407E">
          <w:rPr>
            <w:rFonts w:ascii="Times New Roman" w:eastAsia="Times New Roman" w:hAnsi="Times New Roman" w:cs="Times New Roman"/>
            <w:color w:val="0000FF"/>
            <w:sz w:val="24"/>
            <w:szCs w:val="24"/>
            <w:u w:val="single"/>
            <w:lang w:val="en-US"/>
          </w:rPr>
          <w:t>[17]</w:t>
        </w:r>
      </w:hyperlink>
      <w:r w:rsidRPr="00615181">
        <w:rPr>
          <w:rFonts w:ascii="Times New Roman" w:eastAsia="Times New Roman" w:hAnsi="Times New Roman" w:cs="Times New Roman"/>
          <w:sz w:val="24"/>
          <w:szCs w:val="24"/>
          <w:lang w:val="en-US"/>
        </w:rPr>
        <w:t xml:space="preserve"> See Draft Articles on State Responsibility, Article 5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8) (State responsibility for such persons or entities is limited to their conduct whilst acting in the capacity vested in them).</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8" w:anchor="refFn_14_18" w:history="1">
        <w:r w:rsidRPr="00BE407E">
          <w:rPr>
            <w:rFonts w:ascii="Times New Roman" w:eastAsia="Times New Roman" w:hAnsi="Times New Roman" w:cs="Times New Roman"/>
            <w:color w:val="0000FF"/>
            <w:sz w:val="24"/>
            <w:szCs w:val="24"/>
            <w:u w:val="single"/>
            <w:lang w:val="en-US"/>
          </w:rPr>
          <w:t>[18]</w:t>
        </w:r>
      </w:hyperlink>
      <w:r w:rsidRPr="00615181">
        <w:rPr>
          <w:rFonts w:ascii="Times New Roman" w:eastAsia="Times New Roman" w:hAnsi="Times New Roman" w:cs="Times New Roman"/>
          <w:sz w:val="24"/>
          <w:szCs w:val="24"/>
          <w:lang w:val="en-US"/>
        </w:rPr>
        <w:t xml:space="preserve"> See Draft Articles on State Responsibility, Article 7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8).</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69" w:anchor="refFn_14_19" w:history="1">
        <w:r w:rsidRPr="00BE407E">
          <w:rPr>
            <w:rFonts w:ascii="Times New Roman" w:eastAsia="Times New Roman" w:hAnsi="Times New Roman" w:cs="Times New Roman"/>
            <w:color w:val="0000FF"/>
            <w:sz w:val="24"/>
            <w:szCs w:val="24"/>
            <w:u w:val="single"/>
            <w:lang w:val="en-US"/>
          </w:rPr>
          <w:t>[19]</w:t>
        </w:r>
      </w:hyperlink>
      <w:r w:rsidRPr="00615181">
        <w:rPr>
          <w:rFonts w:ascii="Times New Roman" w:eastAsia="Times New Roman" w:hAnsi="Times New Roman" w:cs="Times New Roman"/>
          <w:sz w:val="24"/>
          <w:szCs w:val="24"/>
          <w:lang w:val="en-US"/>
        </w:rPr>
        <w:t xml:space="preserve"> 1907 Hague Convention (IV), Article 3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1); Additional Protocol I, Article 91 (adopted by consensus)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3).</w:t>
      </w:r>
    </w:p>
    <w:p w:rsidR="00615181" w:rsidRPr="00615181" w:rsidRDefault="00615181" w:rsidP="00615181">
      <w:pPr>
        <w:spacing w:after="0" w:line="240" w:lineRule="auto"/>
        <w:rPr>
          <w:rFonts w:ascii="Times New Roman" w:eastAsia="Times New Roman" w:hAnsi="Times New Roman" w:cs="Times New Roman"/>
          <w:sz w:val="24"/>
          <w:szCs w:val="24"/>
          <w:lang w:val="en-US"/>
        </w:rPr>
      </w:pPr>
      <w:hyperlink r:id="rId70" w:anchor="refFn_14_20" w:history="1">
        <w:r w:rsidRPr="00BE407E">
          <w:rPr>
            <w:rFonts w:ascii="Times New Roman" w:eastAsia="Times New Roman" w:hAnsi="Times New Roman" w:cs="Times New Roman"/>
            <w:color w:val="0000FF"/>
            <w:sz w:val="24"/>
            <w:szCs w:val="24"/>
            <w:u w:val="single"/>
            <w:lang w:val="en-US"/>
          </w:rPr>
          <w:t>[20]</w:t>
        </w:r>
      </w:hyperlink>
      <w:r w:rsidRPr="00615181">
        <w:rPr>
          <w:rFonts w:ascii="Times New Roman" w:eastAsia="Times New Roman" w:hAnsi="Times New Roman" w:cs="Times New Roman"/>
          <w:sz w:val="24"/>
          <w:szCs w:val="24"/>
          <w:lang w:val="en-US"/>
        </w:rPr>
        <w:t xml:space="preserve"> Germany, Federal Supreme Court, </w:t>
      </w:r>
      <w:r w:rsidRPr="00615181">
        <w:rPr>
          <w:rFonts w:ascii="Times New Roman" w:eastAsia="Times New Roman" w:hAnsi="Times New Roman" w:cs="Times New Roman"/>
          <w:i/>
          <w:iCs/>
          <w:sz w:val="24"/>
          <w:szCs w:val="24"/>
          <w:lang w:val="en-US"/>
        </w:rPr>
        <w:t>Distomo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25). Apparent contrary practice can be found in the </w:t>
      </w:r>
      <w:r w:rsidRPr="00615181">
        <w:rPr>
          <w:rFonts w:ascii="Times New Roman" w:eastAsia="Times New Roman" w:hAnsi="Times New Roman" w:cs="Times New Roman"/>
          <w:i/>
          <w:iCs/>
          <w:sz w:val="24"/>
          <w:szCs w:val="24"/>
          <w:lang w:val="en-US"/>
        </w:rPr>
        <w:t>Khamzaev case</w:t>
      </w:r>
      <w:r w:rsidRPr="00615181">
        <w:rPr>
          <w:rFonts w:ascii="Times New Roman" w:eastAsia="Times New Roman" w:hAnsi="Times New Roman" w:cs="Times New Roman"/>
          <w:sz w:val="24"/>
          <w:szCs w:val="24"/>
          <w:lang w:val="en-US"/>
        </w:rPr>
        <w:t xml:space="preserve"> in 2001, in which the Russian government asserted that it was not liable to provide compensation because a pilot having caused destruction of a house had “exceeded the limits of the order”. Russian Federation, Basmanny District Court, </w:t>
      </w:r>
      <w:r w:rsidRPr="00615181">
        <w:rPr>
          <w:rFonts w:ascii="Times New Roman" w:eastAsia="Times New Roman" w:hAnsi="Times New Roman" w:cs="Times New Roman"/>
          <w:i/>
          <w:iCs/>
          <w:sz w:val="24"/>
          <w:szCs w:val="24"/>
          <w:lang w:val="en-US"/>
        </w:rPr>
        <w:t>Khamzaev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201). This case does not, however, deal with the Russian Federation’s responsibility under international law vis-à-vis </w:t>
      </w:r>
      <w:r w:rsidRPr="00615181">
        <w:rPr>
          <w:rFonts w:ascii="Times New Roman" w:eastAsia="Times New Roman" w:hAnsi="Times New Roman" w:cs="Times New Roman"/>
          <w:sz w:val="24"/>
          <w:szCs w:val="24"/>
          <w:lang w:val="en-US"/>
        </w:rPr>
        <w:lastRenderedPageBreak/>
        <w:t>another State but with its responsibility under domestic law for damage caused by a State employee to a private person.</w:t>
      </w:r>
    </w:p>
    <w:bookmarkStart w:id="270" w:name="Fn_14_21"/>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"refFn_14_21"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[21]</w:t>
      </w:r>
      <w:r w:rsidRPr="00615181">
        <w:rPr>
          <w:rFonts w:ascii="Times New Roman" w:eastAsia="Times New Roman" w:hAnsi="Times New Roman" w:cs="Times New Roman"/>
          <w:sz w:val="24"/>
          <w:szCs w:val="24"/>
        </w:rPr>
        <w:fldChar w:fldCharType="end"/>
      </w:r>
      <w:bookmarkEnd w:id="270"/>
      <w:r w:rsidRPr="00615181">
        <w:rPr>
          <w:rFonts w:ascii="Times New Roman" w:eastAsia="Times New Roman" w:hAnsi="Times New Roman" w:cs="Times New Roman"/>
          <w:sz w:val="24"/>
          <w:szCs w:val="24"/>
          <w:lang w:val="en-US"/>
        </w:rPr>
        <w:t xml:space="preserve"> Report on US Practice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45).</w:t>
      </w:r>
    </w:p>
    <w:bookmarkStart w:id="271" w:name="Fn_14_22"/>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"refFn_14_22"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[22]</w:t>
      </w:r>
      <w:r w:rsidRPr="00615181">
        <w:rPr>
          <w:rFonts w:ascii="Times New Roman" w:eastAsia="Times New Roman" w:hAnsi="Times New Roman" w:cs="Times New Roman"/>
          <w:sz w:val="24"/>
          <w:szCs w:val="24"/>
        </w:rPr>
        <w:fldChar w:fldCharType="end"/>
      </w:r>
      <w:bookmarkEnd w:id="271"/>
      <w:r w:rsidRPr="00615181">
        <w:rPr>
          <w:rFonts w:ascii="Times New Roman" w:eastAsia="Times New Roman" w:hAnsi="Times New Roman" w:cs="Times New Roman"/>
          <w:sz w:val="24"/>
          <w:szCs w:val="24"/>
          <w:lang w:val="en-US"/>
        </w:rPr>
        <w:t xml:space="preserve"> United States, </w:t>
      </w:r>
      <w:r w:rsidRPr="00615181">
        <w:rPr>
          <w:rFonts w:ascii="Times New Roman" w:eastAsia="Times New Roman" w:hAnsi="Times New Roman" w:cs="Times New Roman"/>
          <w:i/>
          <w:iCs/>
          <w:sz w:val="24"/>
          <w:szCs w:val="24"/>
          <w:lang w:val="en-US"/>
        </w:rPr>
        <w:t>Air Force Pamphlet</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21).</w:t>
      </w:r>
    </w:p>
    <w:bookmarkStart w:id="272" w:name="Fn_14_23"/>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"refFn_14_23"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[23]</w:t>
      </w:r>
      <w:r w:rsidRPr="00615181">
        <w:rPr>
          <w:rFonts w:ascii="Times New Roman" w:eastAsia="Times New Roman" w:hAnsi="Times New Roman" w:cs="Times New Roman"/>
          <w:sz w:val="24"/>
          <w:szCs w:val="24"/>
        </w:rPr>
        <w:fldChar w:fldCharType="end"/>
      </w:r>
      <w:bookmarkEnd w:id="272"/>
      <w:r w:rsidRPr="00615181">
        <w:rPr>
          <w:rFonts w:ascii="Times New Roman" w:eastAsia="Times New Roman" w:hAnsi="Times New Roman" w:cs="Times New Roman"/>
          <w:sz w:val="24"/>
          <w:szCs w:val="24"/>
          <w:lang w:val="en-US"/>
        </w:rPr>
        <w:t xml:space="preserve"> International Law Commission, Commentary on Article 7 of the Draft Articles on State Responsibility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58). The commentary concludes that conduct attributable to the State in this context “comprises only the actions and omissions of organs purportedly or apparently carrying out their official functions, and not the private actions or omissions of individuals who happen to be organs or agents of the State. In short, the question is whether they were acting with apparent authority.” </w:t>
      </w:r>
    </w:p>
    <w:bookmarkStart w:id="273" w:name="Fn_14_24"/>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"refFn_14_24"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[24]</w:t>
      </w:r>
      <w:r w:rsidRPr="00615181">
        <w:rPr>
          <w:rFonts w:ascii="Times New Roman" w:eastAsia="Times New Roman" w:hAnsi="Times New Roman" w:cs="Times New Roman"/>
          <w:sz w:val="24"/>
          <w:szCs w:val="24"/>
        </w:rPr>
        <w:fldChar w:fldCharType="end"/>
      </w:r>
      <w:bookmarkEnd w:id="273"/>
      <w:r w:rsidRPr="00615181">
        <w:rPr>
          <w:rFonts w:ascii="Times New Roman" w:eastAsia="Times New Roman" w:hAnsi="Times New Roman" w:cs="Times New Roman"/>
          <w:sz w:val="24"/>
          <w:szCs w:val="24"/>
          <w:lang w:val="en-US"/>
        </w:rPr>
        <w:t xml:space="preserve"> See Draft Articles on State Responsibility, Article 8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8).</w:t>
      </w:r>
    </w:p>
    <w:bookmarkStart w:id="274" w:name="Fn_14_25"/>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"refFn_14_25"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[25]</w:t>
      </w:r>
      <w:r w:rsidRPr="00615181">
        <w:rPr>
          <w:rFonts w:ascii="Times New Roman" w:eastAsia="Times New Roman" w:hAnsi="Times New Roman" w:cs="Times New Roman"/>
          <w:sz w:val="24"/>
          <w:szCs w:val="24"/>
        </w:rPr>
        <w:fldChar w:fldCharType="end"/>
      </w:r>
      <w:bookmarkEnd w:id="274"/>
      <w:r w:rsidRPr="00615181">
        <w:rPr>
          <w:rFonts w:ascii="Times New Roman" w:eastAsia="Times New Roman" w:hAnsi="Times New Roman" w:cs="Times New Roman"/>
          <w:sz w:val="24"/>
          <w:szCs w:val="24"/>
          <w:lang w:val="en-US"/>
        </w:rPr>
        <w:t xml:space="preserve"> ICJ, </w:t>
      </w:r>
      <w:r w:rsidRPr="00615181">
        <w:rPr>
          <w:rFonts w:ascii="Times New Roman" w:eastAsia="Times New Roman" w:hAnsi="Times New Roman" w:cs="Times New Roman"/>
          <w:i/>
          <w:iCs/>
          <w:sz w:val="24"/>
          <w:szCs w:val="24"/>
          <w:lang w:val="en-US"/>
        </w:rPr>
        <w:t>Nicaragua case (Merits)</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61).</w:t>
      </w:r>
    </w:p>
    <w:bookmarkStart w:id="275" w:name="Fn_14_26"/>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"refFn_14_26"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[26]</w:t>
      </w:r>
      <w:r w:rsidRPr="00615181">
        <w:rPr>
          <w:rFonts w:ascii="Times New Roman" w:eastAsia="Times New Roman" w:hAnsi="Times New Roman" w:cs="Times New Roman"/>
          <w:sz w:val="24"/>
          <w:szCs w:val="24"/>
        </w:rPr>
        <w:fldChar w:fldCharType="end"/>
      </w:r>
      <w:bookmarkEnd w:id="275"/>
      <w:r w:rsidRPr="00615181">
        <w:rPr>
          <w:rFonts w:ascii="Times New Roman" w:eastAsia="Times New Roman" w:hAnsi="Times New Roman" w:cs="Times New Roman"/>
          <w:sz w:val="24"/>
          <w:szCs w:val="24"/>
          <w:lang w:val="en-US"/>
        </w:rPr>
        <w:t xml:space="preserve"> ICTY, </w:t>
      </w:r>
      <w:r w:rsidRPr="00615181">
        <w:rPr>
          <w:rFonts w:ascii="Times New Roman" w:eastAsia="Times New Roman" w:hAnsi="Times New Roman" w:cs="Times New Roman"/>
          <w:i/>
          <w:iCs/>
          <w:sz w:val="24"/>
          <w:szCs w:val="24"/>
          <w:lang w:val="en-US"/>
        </w:rPr>
        <w:t>Tadić 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63); see also </w:t>
      </w:r>
      <w:r w:rsidRPr="00615181">
        <w:rPr>
          <w:rFonts w:ascii="Times New Roman" w:eastAsia="Times New Roman" w:hAnsi="Times New Roman" w:cs="Times New Roman"/>
          <w:i/>
          <w:iCs/>
          <w:sz w:val="24"/>
          <w:szCs w:val="24"/>
          <w:lang w:val="en-US"/>
        </w:rPr>
        <w:t>Blaškić case</w:t>
      </w:r>
      <w:r w:rsidRPr="00615181">
        <w:rPr>
          <w:rFonts w:ascii="Times New Roman" w:eastAsia="Times New Roman" w:hAnsi="Times New Roman" w:cs="Times New Roman"/>
          <w:sz w:val="24"/>
          <w:szCs w:val="24"/>
          <w:lang w:val="en-US"/>
        </w:rPr>
        <w:t>, Judgment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64), </w:t>
      </w:r>
      <w:r w:rsidRPr="00615181">
        <w:rPr>
          <w:rFonts w:ascii="Times New Roman" w:eastAsia="Times New Roman" w:hAnsi="Times New Roman" w:cs="Times New Roman"/>
          <w:i/>
          <w:iCs/>
          <w:sz w:val="24"/>
          <w:szCs w:val="24"/>
          <w:lang w:val="en-US"/>
        </w:rPr>
        <w:t>Aleksovski 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xml:space="preserve">, § 65) and </w:t>
      </w:r>
      <w:r w:rsidRPr="00615181">
        <w:rPr>
          <w:rFonts w:ascii="Times New Roman" w:eastAsia="Times New Roman" w:hAnsi="Times New Roman" w:cs="Times New Roman"/>
          <w:i/>
          <w:iCs/>
          <w:sz w:val="24"/>
          <w:szCs w:val="24"/>
          <w:lang w:val="en-US"/>
        </w:rPr>
        <w:t>Delalić 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66).</w:t>
      </w:r>
    </w:p>
    <w:bookmarkStart w:id="276" w:name="Fn_14_27"/>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"refFn_14_27"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[27]</w:t>
      </w:r>
      <w:r w:rsidRPr="00615181">
        <w:rPr>
          <w:rFonts w:ascii="Times New Roman" w:eastAsia="Times New Roman" w:hAnsi="Times New Roman" w:cs="Times New Roman"/>
          <w:sz w:val="24"/>
          <w:szCs w:val="24"/>
        </w:rPr>
        <w:fldChar w:fldCharType="end"/>
      </w:r>
      <w:bookmarkEnd w:id="276"/>
      <w:r w:rsidRPr="00615181">
        <w:rPr>
          <w:rFonts w:ascii="Times New Roman" w:eastAsia="Times New Roman" w:hAnsi="Times New Roman" w:cs="Times New Roman"/>
          <w:sz w:val="24"/>
          <w:szCs w:val="24"/>
          <w:lang w:val="en-US"/>
        </w:rPr>
        <w:t xml:space="preserve"> ICTY, </w:t>
      </w:r>
      <w:r w:rsidRPr="00615181">
        <w:rPr>
          <w:rFonts w:ascii="Times New Roman" w:eastAsia="Times New Roman" w:hAnsi="Times New Roman" w:cs="Times New Roman"/>
          <w:i/>
          <w:iCs/>
          <w:sz w:val="24"/>
          <w:szCs w:val="24"/>
          <w:lang w:val="en-US"/>
        </w:rPr>
        <w:t>Tadić 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63).</w:t>
      </w:r>
    </w:p>
    <w:bookmarkStart w:id="277" w:name="Fn_14_28"/>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"refFn_14_28"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[28]</w:t>
      </w:r>
      <w:r w:rsidRPr="00615181">
        <w:rPr>
          <w:rFonts w:ascii="Times New Roman" w:eastAsia="Times New Roman" w:hAnsi="Times New Roman" w:cs="Times New Roman"/>
          <w:sz w:val="24"/>
          <w:szCs w:val="24"/>
        </w:rPr>
        <w:fldChar w:fldCharType="end"/>
      </w:r>
      <w:bookmarkEnd w:id="277"/>
      <w:r w:rsidRPr="00615181">
        <w:rPr>
          <w:rFonts w:ascii="Times New Roman" w:eastAsia="Times New Roman" w:hAnsi="Times New Roman" w:cs="Times New Roman"/>
          <w:sz w:val="24"/>
          <w:szCs w:val="24"/>
          <w:lang w:val="en-US"/>
        </w:rPr>
        <w:t xml:space="preserve"> International Law Commission, Commentary on Article 8 of the Draft Articles on State Responsibility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58).</w:t>
      </w:r>
    </w:p>
    <w:bookmarkStart w:id="278" w:name="Fn_14_29"/>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"refFn_14_29"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[29]</w:t>
      </w:r>
      <w:r w:rsidRPr="00615181">
        <w:rPr>
          <w:rFonts w:ascii="Times New Roman" w:eastAsia="Times New Roman" w:hAnsi="Times New Roman" w:cs="Times New Roman"/>
          <w:sz w:val="24"/>
          <w:szCs w:val="24"/>
        </w:rPr>
        <w:fldChar w:fldCharType="end"/>
      </w:r>
      <w:bookmarkEnd w:id="278"/>
      <w:r w:rsidRPr="00615181">
        <w:rPr>
          <w:rFonts w:ascii="Times New Roman" w:eastAsia="Times New Roman" w:hAnsi="Times New Roman" w:cs="Times New Roman"/>
          <w:sz w:val="24"/>
          <w:szCs w:val="24"/>
          <w:lang w:val="en-US"/>
        </w:rPr>
        <w:t xml:space="preserve"> Inter-American Commission on Human Rights, </w:t>
      </w:r>
      <w:r w:rsidRPr="00615181">
        <w:rPr>
          <w:rFonts w:ascii="Times New Roman" w:eastAsia="Times New Roman" w:hAnsi="Times New Roman" w:cs="Times New Roman"/>
          <w:i/>
          <w:iCs/>
          <w:sz w:val="24"/>
          <w:szCs w:val="24"/>
          <w:lang w:val="en-US"/>
        </w:rPr>
        <w:t>Case of the Riofrío massacre (Colombia)</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70).</w:t>
      </w:r>
    </w:p>
    <w:bookmarkStart w:id="279" w:name="Fn_14_30"/>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"refFn_14_30"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[30]</w:t>
      </w:r>
      <w:r w:rsidRPr="00615181">
        <w:rPr>
          <w:rFonts w:ascii="Times New Roman" w:eastAsia="Times New Roman" w:hAnsi="Times New Roman" w:cs="Times New Roman"/>
          <w:sz w:val="24"/>
          <w:szCs w:val="24"/>
        </w:rPr>
        <w:fldChar w:fldCharType="end"/>
      </w:r>
      <w:bookmarkEnd w:id="279"/>
      <w:r w:rsidRPr="00615181">
        <w:rPr>
          <w:rFonts w:ascii="Times New Roman" w:eastAsia="Times New Roman" w:hAnsi="Times New Roman" w:cs="Times New Roman"/>
          <w:sz w:val="24"/>
          <w:szCs w:val="24"/>
          <w:lang w:val="en-US"/>
        </w:rPr>
        <w:t xml:space="preserve"> ICTY, </w:t>
      </w:r>
      <w:r w:rsidRPr="00615181">
        <w:rPr>
          <w:rFonts w:ascii="Times New Roman" w:eastAsia="Times New Roman" w:hAnsi="Times New Roman" w:cs="Times New Roman"/>
          <w:i/>
          <w:iCs/>
          <w:sz w:val="24"/>
          <w:szCs w:val="24"/>
          <w:lang w:val="en-US"/>
        </w:rPr>
        <w:t>Tadić 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63).</w:t>
      </w:r>
    </w:p>
    <w:bookmarkStart w:id="280" w:name="Fn_14_31"/>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"refFn_14_31"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[31]</w:t>
      </w:r>
      <w:r w:rsidRPr="00615181">
        <w:rPr>
          <w:rFonts w:ascii="Times New Roman" w:eastAsia="Times New Roman" w:hAnsi="Times New Roman" w:cs="Times New Roman"/>
          <w:sz w:val="24"/>
          <w:szCs w:val="24"/>
        </w:rPr>
        <w:fldChar w:fldCharType="end"/>
      </w:r>
      <w:bookmarkEnd w:id="280"/>
      <w:r w:rsidRPr="00615181">
        <w:rPr>
          <w:rFonts w:ascii="Times New Roman" w:eastAsia="Times New Roman" w:hAnsi="Times New Roman" w:cs="Times New Roman"/>
          <w:sz w:val="24"/>
          <w:szCs w:val="24"/>
          <w:lang w:val="en-US"/>
        </w:rPr>
        <w:t xml:space="preserve"> See Draft Articles on State Responsibility, Article 11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8).</w:t>
      </w:r>
    </w:p>
    <w:bookmarkStart w:id="281" w:name="Fn_14_32"/>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"refFn_14_32"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[32]</w:t>
      </w:r>
      <w:r w:rsidRPr="00615181">
        <w:rPr>
          <w:rFonts w:ascii="Times New Roman" w:eastAsia="Times New Roman" w:hAnsi="Times New Roman" w:cs="Times New Roman"/>
          <w:sz w:val="24"/>
          <w:szCs w:val="24"/>
        </w:rPr>
        <w:fldChar w:fldCharType="end"/>
      </w:r>
      <w:bookmarkEnd w:id="281"/>
      <w:r w:rsidRPr="00615181">
        <w:rPr>
          <w:rFonts w:ascii="Times New Roman" w:eastAsia="Times New Roman" w:hAnsi="Times New Roman" w:cs="Times New Roman"/>
          <w:sz w:val="24"/>
          <w:szCs w:val="24"/>
          <w:lang w:val="en-US"/>
        </w:rPr>
        <w:t xml:space="preserve"> Italy, Military Tribunal of Rome, </w:t>
      </w:r>
      <w:r w:rsidRPr="00615181">
        <w:rPr>
          <w:rFonts w:ascii="Times New Roman" w:eastAsia="Times New Roman" w:hAnsi="Times New Roman" w:cs="Times New Roman"/>
          <w:i/>
          <w:iCs/>
          <w:sz w:val="24"/>
          <w:szCs w:val="24"/>
          <w:lang w:val="en-US"/>
        </w:rPr>
        <w:t>Priebke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27).</w:t>
      </w:r>
    </w:p>
    <w:bookmarkStart w:id="282" w:name="Fn_14_33"/>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"refFn_14_33"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[33]</w:t>
      </w:r>
      <w:r w:rsidRPr="00615181">
        <w:rPr>
          <w:rFonts w:ascii="Times New Roman" w:eastAsia="Times New Roman" w:hAnsi="Times New Roman" w:cs="Times New Roman"/>
          <w:sz w:val="24"/>
          <w:szCs w:val="24"/>
        </w:rPr>
        <w:fldChar w:fldCharType="end"/>
      </w:r>
      <w:bookmarkEnd w:id="282"/>
      <w:r w:rsidRPr="00615181">
        <w:rPr>
          <w:rFonts w:ascii="Times New Roman" w:eastAsia="Times New Roman" w:hAnsi="Times New Roman" w:cs="Times New Roman"/>
          <w:sz w:val="24"/>
          <w:szCs w:val="24"/>
          <w:lang w:val="en-US"/>
        </w:rPr>
        <w:t xml:space="preserve"> Netherlands, District Court of The Hague,</w:t>
      </w:r>
      <w:r w:rsidRPr="00615181">
        <w:rPr>
          <w:rFonts w:ascii="Times New Roman" w:eastAsia="Times New Roman" w:hAnsi="Times New Roman" w:cs="Times New Roman"/>
          <w:i/>
          <w:iCs/>
          <w:sz w:val="24"/>
          <w:szCs w:val="24"/>
          <w:lang w:val="en-US"/>
        </w:rPr>
        <w:t xml:space="preserve"> J. T. case</w:t>
      </w:r>
      <w:r w:rsidRPr="00615181">
        <w:rPr>
          <w:rFonts w:ascii="Times New Roman" w:eastAsia="Times New Roman" w:hAnsi="Times New Roman" w:cs="Times New Roman"/>
          <w:sz w:val="24"/>
          <w:szCs w:val="24"/>
          <w:lang w:val="en-US"/>
        </w:rPr>
        <w:t xml:space="preserve">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28).</w:t>
      </w:r>
    </w:p>
    <w:bookmarkStart w:id="283" w:name="Fn_14_34"/>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"refFn_14_34"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[34]</w:t>
      </w:r>
      <w:r w:rsidRPr="00615181">
        <w:rPr>
          <w:rFonts w:ascii="Times New Roman" w:eastAsia="Times New Roman" w:hAnsi="Times New Roman" w:cs="Times New Roman"/>
          <w:sz w:val="24"/>
          <w:szCs w:val="24"/>
        </w:rPr>
        <w:fldChar w:fldCharType="end"/>
      </w:r>
      <w:bookmarkEnd w:id="283"/>
      <w:r w:rsidRPr="00615181">
        <w:rPr>
          <w:rFonts w:ascii="Times New Roman" w:eastAsia="Times New Roman" w:hAnsi="Times New Roman" w:cs="Times New Roman"/>
          <w:sz w:val="24"/>
          <w:szCs w:val="24"/>
          <w:lang w:val="en-US"/>
        </w:rPr>
        <w:t xml:space="preserve"> ICTY, </w:t>
      </w:r>
      <w:r w:rsidRPr="00615181">
        <w:rPr>
          <w:rFonts w:ascii="Times New Roman" w:eastAsia="Times New Roman" w:hAnsi="Times New Roman" w:cs="Times New Roman"/>
          <w:i/>
          <w:iCs/>
          <w:sz w:val="24"/>
          <w:szCs w:val="24"/>
          <w:lang w:val="en-US"/>
        </w:rPr>
        <w:t>Tadić case</w:t>
      </w:r>
      <w:r w:rsidRPr="00615181">
        <w:rPr>
          <w:rFonts w:ascii="Times New Roman" w:eastAsia="Times New Roman" w:hAnsi="Times New Roman" w:cs="Times New Roman"/>
          <w:sz w:val="24"/>
          <w:szCs w:val="24"/>
          <w:lang w:val="en-US"/>
        </w:rPr>
        <w:t>, Judgment on Appeal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63).</w:t>
      </w:r>
    </w:p>
    <w:bookmarkStart w:id="284" w:name="Fn_14_35"/>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"refFn_14_35"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[35]</w:t>
      </w:r>
      <w:r w:rsidRPr="00615181">
        <w:rPr>
          <w:rFonts w:ascii="Times New Roman" w:eastAsia="Times New Roman" w:hAnsi="Times New Roman" w:cs="Times New Roman"/>
          <w:sz w:val="24"/>
          <w:szCs w:val="24"/>
        </w:rPr>
        <w:fldChar w:fldCharType="end"/>
      </w:r>
      <w:bookmarkEnd w:id="284"/>
      <w:r w:rsidRPr="00615181">
        <w:rPr>
          <w:rFonts w:ascii="Times New Roman" w:eastAsia="Times New Roman" w:hAnsi="Times New Roman" w:cs="Times New Roman"/>
          <w:sz w:val="24"/>
          <w:szCs w:val="24"/>
          <w:lang w:val="en-US"/>
        </w:rPr>
        <w:t xml:space="preserve"> Additional Protocol II, Article 1(1).</w:t>
      </w:r>
    </w:p>
    <w:bookmarkStart w:id="285" w:name="Fn_14_36"/>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"refFn_14_36"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[36]</w:t>
      </w:r>
      <w:r w:rsidRPr="00615181">
        <w:rPr>
          <w:rFonts w:ascii="Times New Roman" w:eastAsia="Times New Roman" w:hAnsi="Times New Roman" w:cs="Times New Roman"/>
          <w:sz w:val="24"/>
          <w:szCs w:val="24"/>
        </w:rPr>
        <w:fldChar w:fldCharType="end"/>
      </w:r>
      <w:bookmarkEnd w:id="285"/>
      <w:r w:rsidRPr="00615181">
        <w:rPr>
          <w:rFonts w:ascii="Times New Roman" w:eastAsia="Times New Roman" w:hAnsi="Times New Roman" w:cs="Times New Roman"/>
          <w:sz w:val="24"/>
          <w:szCs w:val="24"/>
          <w:lang w:val="en-US"/>
        </w:rPr>
        <w:t xml:space="preserve"> 1996 version of the Draft Articles on State Responsibility, Article 14(3), provisionally adopted on first reading (cited in Vol. II, Ch. 42, § 57).</w:t>
      </w:r>
    </w:p>
    <w:bookmarkStart w:id="286" w:name="Fn_14_37"/>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"refFn_14_37"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[37]</w:t>
      </w:r>
      <w:r w:rsidRPr="00615181">
        <w:rPr>
          <w:rFonts w:ascii="Times New Roman" w:eastAsia="Times New Roman" w:hAnsi="Times New Roman" w:cs="Times New Roman"/>
          <w:sz w:val="24"/>
          <w:szCs w:val="24"/>
        </w:rPr>
        <w:fldChar w:fldCharType="end"/>
      </w:r>
      <w:bookmarkEnd w:id="286"/>
      <w:r w:rsidRPr="00615181">
        <w:rPr>
          <w:rFonts w:ascii="Times New Roman" w:eastAsia="Times New Roman" w:hAnsi="Times New Roman" w:cs="Times New Roman"/>
          <w:sz w:val="24"/>
          <w:szCs w:val="24"/>
          <w:lang w:val="en-US"/>
        </w:rPr>
        <w:t xml:space="preserve"> International Law Commission, First report on State responsibility by the Special Rapporteur, Addendum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57).</w:t>
      </w:r>
    </w:p>
    <w:bookmarkStart w:id="287" w:name="Fn_14_38"/>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"refFn_14_38"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[38]</w:t>
      </w:r>
      <w:r w:rsidRPr="00615181">
        <w:rPr>
          <w:rFonts w:ascii="Times New Roman" w:eastAsia="Times New Roman" w:hAnsi="Times New Roman" w:cs="Times New Roman"/>
          <w:sz w:val="24"/>
          <w:szCs w:val="24"/>
        </w:rPr>
        <w:fldChar w:fldCharType="end"/>
      </w:r>
      <w:bookmarkEnd w:id="287"/>
      <w:r w:rsidRPr="00615181">
        <w:rPr>
          <w:rFonts w:ascii="Times New Roman" w:eastAsia="Times New Roman" w:hAnsi="Times New Roman" w:cs="Times New Roman"/>
          <w:sz w:val="24"/>
          <w:szCs w:val="24"/>
          <w:lang w:val="en-US"/>
        </w:rPr>
        <w:t xml:space="preserve"> Draft Articles on State Responsibility, Article 10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8).</w:t>
      </w:r>
    </w:p>
    <w:bookmarkStart w:id="288" w:name="Fn_14_39"/>
    <w:p w:rsidR="00615181" w:rsidRPr="00615181" w:rsidRDefault="00615181" w:rsidP="00615181">
      <w:pPr>
        <w:spacing w:after="0" w:line="240" w:lineRule="auto"/>
        <w:rPr>
          <w:rFonts w:ascii="Times New Roman" w:eastAsia="Times New Roman" w:hAnsi="Times New Roman" w:cs="Times New Roman"/>
          <w:sz w:val="24"/>
          <w:szCs w:val="24"/>
          <w:lang w:val="en-US"/>
        </w:rPr>
      </w:pPr>
      <w:r w:rsidRPr="00615181">
        <w:rPr>
          <w:rFonts w:ascii="Times New Roman" w:eastAsia="Times New Roman" w:hAnsi="Times New Roman" w:cs="Times New Roman"/>
          <w:sz w:val="24"/>
          <w:szCs w:val="24"/>
        </w:rPr>
        <w:fldChar w:fldCharType="begin"/>
      </w:r>
      <w:r w:rsidRPr="00615181">
        <w:rPr>
          <w:rFonts w:ascii="Times New Roman" w:eastAsia="Times New Roman" w:hAnsi="Times New Roman" w:cs="Times New Roman"/>
          <w:sz w:val="24"/>
          <w:szCs w:val="24"/>
          <w:lang w:val="en-US"/>
        </w:rPr>
        <w:instrText xml:space="preserve"> HYPERLINK "https://ihl-databases.icrc.org/customary-ihl/eng/docs/v1_rul_rule149" \l "refFn_14_39" </w:instrText>
      </w:r>
      <w:r w:rsidRPr="00615181">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[39]</w:t>
      </w:r>
      <w:r w:rsidRPr="00615181">
        <w:rPr>
          <w:rFonts w:ascii="Times New Roman" w:eastAsia="Times New Roman" w:hAnsi="Times New Roman" w:cs="Times New Roman"/>
          <w:sz w:val="24"/>
          <w:szCs w:val="24"/>
        </w:rPr>
        <w:fldChar w:fldCharType="end"/>
      </w:r>
      <w:bookmarkEnd w:id="288"/>
      <w:r w:rsidRPr="00615181">
        <w:rPr>
          <w:rFonts w:ascii="Times New Roman" w:eastAsia="Times New Roman" w:hAnsi="Times New Roman" w:cs="Times New Roman"/>
          <w:sz w:val="24"/>
          <w:szCs w:val="24"/>
          <w:lang w:val="en-US"/>
        </w:rPr>
        <w:t xml:space="preserve"> UN Commission on Human Rights, Special Rapporteur on the Situation of Human Rights in the Sudan, Interim Report (</w:t>
      </w:r>
      <w:r w:rsidRPr="00615181">
        <w:rPr>
          <w:rFonts w:ascii="Times New Roman" w:eastAsia="Times New Roman" w:hAnsi="Times New Roman" w:cs="Times New Roman"/>
          <w:i/>
          <w:iCs/>
          <w:sz w:val="24"/>
          <w:szCs w:val="24"/>
          <w:lang w:val="en-US"/>
        </w:rPr>
        <w:t>ibid.</w:t>
      </w:r>
      <w:r w:rsidRPr="00615181">
        <w:rPr>
          <w:rFonts w:ascii="Times New Roman" w:eastAsia="Times New Roman" w:hAnsi="Times New Roman" w:cs="Times New Roman"/>
          <w:sz w:val="24"/>
          <w:szCs w:val="24"/>
          <w:lang w:val="en-US"/>
        </w:rPr>
        <w:t>, § 53).</w:t>
      </w:r>
    </w:p>
    <w:p w:rsidR="004D5C23" w:rsidRDefault="004D5C23">
      <w:pPr>
        <w:rPr>
          <w:lang w:val="en-US"/>
        </w:rPr>
      </w:pPr>
    </w:p>
    <w:p w:rsidR="004D5C23" w:rsidRDefault="004D5C23">
      <w:pPr>
        <w:rPr>
          <w:lang w:val="en-US"/>
        </w:rPr>
      </w:pP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Responsibility for Violations of International Humanitarian Law</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Quick navigation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1" w:history="1">
        <w:r w:rsidRPr="00BE407E">
          <w:rPr>
            <w:rFonts w:ascii="Times New Roman" w:eastAsia="Times New Roman" w:hAnsi="Times New Roman" w:cs="Times New Roman"/>
            <w:color w:val="0000FF"/>
            <w:sz w:val="24"/>
            <w:szCs w:val="24"/>
            <w:u w:val="single"/>
            <w:lang w:val="en-US"/>
          </w:rPr>
          <w:t>I. Treaties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Hague Convention (IV)</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Article 3 of the 1907 Hague Convention (IV) provides: “A belligerent Party which violates the provisions of the [1907 Hague Regulations] shall … be responsible for all acts committed by persons forming part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61" name="Imagen 25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Geneva Conventions (1949)</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Article 51 of the 1949 Geneva Convention I, Article 52 of the 1949 Geneva Convention II, Article 131 of the 1949 Geneva Convention III and Article 148 of the 1949 Geneva Convention IV provide: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No High Contracting Party shall be allowed to absolve itself or any other High Contracting Party of any liability incurred by itself or by another High Contracting Party in respect of [grave breaches of these Conventions].</w:t>
      </w:r>
      <w:r>
        <w:rPr>
          <w:rFonts w:ascii="Times New Roman" w:eastAsia="Times New Roman" w:hAnsi="Times New Roman" w:cs="Times New Roman"/>
          <w:noProof/>
          <w:sz w:val="24"/>
          <w:szCs w:val="24"/>
        </w:rPr>
        <w:drawing>
          <wp:inline distT="0" distB="0" distL="0" distR="0">
            <wp:extent cx="151130" cy="142875"/>
            <wp:effectExtent l="19050" t="0" r="1270" b="0"/>
            <wp:docPr id="2562" name="Imagen 25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Additional Protocol I</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Article 91 of the 1977 Additional Protocol I provides: “A Party to the conflict which violates the provisions of the Conventions or of this Protocol … shall be responsible for all acts committed by persons forming part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63" name="Imagen 25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Second Protocol to the Hague Convention for the Protection of Cultural Property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Article 38 of the 1999 Second Protocol to the Hague Convention for the Protection of Cultural Property provides: “No provision in this Protocol relating to individual criminal responsibility shall affect the responsibility of States under international law, including the duty to provide reparation.”</w:t>
      </w:r>
      <w:r>
        <w:rPr>
          <w:rFonts w:ascii="Times New Roman" w:eastAsia="Times New Roman" w:hAnsi="Times New Roman" w:cs="Times New Roman"/>
          <w:noProof/>
          <w:sz w:val="24"/>
          <w:szCs w:val="24"/>
        </w:rPr>
        <w:drawing>
          <wp:inline distT="0" distB="0" distL="0" distR="0">
            <wp:extent cx="151130" cy="142875"/>
            <wp:effectExtent l="19050" t="0" r="1270" b="0"/>
            <wp:docPr id="2564" name="Imagen 25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2" w:history="1">
        <w:r w:rsidRPr="00BE407E">
          <w:rPr>
            <w:rFonts w:ascii="Times New Roman" w:eastAsia="Times New Roman" w:hAnsi="Times New Roman" w:cs="Times New Roman"/>
            <w:color w:val="0000FF"/>
            <w:sz w:val="24"/>
            <w:szCs w:val="24"/>
            <w:u w:val="single"/>
            <w:lang w:val="en-US"/>
          </w:rPr>
          <w:t>II. Other Instruments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ILC Draft Code of Crimes against the Peace and Security of Mankind (1991)</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Article 5 of the 1991 ILC Draft Code of Crimes against the Peace and Security of Mankind, entitled “Responsibility of States”, provides: “Prosecution of an individual for a crime against the peace and security of mankind does not relieve a State of any responsibility under international law for an act or omission attributable to it.”</w:t>
      </w:r>
      <w:r>
        <w:rPr>
          <w:rFonts w:ascii="Times New Roman" w:eastAsia="Times New Roman" w:hAnsi="Times New Roman" w:cs="Times New Roman"/>
          <w:noProof/>
          <w:sz w:val="24"/>
          <w:szCs w:val="24"/>
        </w:rPr>
        <w:drawing>
          <wp:inline distT="0" distB="0" distL="0" distR="0">
            <wp:extent cx="151130" cy="142875"/>
            <wp:effectExtent l="19050" t="0" r="1270" b="0"/>
            <wp:docPr id="2565" name="Imagen 25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ILC Draft Code of Crimes against the Peace and Security of Mankind (1996)</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Article 4 of the 1996 ILC Draft Code of Crimes against the Peace and Security of Mankind, entitled “Responsibility of States”, provides: “The fact that the present Code provides for the responsibility of individuals for crimes against the peace and security of mankind is without prejudice to any question of the responsibility of States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566" name="Imagen 25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ILC Draft Articles on State Responsibility (2001)</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Article 1 of the 2001 ILC Draft Articles on State Responsibility, entitled “Responsibility of a State for its internationally wrongful acts”, provides: “Every internationally wrongful act of a State entails the international responsibility of that State.”</w:t>
      </w:r>
      <w:r>
        <w:rPr>
          <w:rFonts w:ascii="Times New Roman" w:eastAsia="Times New Roman" w:hAnsi="Times New Roman" w:cs="Times New Roman"/>
          <w:noProof/>
          <w:sz w:val="24"/>
          <w:szCs w:val="24"/>
        </w:rPr>
        <w:drawing>
          <wp:inline distT="0" distB="0" distL="0" distR="0">
            <wp:extent cx="151130" cy="142875"/>
            <wp:effectExtent l="19050" t="0" r="1270" b="0"/>
            <wp:docPr id="2567" name="Imagen 25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Article 2 of the 2001 ILC Draft Articles on State Responsibility, entitled “Elements of an internationally wrongful act of a State”, provides: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There is an internationally wrongful act of a State when conduct consisting of an act or omission: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 Is attributable to the State under international law; 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 Constitutes a breach of an international obligation of the State.</w:t>
      </w:r>
      <w:r>
        <w:rPr>
          <w:rFonts w:ascii="Times New Roman" w:eastAsia="Times New Roman" w:hAnsi="Times New Roman" w:cs="Times New Roman"/>
          <w:noProof/>
          <w:sz w:val="24"/>
          <w:szCs w:val="24"/>
        </w:rPr>
        <w:drawing>
          <wp:inline distT="0" distB="0" distL="0" distR="0">
            <wp:extent cx="151130" cy="142875"/>
            <wp:effectExtent l="19050" t="0" r="1270" b="0"/>
            <wp:docPr id="2568" name="Imagen 25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3" w:history="1">
        <w:r w:rsidRPr="00BE407E">
          <w:rPr>
            <w:rFonts w:ascii="Times New Roman" w:eastAsia="Times New Roman" w:hAnsi="Times New Roman" w:cs="Times New Roman"/>
            <w:color w:val="0000FF"/>
            <w:sz w:val="24"/>
            <w:szCs w:val="24"/>
            <w:u w:val="single"/>
            <w:lang w:val="en-US"/>
          </w:rPr>
          <w:t>III. Military Manuals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Argentina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Argentina’s Law of War Manual (1989), referring to Article 51 of the 1949 Geneva Convention I, Article 52 of the 1949 Geneva Convention II, Article 131 of the 1949 Geneva Convention III and Article 148 of the 1949 Geneva Convention IV, provides: “The contracting States cannot absolve themselves nor absolve any other contracting party of the liabilities incurred with respect to [grave breaches in the meaning of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2569" name="Imagen 25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Australia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Australia’s LOAC Manual (2006) states: “A violation of the LOAC by the armed forces of a nation involves the international responsibility of that nation.”</w:t>
      </w:r>
      <w:r>
        <w:rPr>
          <w:rFonts w:ascii="Times New Roman" w:eastAsia="Times New Roman" w:hAnsi="Times New Roman" w:cs="Times New Roman"/>
          <w:noProof/>
          <w:sz w:val="24"/>
          <w:szCs w:val="24"/>
        </w:rPr>
        <w:drawing>
          <wp:inline distT="0" distB="0" distL="0" distR="0">
            <wp:extent cx="151130" cy="142875"/>
            <wp:effectExtent l="19050" t="0" r="1270" b="0"/>
            <wp:docPr id="2570" name="Imagen 25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Canada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Canada’s LOAC Manual (1999) provides: “Parties to the conflict are responsible for all acts committed by persons forming part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71" name="Imagen 25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Canada’s LOAC Manual (2001) states in its chapter entitled “Communications and contact between opposing forces”: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Any agreement made by belligerent commanders must be adhered to, and any breach of its conditions would involve international responsibility if ordered by a government, and personal liability, (which might amount to a war crime) if committed by an individual on his or her own authority.</w:t>
      </w:r>
      <w:r>
        <w:rPr>
          <w:rFonts w:ascii="Times New Roman" w:eastAsia="Times New Roman" w:hAnsi="Times New Roman" w:cs="Times New Roman"/>
          <w:noProof/>
          <w:sz w:val="24"/>
          <w:szCs w:val="24"/>
        </w:rPr>
        <w:drawing>
          <wp:inline distT="0" distB="0" distL="0" distR="0">
            <wp:extent cx="151130" cy="142875"/>
            <wp:effectExtent l="19050" t="0" r="1270" b="0"/>
            <wp:docPr id="2572" name="Imagen 25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1. Parties to the conflict are responsible for all acts committed by persons forming part of its armed forces. [A] state which violates the LOAC shall, if the case demands, be liable to pay compensation.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 No state is allowed to absolve itself of any liability in respect to the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2573" name="Imagen 25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Colombia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Colombia’s Basic Military Manual (1995) states: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As subjects of international law, the States answer to the international community for the violations or failures to act of their agents or civil servants when they have impunity. They are also subject to the political, economic and legal sanctions imposed on them by the international community.</w:t>
      </w:r>
      <w:r>
        <w:rPr>
          <w:rFonts w:ascii="Times New Roman" w:eastAsia="Times New Roman" w:hAnsi="Times New Roman" w:cs="Times New Roman"/>
          <w:noProof/>
          <w:sz w:val="24"/>
          <w:szCs w:val="24"/>
        </w:rPr>
        <w:drawing>
          <wp:inline distT="0" distB="0" distL="0" distR="0">
            <wp:extent cx="151130" cy="142875"/>
            <wp:effectExtent l="19050" t="0" r="1270" b="0"/>
            <wp:docPr id="2574" name="Imagen 25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Côte d’Ivoire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Côte d’Ivoire’s Teaching Manual (2007) provides in Book III, Volume 2 (Instruction of second-year trainee officers):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III.1. </w:t>
      </w:r>
      <w:r w:rsidRPr="00BE407E">
        <w:rPr>
          <w:rFonts w:ascii="Times New Roman" w:eastAsia="Times New Roman" w:hAnsi="Times New Roman" w:cs="Times New Roman"/>
          <w:i/>
          <w:iCs/>
          <w:sz w:val="24"/>
          <w:szCs w:val="24"/>
          <w:lang w:val="en-US"/>
        </w:rPr>
        <w:t>Collective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Collective responsibility of a belligerent party for a violation of the law of armed conflicts takes several forms.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third type of collective responsibility lies in the financial responsibility of States for damages caused by their illegal acts. In 1907, this form of responsibility of the State was formally included in Hague Convention (IV) respecting the Laws and Customs of War on Land. According to Article 3, a belligerent party which has committed a violation of the provisions of the Regulations “shall, if the case demands, be liable to pay compensation”. The article specifies further that that party “shall be responsible for all acts committed by persons forming part of its armed forces”.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III.4. </w:t>
      </w:r>
      <w:r w:rsidRPr="00BE407E">
        <w:rPr>
          <w:rFonts w:ascii="Times New Roman" w:eastAsia="Times New Roman" w:hAnsi="Times New Roman" w:cs="Times New Roman"/>
          <w:i/>
          <w:iCs/>
          <w:sz w:val="24"/>
          <w:szCs w:val="24"/>
          <w:lang w:val="en-US"/>
        </w:rPr>
        <w:t>Mechanisms to engage the responsibility of the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Breaches of international humanitarian law by members of the armed forces engage the international responsibility of the State concerned. Consequently, a State will have to answer for the consequences of every act contrary to the law committed by every soldier vis-à-vis the State that suffered the breach. It must restore the situation and, if need be, is bound to indemnify the State which has suffered the breach.</w:t>
      </w:r>
      <w:r>
        <w:rPr>
          <w:rFonts w:ascii="Times New Roman" w:eastAsia="Times New Roman" w:hAnsi="Times New Roman" w:cs="Times New Roman"/>
          <w:noProof/>
          <w:sz w:val="24"/>
          <w:szCs w:val="24"/>
        </w:rPr>
        <w:drawing>
          <wp:inline distT="0" distB="0" distL="0" distR="0">
            <wp:extent cx="151130" cy="142875"/>
            <wp:effectExtent l="19050" t="0" r="1270" b="0"/>
            <wp:docPr id="2575" name="Imagen 25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Germany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Germany’s Military Manual (1992), referring to Article 91 of the 1977 Additional Protocol I and Article 3 of the 1907 Hague Convention (IV), provides: “A party to a conflict which does not comply with the provisions of international humanitarian law … shall be responsible for all acts committed by persons forming part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76" name="Imagen 25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Mexico</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Mexico’s Army and Air Force Manual (2009) states that “article 3 of the [1907] Hague Convention [IV] provides that parties to the conflict are responsible for all unlawful acts committed by persons forming part of their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77" name="Imagen 25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Netherlands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lastRenderedPageBreak/>
        <w:t>The Military Manual (1993) of the Netherlands refers to Article 91 of the 1977 Additional Protocol I and states: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 party to the conflict is responsible for all acts committed by persons who are members of their armed forces. The responsibility applies not only towards those who have suffered damage and towards other parties to the conflict, but also towards the public opinion. This responsibility can result in pressure to respect the accepted rules of humanitarian law of war.</w:t>
      </w:r>
      <w:r>
        <w:rPr>
          <w:rFonts w:ascii="Times New Roman" w:eastAsia="Times New Roman" w:hAnsi="Times New Roman" w:cs="Times New Roman"/>
          <w:noProof/>
          <w:sz w:val="24"/>
          <w:szCs w:val="24"/>
        </w:rPr>
        <w:drawing>
          <wp:inline distT="0" distB="0" distL="0" distR="0">
            <wp:extent cx="151130" cy="142875"/>
            <wp:effectExtent l="19050" t="0" r="1270" b="0"/>
            <wp:docPr id="2578" name="Imagen 25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New Zealand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New Zealand’s Military Manual (1992), referring to Article 51 of the 1949 Geneva Convention I, Article 52 of the 1949 Geneva Convention II, Article 131 of the 1949 Geneva Convention III and Article 148 of the 1949 Geneva Convention IV, states: “Insofar as the liability of the State is concerned, it is important to note that the Geneva Conventions provide that no Contracting Party is able to absolve itself of liability for any grave breach of those Conventions.”</w:t>
      </w:r>
      <w:r>
        <w:rPr>
          <w:rFonts w:ascii="Times New Roman" w:eastAsia="Times New Roman" w:hAnsi="Times New Roman" w:cs="Times New Roman"/>
          <w:noProof/>
          <w:sz w:val="24"/>
          <w:szCs w:val="24"/>
        </w:rPr>
        <w:drawing>
          <wp:inline distT="0" distB="0" distL="0" distR="0">
            <wp:extent cx="151130" cy="142875"/>
            <wp:effectExtent l="19050" t="0" r="1270" b="0"/>
            <wp:docPr id="2579" name="Imagen 25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Nigeria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Nigeria’s Manual on the Laws of War provides: “Belligerent states are responsible for all acts committed by persons forming part of their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80" name="Imagen 25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Russian Federation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Russian Federation’s Military Manual (1990) notes: “IHL lays down: … the responsibility of States … as regards violations of the rules of IHL.”</w:t>
      </w:r>
      <w:r>
        <w:rPr>
          <w:rFonts w:ascii="Times New Roman" w:eastAsia="Times New Roman" w:hAnsi="Times New Roman" w:cs="Times New Roman"/>
          <w:noProof/>
          <w:sz w:val="24"/>
          <w:szCs w:val="24"/>
        </w:rPr>
        <w:drawing>
          <wp:inline distT="0" distB="0" distL="0" distR="0">
            <wp:extent cx="151130" cy="142875"/>
            <wp:effectExtent l="19050" t="0" r="1270" b="0"/>
            <wp:docPr id="2581" name="Imagen 25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Spain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Spain’s LOAC Manual (1996), referring to Article 91 of the 1977 Additional Protocol I, provides: “The State is responsible for all acts committed by persons who are part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82" name="Imagen 25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Spain’s LOAC Manual (2007) states that “the State is responsible for all acts committed by the members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583" name="Imagen 25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Switzerland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Switzerland’s Basic Military Manual (1987) provides: “Violations of the laws and customs of war, commonly called war crimes, engage … the responsibility of the State to which the authors of the violation belong.”</w:t>
      </w:r>
      <w:r>
        <w:rPr>
          <w:rFonts w:ascii="Times New Roman" w:eastAsia="Times New Roman" w:hAnsi="Times New Roman" w:cs="Times New Roman"/>
          <w:noProof/>
          <w:sz w:val="24"/>
          <w:szCs w:val="24"/>
        </w:rPr>
        <w:drawing>
          <wp:inline distT="0" distB="0" distL="0" distR="0">
            <wp:extent cx="151130" cy="142875"/>
            <wp:effectExtent l="19050" t="0" r="1270" b="0"/>
            <wp:docPr id="2584" name="Imagen 25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United Kingdom of Great Britain and Northern Ireland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UK Military Manual (1958) reproduces Article 3 of the 1907 Hague Convention (IV).</w:t>
      </w:r>
      <w:r>
        <w:rPr>
          <w:rFonts w:ascii="Times New Roman" w:eastAsia="Times New Roman" w:hAnsi="Times New Roman" w:cs="Times New Roman"/>
          <w:noProof/>
          <w:sz w:val="24"/>
          <w:szCs w:val="24"/>
        </w:rPr>
        <w:drawing>
          <wp:inline distT="0" distB="0" distL="0" distR="0">
            <wp:extent cx="151130" cy="142875"/>
            <wp:effectExtent l="19050" t="0" r="1270" b="0"/>
            <wp:docPr id="2585" name="Imagen 25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UK LOAC Manual (2004) states: “A violation of the law of armed conflict by the armed forces of a state involves the international responsibility of that state.”</w:t>
      </w:r>
      <w:r>
        <w:rPr>
          <w:rFonts w:ascii="Times New Roman" w:eastAsia="Times New Roman" w:hAnsi="Times New Roman" w:cs="Times New Roman"/>
          <w:noProof/>
          <w:sz w:val="24"/>
          <w:szCs w:val="24"/>
        </w:rPr>
        <w:drawing>
          <wp:inline distT="0" distB="0" distL="0" distR="0">
            <wp:extent cx="151130" cy="142875"/>
            <wp:effectExtent l="19050" t="0" r="1270" b="0"/>
            <wp:docPr id="2586" name="Imagen 25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United States of America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 US Field Manual (1958) refers to Article 51 of the 1949 Geneva Convention I, Article 52 of the 1949 Geneva Convention II, Article 131 of the 1949 Geneva Convention III and Article 148 of the 1949 Geneva Convention IV and states: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No High Contracting Party shall be allowed to absolve itself or any other High Contracting Party of any liability incurred by itself or by another High Contracting Party in respect of breaches referred to in the preceding Article [war crimes].</w:t>
      </w:r>
      <w:r>
        <w:rPr>
          <w:rFonts w:ascii="Times New Roman" w:eastAsia="Times New Roman" w:hAnsi="Times New Roman" w:cs="Times New Roman"/>
          <w:noProof/>
          <w:sz w:val="24"/>
          <w:szCs w:val="24"/>
        </w:rPr>
        <w:drawing>
          <wp:inline distT="0" distB="0" distL="0" distR="0">
            <wp:extent cx="151130" cy="142875"/>
            <wp:effectExtent l="19050" t="0" r="1270" b="0"/>
            <wp:docPr id="2587" name="Imagen 25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US Air Force Pamphlet (1976), in a provision stating the obligation of States to pay compensation for violations of IHL, states: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However, as a general rule, in the absence of some cause for fault such as inadequate supervision or training, no obligation for compensation arises on the part of a state for other violations of the law of armed conflict committed by individual members outside their general area of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2588" name="Imagen 25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Yugoslavia, Socialist Federal Republic of</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lastRenderedPageBreak/>
        <w:t>The Socialist Federal Republic of Yugoslavia’s Military Manual (1988) establishes the responsibility of parties to conflicts for violations of the law of war regardless of whether the violations were carried out on instructions or with the knowledge of the government or supreme command.</w:t>
      </w:r>
      <w:r>
        <w:rPr>
          <w:rFonts w:ascii="Times New Roman" w:eastAsia="Times New Roman" w:hAnsi="Times New Roman" w:cs="Times New Roman"/>
          <w:noProof/>
          <w:sz w:val="24"/>
          <w:szCs w:val="24"/>
        </w:rPr>
        <w:drawing>
          <wp:inline distT="0" distB="0" distL="0" distR="0">
            <wp:extent cx="151130" cy="142875"/>
            <wp:effectExtent l="19050" t="0" r="1270" b="0"/>
            <wp:docPr id="2589" name="Imagen 25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4" w:history="1">
        <w:r w:rsidRPr="00BE407E">
          <w:rPr>
            <w:rFonts w:ascii="Times New Roman" w:eastAsia="Times New Roman" w:hAnsi="Times New Roman" w:cs="Times New Roman"/>
            <w:color w:val="0000FF"/>
            <w:sz w:val="24"/>
            <w:szCs w:val="24"/>
            <w:u w:val="single"/>
            <w:lang w:val="en-US"/>
          </w:rPr>
          <w:t>IV. National Legislation</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Peru</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Peru’s Military and Police Criminal Code (2010) states: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Article 80. – State Responsibility </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Nothing in the present Title [which addresses crimes committed in states of emergency and in violation of international humanitarian law] concerning criminal responsibility of natural persons shall affect the responsibility which the State may incur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590" name="Imagen 25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5" w:history="1">
        <w:r w:rsidRPr="00BE407E">
          <w:rPr>
            <w:rFonts w:ascii="Times New Roman" w:eastAsia="Times New Roman" w:hAnsi="Times New Roman" w:cs="Times New Roman"/>
            <w:color w:val="0000FF"/>
            <w:sz w:val="24"/>
            <w:szCs w:val="24"/>
            <w:u w:val="single"/>
            <w:lang w:val="en-US"/>
          </w:rPr>
          <w:t>V. National Case-law</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Australia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2010, in the </w:t>
      </w:r>
      <w:r w:rsidRPr="00BE407E">
        <w:rPr>
          <w:rFonts w:ascii="Times New Roman" w:eastAsia="Times New Roman" w:hAnsi="Times New Roman" w:cs="Times New Roman"/>
          <w:i/>
          <w:iCs/>
          <w:sz w:val="24"/>
          <w:szCs w:val="24"/>
          <w:lang w:val="en-US"/>
        </w:rPr>
        <w:t>Habib case</w:t>
      </w:r>
      <w:r w:rsidRPr="00BE407E">
        <w:rPr>
          <w:rFonts w:ascii="Times New Roman" w:eastAsia="Times New Roman" w:hAnsi="Times New Roman" w:cs="Times New Roman"/>
          <w:sz w:val="24"/>
          <w:szCs w:val="24"/>
          <w:lang w:val="en-US"/>
        </w:rPr>
        <w:t>, the Full Court of Australia’s Federal Court unanimously held that the “act of state doctrine” did not bar a claim for damages based on the alleged complicity of Australian officials in the alleged acts of torture committed on the applicant by officials of the governments of the United States, Egypt and Pakistan. Jagot J, with whom her co-judges, Black CJ and Perram J agreed,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[51] The act of state doctrine has been described as “a common law principle of uncertain application which prevents the [forum] court from examining the legality of certain acts performed in the exercise of sovereign authority within a foreign country or, occasionally, outside it”: R v Bow St Metropolitan Stipendiary Magistrate; </w:t>
      </w:r>
      <w:r w:rsidRPr="00BE407E">
        <w:rPr>
          <w:rFonts w:ascii="Times New Roman" w:eastAsia="Times New Roman" w:hAnsi="Times New Roman" w:cs="Times New Roman"/>
          <w:i/>
          <w:iCs/>
          <w:sz w:val="24"/>
          <w:szCs w:val="24"/>
          <w:lang w:val="en-US"/>
        </w:rPr>
        <w:t>Ex parte Pinochet</w:t>
      </w:r>
      <w:r w:rsidRPr="00BE407E">
        <w:rPr>
          <w:rFonts w:ascii="Times New Roman" w:eastAsia="Times New Roman" w:hAnsi="Times New Roman" w:cs="Times New Roman"/>
          <w:sz w:val="24"/>
          <w:szCs w:val="24"/>
          <w:lang w:val="en-US"/>
        </w:rPr>
        <w:t xml:space="preserve"> Ugarte [2000] 1 AC 61 at 106; [1998] 4 All ER 897 at 937 (</w:t>
      </w:r>
      <w:r w:rsidRPr="00BE407E">
        <w:rPr>
          <w:rFonts w:ascii="Times New Roman" w:eastAsia="Times New Roman" w:hAnsi="Times New Roman" w:cs="Times New Roman"/>
          <w:i/>
          <w:iCs/>
          <w:sz w:val="24"/>
          <w:szCs w:val="24"/>
          <w:lang w:val="en-US"/>
        </w:rPr>
        <w:t>Pinochet (No 1</w:t>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[112] … As submitted for Mr Habib, if proved, his allegations would constitute grave violations of international human rights law. The weight of authority discussed above does not support the protection of such conduct from judicial scrutiny other than in the face of a valid claim for sovereign immunity.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[113] Mr Habib’s claim is against the Commonwealth. He alleges that the Commonwealth is liable for acts committed by its own officers, albeit in aiding and abetting agents of foreign states. The Commonwealth has no claim for sovereign immunity in respect of a claim brought against it in an Australian court.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[114] … The cases on which the Commonwealth relied do not support a conclusion that the act of state doctrine prevents an Australian court from scrutinising the alleged acts of Australian officials overseas in breach of peremptory norms of international law to which effect has been given by Australian laws having extra-territorial application. The case law indicates to the contrary.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[115] … Australia’s “national nerves”, as the Commonwealth intimated, might be attuned to the sensibilities of its coalition partners but this has to be weighed in a context where the prohibition on torture forms part of customary international law and those partners themselves are signatories to an international treaty denouncing torture. Moreover, the claim is by an Australian citizen against the Commonwealth of Australia. Findings will be necessary as facts along the way but no declaration with respect to the conduct of foreign officials is required. Those officials will not be subject to the jurisdiction of an Australian court (or, for that matter, any international court by reason of this proceeding). It is the Commonwealth alone which is the respondent to this proceeding. In so far as the Commonwealth suggested some unfairness to the </w:t>
      </w:r>
      <w:r w:rsidRPr="00BE407E">
        <w:rPr>
          <w:rFonts w:ascii="Times New Roman" w:eastAsia="Times New Roman" w:hAnsi="Times New Roman" w:cs="Times New Roman"/>
          <w:sz w:val="24"/>
          <w:szCs w:val="24"/>
          <w:lang w:val="en-US"/>
        </w:rPr>
        <w:lastRenderedPageBreak/>
        <w:t>(unidentified) foreign officials in question by reason of the foreign states not being parties to the proceeding, it is common ground that those states would have a valid claim for sovereign immunity if sued in an Australian court. Such unfairness as might arise, in any event, is a matter for the trial, not the reserved question.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[118] … The case involves an Australian court considering and determining whether, as alleged, officials of its own government aided, abetted and counselled foreign officials to inflict torture upon an Australian citizen in circumstances where the acts of those foreign officials, if proved as alleged, would themselves be unlawful under Australian laws having extra-territorial effect.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[131] Ultimately, the central submission for Mr Habib is compelling. If accepted, the Commonwealth’s submissions would exclude judicial scrutiny of the conduct of Australian officials alleged to have involved serious breaches of the inviolable human rights of an Australian citizen in an overseas jurisdiction, even though the alleged conduct, if proved, would contravene Australian law at the time and in the place where the conduct is said to have been committed.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[132] From this analysis it follows that this court has both the power, and indeed the constitutional obligation, to determine Mr Habib’s claim.</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[134] Neither of the considerations upon which the Commonwealth relied – the development of the common law jurisprudence and the factors informing the content of the act of state doctrine (international comity and the separation of powers) – support the conclusion that an Australian court may not determine Mr Habib’s claim in so far as that claim alleges that the Commonwealth is liable for the acts of its officials constituting the torts of misfeasance in public office or the action of intentional but indirect infliction of harm by the aiding, abetting and counselling of agents of foreign states to subject Mr Habib to torture while he was detained in Pakistan, Egypt, Afghanistan and Guantánamo Bay.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[135] To the contrary the development of Anglo-American jurisprudence indicates that the act of state doctrine does not exclude judicial determination of Mr Habib’s claim as it involves alleged acts of torture constituting grave breaches of human rights, serious violations of international law and conduct made illegal by Australian laws having extra-territorial effect.</w:t>
      </w:r>
      <w:r>
        <w:rPr>
          <w:rFonts w:ascii="Times New Roman" w:eastAsia="Times New Roman" w:hAnsi="Times New Roman" w:cs="Times New Roman"/>
          <w:noProof/>
          <w:sz w:val="24"/>
          <w:szCs w:val="24"/>
        </w:rPr>
        <w:drawing>
          <wp:inline distT="0" distB="0" distL="0" distR="0">
            <wp:extent cx="151130" cy="142875"/>
            <wp:effectExtent l="19050" t="0" r="1270" b="0"/>
            <wp:docPr id="2591" name="Imagen 25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Democratic Republic of the Congo</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March 2006, in the </w:t>
      </w:r>
      <w:r w:rsidRPr="00BE407E">
        <w:rPr>
          <w:rFonts w:ascii="Times New Roman" w:eastAsia="Times New Roman" w:hAnsi="Times New Roman" w:cs="Times New Roman"/>
          <w:i/>
          <w:iCs/>
          <w:sz w:val="24"/>
          <w:szCs w:val="24"/>
          <w:lang w:val="en-US"/>
        </w:rPr>
        <w:t>Bongi Massaba case</w:t>
      </w:r>
      <w:r w:rsidRPr="00BE407E">
        <w:rPr>
          <w:rFonts w:ascii="Times New Roman" w:eastAsia="Times New Roman" w:hAnsi="Times New Roman" w:cs="Times New Roman"/>
          <w:sz w:val="24"/>
          <w:szCs w:val="24"/>
          <w:lang w:val="en-US"/>
        </w:rPr>
        <w:t>, a case against a captain of the armed forces of the Democratic Republic of the Congo, the Military Garrison Court of Ituri at Bunia held: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in the present case, the three conditions of civil liability are fulfilled, inasmuch as the defendant has committed a fault by causing, by bullet, the death of the following persons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therefore, the civil liability of the defendant, as perpetrator of the act, is fully engaged.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furthermore, the conditions of article 260, paragraph 3 [of the Congolese Civil Code], according to which masters and principals are liable for the damage caused by their servants and agents in the functions for which they were employed must equally be examined;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Whereas, in fact, four conditions are required for the application of that article, namely: the existence of a link between the principal and the agent; proof that the damage was caused by the fault; occurrence of the damage in the exercise of the functions for which </w:t>
      </w:r>
      <w:r w:rsidRPr="00BE407E">
        <w:rPr>
          <w:rFonts w:ascii="Times New Roman" w:eastAsia="Times New Roman" w:hAnsi="Times New Roman" w:cs="Times New Roman"/>
          <w:sz w:val="24"/>
          <w:szCs w:val="24"/>
          <w:lang w:val="en-US"/>
        </w:rPr>
        <w:lastRenderedPageBreak/>
        <w:t>the agent was last employed; the damage was caused to a third person.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 Existence of a link between the principal and the agent: There is a link between the principal to the agent if a person has authority over the other who is his subordinate and acts under the orders or instructions of the first.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 The victim must prove that the damage was caused by the fault of the agent: In other words, there is the possibility of exoneration in case of acts not committed by the agent.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 The damage must be caused to a third person: A third means generally any person other than the principal or the agent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 Finally, the agent or the servant must have caused the damage in the exercise of the functions for which he is employed.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Case law decides that it is sufficient that the fault has been committed by the agent in the course of the service, even if he has overstepped a prohibition by the principal (Tribunal Haut Lomami, 20 May 1948, RJCB, 1949, p. 57). That prohibition, in the present case, is the general instruction, known to all soldiers of the FARDC, that persons not directly participating in hostilities (civilians, prisoners of war, etc.) must not be killed.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in the present case, the four conditions mentioned above are fulfilled, inasmuch as: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there is an agent, namely the defendant Blaise Bongi Massaba, who worked under the authority and the orders of the principal who happens to be the Congolese State (Democratic Republic of the Congo), through the army, the FARDC;</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death of the five persons cited above was caused by the defendant, captain Blaise Bongi Massaba, agent of the Congolese State, who, with the help of a war weapon, shot at the five victims;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these victims, cited above, were third persons in the sense of the law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defendant, captain Blaise Bongi Massaba, agent of the army, the FARDC, committed the act which caused injury to the victims while being in service;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Whereas, in view of the above, the civil liability of the principal, namely the Congolese State (the Democratic Republic of the Congo), through its army (the FARDC), remains fully engaged;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Therefore</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The Military Garrison Tribunal of Ituri, finding on the civil action,</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i/>
          <w:iCs/>
          <w:sz w:val="24"/>
          <w:szCs w:val="24"/>
          <w:lang w:val="en-US"/>
        </w:rPr>
        <w:t>After proceedings in which both sides were heard, and by the majority of the votes of its members, by secret vote,</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Consequently orders Mr Blaise Bongi Massaba jointly with the Democratic Republic of the Congo to pay each of the four families of the victims the equivalent in Congolese Francs of the sum of 75,000 US Dollars (seventy-five-thousand US Dollars) as damages and interest, covering all injuries, or the equivalent in Congolese Francs of the total sum of 300,000 US Dollars (three-hundred-thousand US Dollars).</w:t>
      </w:r>
      <w:r>
        <w:rPr>
          <w:rFonts w:ascii="Times New Roman" w:eastAsia="Times New Roman" w:hAnsi="Times New Roman" w:cs="Times New Roman"/>
          <w:noProof/>
          <w:sz w:val="24"/>
          <w:szCs w:val="24"/>
        </w:rPr>
        <w:drawing>
          <wp:inline distT="0" distB="0" distL="0" distR="0">
            <wp:extent cx="151130" cy="142875"/>
            <wp:effectExtent l="19050" t="0" r="1270" b="0"/>
            <wp:docPr id="2592" name="Imagen 25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Whereas the charges of the war crimes of pillage and violence to life and person are sufficiently established as required by the law;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these breaches caused damages and harm for which the civilian parties demand reparation and indemnification on the basis of articles 258 and 260 of the third book of the Congolese civil code;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Whereas the civil liability of the authors of breaches that have caused harm to the parties is based on article 258 of the third book of the Congolese civil code, according to which: “any act whatsoever which causes damage to another, obligates the person by </w:t>
      </w:r>
      <w:r w:rsidRPr="00BE407E">
        <w:rPr>
          <w:rFonts w:ascii="Times New Roman" w:eastAsia="Times New Roman" w:hAnsi="Times New Roman" w:cs="Times New Roman"/>
          <w:sz w:val="24"/>
          <w:szCs w:val="24"/>
          <w:lang w:val="en-US"/>
        </w:rPr>
        <w:lastRenderedPageBreak/>
        <w:t>whose fault that damage has occurred to repair it”.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What about the civil responsibility of the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that responsibility follows from the presumption of the fault the administration or the State can commit in the choice and supervision of its agents;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[as] the beneficiary of the act accomplished by its agents on its account, it is only logical and follows from the elementary principle of fairness that the State is called on to repair the wrong resulting from the service from which it profits as master;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 State, just like the principal, must answer for the damage caused by its agents in the exercise of their function, not because it has committed a fault, created a risk or broken the equality of burdens between citizens, but because it is obligated to guarantee the safety of individuals against damaging acts by those who exercise an activity in its name and on its account;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in fact, when an organ of the State acts, it is the State itself that acts, and, consequently, when an agent commits a fault in the exercise of his functions, that fault engages the whole State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 abuse of the function is no obstacle to the responsibility of the master;</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 defendant Blaise Bongi Massaba, in his capacity as soldier of the FARDC, is an agent of the Congolese State, thus that soldier engages the responsibility of the State, since it is admitted that the abuse of functions is not an obstacle to the responsibility of the principal, namely the Democratic Republic of the Congo;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 Military Court of the Eastern Province therefore judges that the responsibility of the Democratic Republic of the Congo is engaged as regards the assassination of the five pupils from Tchekele by the soldiers of the third company under the command of the defendant Blaise Bongi Massaba;</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the same applies to the other acts of attacks on property in which not only the soldiers are implicated but in which also and in particular the Congolese State has failed its mission to keep individuals safe;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Whereas that responsibility for acts of third persons finds its basis in article 260 of the third book of the Congolese civil code which provides: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one is responsible not only for the damage one causes by one’s own act, but also for that which is caused by the act of persons for whom one is responsible or things which one has under one’s care;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Whereas the Democratic Republic of the Congo in its capacity as principal described above, has the civil liability for the reparation or indemnification of damages and harm caused to third persons by the act of its agents, who are the soldiers of the FARDC, of the third company of the first battalion in the sixth brigade.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Therefore</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The Military Court of the Eastern Province, finding on the civil action, after proceedings in which both sides were heard, and by the majority of the votes of its members.</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1. Declares admissible and founded on the merits the action for reparation and indemnification for harms introduced by Madame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courts orders the defendant Blaise Bongi Massaba, jointly with the Democratic Republic of the Congo, to pay as compensation for damage suffered: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To Madame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mother of … and aunt of…</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 the equivalent in Congolese Francs of 100,000 US Dollars as damages and interest,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equivalent in Congolese Francs of 15,000 US Dollars as the counter value of her destroyed house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restitution of the objects described above or their counter value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2. As regards the civil party …, father of … and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Military Court of the Eastern Province orders the defendant Blaise Bongi Massaba, jointly with the Democratic Republic of the Congo, to pay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equivalent in Congolese Francs of 100,000 US Dollars as damages and interest.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3. As regards the civil party …, father of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Military Court of the Eastern Province orders the defendant Blaise Bongi Massaba, jointly with the Democratic Republic of the Congo, to pay…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the equivalent in Congolese Francs of 50,000 US Dollars as damages and interest.</w:t>
      </w:r>
      <w:r>
        <w:rPr>
          <w:rFonts w:ascii="Times New Roman" w:eastAsia="Times New Roman" w:hAnsi="Times New Roman" w:cs="Times New Roman"/>
          <w:noProof/>
          <w:sz w:val="24"/>
          <w:szCs w:val="24"/>
        </w:rPr>
        <w:drawing>
          <wp:inline distT="0" distB="0" distL="0" distR="0">
            <wp:extent cx="151130" cy="142875"/>
            <wp:effectExtent l="19050" t="0" r="1270" b="0"/>
            <wp:docPr id="2593" name="Imagen 25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Germany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judgment in the </w:t>
      </w:r>
      <w:r w:rsidRPr="00BE407E">
        <w:rPr>
          <w:rFonts w:ascii="Times New Roman" w:eastAsia="Times New Roman" w:hAnsi="Times New Roman" w:cs="Times New Roman"/>
          <w:i/>
          <w:iCs/>
          <w:sz w:val="24"/>
          <w:szCs w:val="24"/>
          <w:lang w:val="en-US"/>
        </w:rPr>
        <w:t>Reparation Payments case</w:t>
      </w:r>
      <w:r w:rsidRPr="00BE407E">
        <w:rPr>
          <w:rFonts w:ascii="Times New Roman" w:eastAsia="Times New Roman" w:hAnsi="Times New Roman" w:cs="Times New Roman"/>
          <w:sz w:val="24"/>
          <w:szCs w:val="24"/>
          <w:lang w:val="en-US"/>
        </w:rPr>
        <w:t xml:space="preserve"> in 1963 relating to claims for compensation for slave labour during the Second World War, Germany’s Federal Supreme Court held that no decision could be reached on the merits of the claim until there was a final reparations agreement between the plaintiff’s government and Germany, as it found that the London Agreement on German External Debts of 27 February 1953 had postponed the question of indemnification of individuals to when the issue of reparations more generally had been settled.</w:t>
      </w:r>
      <w:r>
        <w:rPr>
          <w:rFonts w:ascii="Times New Roman" w:eastAsia="Times New Roman" w:hAnsi="Times New Roman" w:cs="Times New Roman"/>
          <w:noProof/>
          <w:sz w:val="24"/>
          <w:szCs w:val="24"/>
        </w:rPr>
        <w:drawing>
          <wp:inline distT="0" distB="0" distL="0" distR="0">
            <wp:extent cx="151130" cy="142875"/>
            <wp:effectExtent l="19050" t="0" r="1270" b="0"/>
            <wp:docPr id="2594" name="Imagen 25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the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in 2003, Germany’s Federal Court of Justice stated that the responsibility of States for internationally wrongful acts committed during hostilities “comprises liability for the acts of all persons belonging to the armed forces, and this not only in case these persons commit acts falling within their sphere of competence, but also in case they act without or against orders”.</w:t>
      </w:r>
      <w:r>
        <w:rPr>
          <w:rFonts w:ascii="Times New Roman" w:eastAsia="Times New Roman" w:hAnsi="Times New Roman" w:cs="Times New Roman"/>
          <w:noProof/>
          <w:sz w:val="24"/>
          <w:szCs w:val="24"/>
        </w:rPr>
        <w:drawing>
          <wp:inline distT="0" distB="0" distL="0" distR="0">
            <wp:extent cx="151130" cy="142875"/>
            <wp:effectExtent l="19050" t="0" r="1270" b="0"/>
            <wp:docPr id="2595" name="Imagen 25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the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in 2006, Germany’s Federal Constitutional Court held: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constitutional complaint is not accepted for decision.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Grounds:</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1</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constitutional complaint concerns the question of the liability of the Federal Republic of Germany to pay damages and compensate for “reprisals” taken by members of the German armed forces during the occupation of Greece in World War II.</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1</w:t>
      </w:r>
      <w:r w:rsidRPr="00BE407E">
        <w:rPr>
          <w:rFonts w:ascii="Times New Roman" w:eastAsia="Times New Roman" w:hAnsi="Times New Roman" w:cs="Times New Roman"/>
          <w:sz w:val="24"/>
          <w:szCs w:val="24"/>
          <w:lang w:val="en-US"/>
        </w:rPr>
        <w:t>. The complainants are Greek nationals. On 10 June 1944, their parents were shot in the course of a “reprisal action” against the inhabitants of the Greek locality Distomo by members of an SS unit incorporated in the German occupation forces, after previously an armed confrontation with partisans had taken place. The soldiers in total killed between 200 and 300 of the approximately 1800 inhabitants – not involved in the partisan fightings – of the village. Among the victims were mainly elderly persons, women, children and infants. The village was burnt down. The complainants, minors at the time, survived only due to the fortunate circumstance that a German soldier had signalled them to hide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2</w:t>
      </w:r>
      <w:r w:rsidRPr="00BE407E">
        <w:rPr>
          <w:rFonts w:ascii="Times New Roman" w:eastAsia="Times New Roman" w:hAnsi="Times New Roman" w:cs="Times New Roman"/>
          <w:sz w:val="24"/>
          <w:szCs w:val="24"/>
          <w:lang w:val="en-US"/>
        </w:rPr>
        <w:t xml:space="preserve">. In September 1995, the complainants brought an action before the Regional Court. They sought the declaration that the Federal Republic of Germany was under the obligation to compensate them for the material damage they had suffered as a result of the operation of the SS unit in Distomo on 10 June 1944. The Regional Court, like the Higher Regional Court seized as court of appeal, dismissed the action. The complainants’ appeal on points of law [Revision] before the Federal Court of Justice, </w:t>
      </w:r>
      <w:r w:rsidRPr="00BE407E">
        <w:rPr>
          <w:rFonts w:ascii="Times New Roman" w:eastAsia="Times New Roman" w:hAnsi="Times New Roman" w:cs="Times New Roman"/>
          <w:sz w:val="24"/>
          <w:szCs w:val="24"/>
          <w:lang w:val="en-US"/>
        </w:rPr>
        <w:lastRenderedPageBreak/>
        <w:t>allowed by the Higher Regional Court, was also unsuccessful. By contrast, in parallel proceedings in Greece, in which, amongst others, the complainants participated, the competent Regional Court Levadeia had decided in October 1997 that the compensation claims based on the same facts were well founded.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III.</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17</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2.</w:t>
      </w:r>
      <w:r w:rsidRPr="00BE407E">
        <w:rPr>
          <w:rFonts w:ascii="Times New Roman" w:eastAsia="Times New Roman" w:hAnsi="Times New Roman" w:cs="Times New Roman"/>
          <w:sz w:val="24"/>
          <w:szCs w:val="24"/>
          <w:lang w:val="en-US"/>
        </w:rPr>
        <w:t xml:space="preserve"> The constitutional complaint has no prospect of success on the merits. The challenged decisions do not violate the claimants’ Basic Rights.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18</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a)</w:t>
      </w:r>
      <w:r w:rsidRPr="00BE407E">
        <w:rPr>
          <w:rFonts w:ascii="Times New Roman" w:eastAsia="Times New Roman" w:hAnsi="Times New Roman" w:cs="Times New Roman"/>
          <w:sz w:val="24"/>
          <w:szCs w:val="24"/>
          <w:lang w:val="en-US"/>
        </w:rPr>
        <w:t xml:space="preserve"> There are no objections under constitutional law to the Federal Court of Justice’s refusal to be bound by the judgement of the Greek Regional Court Livadeia of 30 October 1997. According to applicable international law, a State can demand exemption from another State’s jurisdiction if and to the extent that the assessment of its sovereign acts – so called </w:t>
      </w:r>
      <w:r w:rsidRPr="00BE407E">
        <w:rPr>
          <w:rFonts w:ascii="Times New Roman" w:eastAsia="Times New Roman" w:hAnsi="Times New Roman" w:cs="Times New Roman"/>
          <w:i/>
          <w:iCs/>
          <w:sz w:val="24"/>
          <w:szCs w:val="24"/>
          <w:lang w:val="en-US"/>
        </w:rPr>
        <w:t>acta iure imperii</w:t>
      </w:r>
      <w:r w:rsidRPr="00BE407E">
        <w:rPr>
          <w:rFonts w:ascii="Times New Roman" w:eastAsia="Times New Roman" w:hAnsi="Times New Roman" w:cs="Times New Roman"/>
          <w:sz w:val="24"/>
          <w:szCs w:val="24"/>
          <w:lang w:val="en-US"/>
        </w:rPr>
        <w:t xml:space="preserve"> – is concerned … Since the SS unit involved in the events in Distomo was incorporated into the armed forces of the German Reich, the assaults are to be classified as sovereign acts, irrespective of the question of their unlawfulness under international law. The Federal Court of Justice therefore correctly held that it was not bound by the judgement of the Greek Regional Court.</w:t>
      </w:r>
      <w:r>
        <w:rPr>
          <w:rFonts w:ascii="Times New Roman" w:eastAsia="Times New Roman" w:hAnsi="Times New Roman" w:cs="Times New Roman"/>
          <w:noProof/>
          <w:sz w:val="24"/>
          <w:szCs w:val="24"/>
        </w:rPr>
        <w:drawing>
          <wp:inline distT="0" distB="0" distL="0" distR="0">
            <wp:extent cx="151130" cy="142875"/>
            <wp:effectExtent l="19050" t="0" r="1270" b="0"/>
            <wp:docPr id="2596" name="Imagen 25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2004, in the </w:t>
      </w:r>
      <w:r w:rsidRPr="00BE407E">
        <w:rPr>
          <w:rFonts w:ascii="Times New Roman" w:eastAsia="Times New Roman" w:hAnsi="Times New Roman" w:cs="Times New Roman"/>
          <w:i/>
          <w:iCs/>
          <w:sz w:val="24"/>
          <w:szCs w:val="24"/>
          <w:lang w:val="en-US"/>
        </w:rPr>
        <w:t>East German Expropriation case</w:t>
      </w:r>
      <w:r w:rsidRPr="00BE407E">
        <w:rPr>
          <w:rFonts w:ascii="Times New Roman" w:eastAsia="Times New Roman" w:hAnsi="Times New Roman" w:cs="Times New Roman"/>
          <w:sz w:val="24"/>
          <w:szCs w:val="24"/>
          <w:lang w:val="en-US"/>
        </w:rPr>
        <w:t>, Germany’s Federal Constitutional Court held: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89</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state governed by the Basic Law has a duty to guarantee on its territory the integrity of the elementary principles of public international law, and, in the case of violations of public international law, to create a situation that is closer to the requirements of public international law in accordance with its responsibility and within the scope of its possibilities of action. However, this does not create a duty to return the property that was seized without compensation outside the state’s sphere of responsibility in the period between 1945 and 1949.</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90</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 a) The German state bodies, under Article 20.3 of the Basic Law, are bound by public international law, which claims domestic validity as the law of international agreements under Article 59.2 of the Basic Law, and with its general rules, in particular as customary international law, under Article 25.1 of the Basic Law.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93</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b) This duty to respect public international law, a duty that arises from the fact that the Basic Law is open to public international law, has three elements: firstly, the German state bodies have a duty to follow the provisions of public international law that bind the Federal Republic of Germany, and, if possible, to refrain from violating them. … Secondly, the legislature must guarantee for the German legal system that violations of public international law committed by its own state bodies can be corrected. Thirdly, the German state bodies – subject to conditions which will not be set out in more detail here – may also have a duty to assert public international law in their own area of responsibility if other states violate it.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99</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2. In the cases to be decided, there is no violation of this duty of respect by German state bodies. The expropriations were the responsibility of the Soviet occupying power (a). On German unification, the Federal Republic of Germany attained the sovereign competence to decide on the reversal of the measures on the basis of sovereign acts by occupying powers. Public international law does not require the Federal Republic of Germany to make restitution. Nor did it have a duty to attach the legal consequence of voidness to the expropriations. The Federal Republic of Germany had merely a duty of cooperation with regard to the consequences (b). It fulfilled this duty by bringing about German unification peacefully by way of negotiations. Only by doing this did it achieve the de facto possibility to correct the situation, which was determined by history. The Federal Republic of Germany was allowed to come to the conclusion that dealing cooperatively with German unification would be incompatible with treating the expropriations as void (c).</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100</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 The expropriations on the territory of the Soviet occupation zone of Germany in the years 1945 to 1949, irrespective of whether they were occasioned directly by the Soviet occupying power or whether the German authorities installed by this occupying power had their own scope for decision in this respect, cannot be attributed to the sphere of responsibility of the state power of the Federal Republic of Germany, bound by the Basic Law (see BVerfGE 84, 90 (122–123)). Admittedly, since its foundation, the Federal Republic of Germany has seen itself as responsible for the whole of Germany in the meaning of the Preamble to the Basic Law (see BVerfGE 36, 1 (16); 77, 137 (149 ff.)). However, its state power was restricted not only in fact, but also under constitutional law, to the then territory of the Federal Republic of Germany (Article 23 sentence 1 of the Basic Law, original version). Under this Article, there was no responsibility of the Federal Republic of Germany in the sense of bearing responsibility for any measures it regarded as unlawful or unconstitutional in the Soviet-occupied zone, any more than with regard to measures taken by foreign state powers.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101</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Instead, the Soviet occupying power, which carried out the expropriations on the basis of sovereign acts or was responsible for them by reason of the factual circumstances of control, claimed special authorisation, in order to restructure the property system in its occupation zone as planned.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There is more than one reason to suggest that the competence to structure the occupation regime is restricted by the minimum requirements of humanity laid down in the Hague Land Warfare Convention (on the application of the Land Warfare Convention as customary public international law as early as in the course of the Second World War, see International Military Court (Internationaler Militärgerichtshof), </w:t>
      </w:r>
      <w:r w:rsidRPr="00BE407E">
        <w:rPr>
          <w:rFonts w:ascii="Times New Roman" w:eastAsia="Times New Roman" w:hAnsi="Times New Roman" w:cs="Times New Roman"/>
          <w:i/>
          <w:iCs/>
          <w:sz w:val="24"/>
          <w:szCs w:val="24"/>
          <w:lang w:val="en-US"/>
        </w:rPr>
        <w:t>Prozess gegen die Hauptkriegsverbrecher, 14. November 1945 bis 1. October 1946</w:t>
      </w:r>
      <w:r w:rsidRPr="00BE407E">
        <w:rPr>
          <w:rFonts w:ascii="Times New Roman" w:eastAsia="Times New Roman" w:hAnsi="Times New Roman" w:cs="Times New Roman"/>
          <w:sz w:val="24"/>
          <w:szCs w:val="24"/>
          <w:lang w:val="en-US"/>
        </w:rPr>
        <w:t xml:space="preserve">, judgment, pp. 260 ff., 267 ff.; Greenwood, in: Fleck (ed.), </w:t>
      </w:r>
      <w:r w:rsidRPr="00BE407E">
        <w:rPr>
          <w:rFonts w:ascii="Times New Roman" w:eastAsia="Times New Roman" w:hAnsi="Times New Roman" w:cs="Times New Roman"/>
          <w:i/>
          <w:iCs/>
          <w:sz w:val="24"/>
          <w:szCs w:val="24"/>
          <w:lang w:val="en-US"/>
        </w:rPr>
        <w:t>Handbuch des humanitären Völkerrechts</w:t>
      </w:r>
      <w:r w:rsidRPr="00BE407E">
        <w:rPr>
          <w:rFonts w:ascii="Times New Roman" w:eastAsia="Times New Roman" w:hAnsi="Times New Roman" w:cs="Times New Roman"/>
          <w:sz w:val="24"/>
          <w:szCs w:val="24"/>
          <w:lang w:val="en-US"/>
        </w:rPr>
        <w:t xml:space="preserve">, 1994, no. 120). Under Articles 42 et seq. of the Land Warfare Convention, armed occupation creates a legal relationship between the occupying and the occupied state. The occupier has particular rights and duties in the occupied territory. It is true that the victorious powers, in the legal foundation documents for the exercise of government power with regard to Germany, agreed that it should be possible for the victorious power in question to intervene significantly in the political and economic life of Germany. They regarded it as their duty “to fundamentally restructure the political system, the basis of the constitution, indeed, the education system and the whole economic and social structure of Germany” (see Part </w:t>
      </w:r>
      <w:r w:rsidRPr="00BE407E">
        <w:rPr>
          <w:rFonts w:ascii="Times New Roman" w:eastAsia="Times New Roman" w:hAnsi="Times New Roman" w:cs="Times New Roman"/>
          <w:sz w:val="24"/>
          <w:szCs w:val="24"/>
          <w:lang w:val="en-US"/>
        </w:rPr>
        <w:lastRenderedPageBreak/>
        <w:t>III.a § 3, 7, 9 and 11 et seq. of the Potsdam Agreement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103</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However, the humanitarian core of the Land Warfare Convention, which consists of the principles of humanity in the meaning of the Martens clause of the Preamble to the Hague Land Warfare Convention … was binding even at the time of the occupation. The Martens clause was confirmed as follows in Article 1.2 of Protocol I Additional to the Geneva Conventions: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104</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cases not covered by this Protocol or by other international agreements, civilians and combatants remain under the protection and authority of the principles of international law derived from established custom, from the principles of humanity and from the dictates of public conscience.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105</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It cannot be excluded that – as the complainants believe – acts of the Soviet occupying power were inconsistent with elementary principles of law, because, without differentiation as to individual responsibility, they were directed against a group of persons called the “class enemy” and aimed at its economical or even physical destruction.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106</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However, it is not necessary to decide here the precise position of the boundaries of competence to structure the occupation regime and whether in this specific case they were exceeded.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107</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b) On German unification, the Federal Republic of Germany attained the sovereign competence to decide on the continuation of the measures on the basis of sovereign acts by occupying powers (aa). Public international law did not impose on the Federal Republic of Germany a duty to make restitution (bb). The Federal Republic of Germany was subject only to a duty of cooperation with regard to the consequences, in order to achieve a situation closer to public international law (cc).</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108</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aa) After the end of an armed occupation of its territory or of a part of its territory, the returning sovereign power may decide freely on the continuation of measures on the basis of sovereign acts by occupying powers and may in particular treat expropriations as void … In the case of the expropriations on the basis of sovereign acts by occupying powers in the Soviet occupation zone, this sovereign is the Federal Republic of Germany.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109</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A measure undertaken before 7 October 1949 – the date of foundation of the German Democratic Republic – on the basis of sovereign acts by occupying powers did not lose its character as the result of an official or judicial confirmation that occurred after this date (see the official parliamentary background materials to the annexes to the Unification Treaty of 31 August 1990, </w:t>
      </w:r>
      <w:r w:rsidRPr="00BE407E">
        <w:rPr>
          <w:rFonts w:ascii="Times New Roman" w:eastAsia="Times New Roman" w:hAnsi="Times New Roman" w:cs="Times New Roman"/>
          <w:i/>
          <w:iCs/>
          <w:sz w:val="24"/>
          <w:szCs w:val="24"/>
          <w:lang w:val="en-US"/>
        </w:rPr>
        <w:t>Bundestag</w:t>
      </w:r>
      <w:r w:rsidRPr="00BE407E">
        <w:rPr>
          <w:rFonts w:ascii="Times New Roman" w:eastAsia="Times New Roman" w:hAnsi="Times New Roman" w:cs="Times New Roman"/>
          <w:sz w:val="24"/>
          <w:szCs w:val="24"/>
          <w:lang w:val="en-US"/>
        </w:rPr>
        <w:t xml:space="preserve"> document 11/7831, pp. 3–4). The fact that the German Democratic Republic in turn accepted the expropriations as its own will does not alter this. On the foundation of the German Democratic Republic, another sovereign in the meaning of public international law had moved into the territory of the German Reich (legally) vacated by the Soviet occupying power (see BVerfGE 92, 277 (320)). From the point of view of public international law, the German Democratic Republic, as a third-party state, on the basis of its territorial sovereignty and under its contractual obligations, reverse measures of the occupying power, but it waived the right to do so. After the end of the German Democratic Republic, the Federal Republic </w:t>
      </w:r>
      <w:r w:rsidRPr="00BE407E">
        <w:rPr>
          <w:rFonts w:ascii="Times New Roman" w:eastAsia="Times New Roman" w:hAnsi="Times New Roman" w:cs="Times New Roman"/>
          <w:sz w:val="24"/>
          <w:szCs w:val="24"/>
          <w:lang w:val="en-US"/>
        </w:rPr>
        <w:lastRenderedPageBreak/>
        <w:t>of Germany as the following sovereign over this territory was able to make such a correction.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110</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bb) The Federal Republic of Germany is subject to no duty derived from public international law to make restitution to the persons affected by the expropriations. In connection with the Two-Plus-Four Talks, it impliedly and admissibly waived the right to any claims it had to damages under public international law (1). There are no rules of mandatory public international law preventing this (2).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111</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 Between the German Reich and the Soviet Union, the states that were succeeded by the Federal Republic of Germany and the Russian Federation, there was a state of war under international law … The Hague Land Warfare Convention may give rise to claims on an international level, that is, between the occupying power and the returning sovereign. A party to a conflict that does not observe the provisions of Hague law is, by Article 3 of the Land Warfare Convention (see Article 91 of Protocol I Additional to the Geneva Conventions, of 1977) obliged to pay damages. This provision corresponds to the principle under customary international law that the violation of its duties under public international law makes a state responsible (see too Article 1 of the ILC [A]rticle[s] on the [R]esponsibility of [S]tates). This right to damages under secondary law, however, exists only in the public-international-law relationship between the states involved and is subject to their disposition. In this respect, the claim to damages differs from the claim under primary law of the persons involved that the prohibitions of humanitarian public international law are observed; this claim exists in the public-international-law relationship between the state occupying a territory and the population living in this territory.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the Two-Plus-Four Talks, the Federal Republic of Germany impliedly waived any claims under the Hague Land Warfare Convention. By the wording of the Land Warfare Convention and the practice of the states, the Federal Republic of Germany was not obliged to assert such claims towards the former occupying power.</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113</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It is not in contradiction to this that each of the four Geneva Conventions of the year 1949 contains a provision depriving the states that are parties the right to release themselves or another from the responsibility for “serious violations” of public international law (Article 51 of the First Geneva Convention, Article 52 of the Second Geneva Convention, Article 131 of the Third Geneva Convention and Article 148 of the Fourth Geneva Convention). When these provisions were created, the creators believed that they had found in them an efficient means of enforcing the Hague law. In the practice of the law of war, however, this principle has not yet succeeded in establishing itself. Instead, as a rule the victor demands the payment of compensation from the conquered (reparations), although there was no unambiguous agreement to base this on violations of the law of war, and above all without the victor paying damages for the violations of law committed by itself. It cannot be concluded from the provisions of the Geneva Convention that the states are forbidden to waive claims under the Hague Land Warfare Convention in connection with entering into a peace treaty.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114</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Any claims of the individuals protected by the Land Warfare Convention are burdened in advance by this authorisation of the occupying power and the sovereign to legislate and to waive, and they are also restricted by it.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119</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cc) Modern public international law is characterised by a continuous increase in the severity of the legal consequences which it attaches to the violation of particular central norms; the states are increasingly subjected to a duty to terminate and remove grave violations of peremptory international law.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121</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ILC Articles contain a Chapter III, dealing separately with a duty to act on the part of third-party states (Articles 40 et seq.), but this treats only serious violations of peremptory international law. A breach is serious if it is gross or systematic in nature (Article 40.2). The states must cooperate in order to bring an end to any such breach (Article 41.1). In addition, no state may recognise as lawful a situation created by such a breach or render aid or assistance in maintaining it (Article 41.2).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However, these provisions do not give rise to the legal consequence that the expropriations on the basis of sovereign acts by occupying powers – assuming they violated mandatory international law – are to be treated as void. Instead, the legal consequence of voidness is laid down only to the extent that duties under treaties are directed precisely to performance that is prohibited by a peremptory norm. Apart from this, however, and all the more so if a factually established situation and differing political interests are involved, the states have merely a duty to cooperate with regard to the consequences. Behind this duty of cooperation is the consideration that it is urgently necessary to create a situation that, while safeguarding the interests on both sides, does actually mitigate the breach of peremptory law as far as possible.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124</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c) The Federal Republic of Germany satisfied this duty to cooperate with regard to the consequences by bringing about reunification by way of peaceful negotiations. Only in this way did it create the de facto possibility, if not of undoing the situation created from 1945 to 1949, yet of substantially correcting it, and at all events of softening its actual effects. In this connection, the Federal Government was permitted to come to the conclusion that managing reunification cooperatively would be incompatible with treating the expropriations as void.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III.</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135</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interpretation of the law expressed in the decisions challenged with regard to the dual nationality of the predecessor in title of the second complainant is unobjectionable from the point of view of constitutional law. In particular, there can be no objection, with regard to Article 3 of the Basic Law, to the opinion that the prohibition on expropriation of foreign assets pronounced by the Soviet occupying power does not apply to persons who had not only foreign but also German citizenship.</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136</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 An expropriation on the basis of sovereign acts by occupying powers is a measure that was formally undertaken on the basis of statutes, delegated legislation and other acts of state by German agencies, but which was carried out at the suggestion or wish of the occupying power or with its consent. This applies above all to the expropriations in connection with the land reform and the expropriations carried out following SMAD Order no. 124 of 30 October 1945, which were expressly confirmed by SMAD Order no. 64 of 17 April 1948 – in which the highest chief of the SMAD ordered the </w:t>
      </w:r>
      <w:r w:rsidRPr="00BE407E">
        <w:rPr>
          <w:rFonts w:ascii="Times New Roman" w:eastAsia="Times New Roman" w:hAnsi="Times New Roman" w:cs="Times New Roman"/>
          <w:sz w:val="24"/>
          <w:szCs w:val="24"/>
          <w:lang w:val="en-US"/>
        </w:rPr>
        <w:lastRenderedPageBreak/>
        <w:t>termination of the sequestration proceedings in the Soviet Occupation Zone (see BVerfGE 84, 90 (113)).</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137</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It is not significant whether the expropriations were formally based on legal acts of the occupying power or of the German authorities established by that power. What is decisive, instead, is whether the measure was not merely accepted by the Soviet occupying power, but also coincided with its declared intention (see BVerfGE 84, 90 (114)), or whether the occupying power as a non-German state authority still had the highest sovereignty at the time of the expropriation (see BVerfGE 94, 12 (31)). In particular, expropriations in connection with the land reform are therefore to be regarded as being “on the basis of sovereign acts by occupying powers”. The only acts of expropriation that are to be regarded as German orders are those which lacked the decisive elements making them attributable to the occupying power, for example because the occupying power had expressly prohibited the expropriations by reason of their character or in the individual case. Only a distinction on this basis between Allied decisions – whether under occupation law or on the basis of sovereign acts by occupying powers – and German orders does justice to the legal reality in the Soviet occupation zone (see BVerfGE 94, 12 (32)).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138</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 This conclusion is also unobjectionable from the point of view of public international law. In the law of state responsibility, it is recognised that acts of the bodies of a state give rise to the responsibility of another state if they can be attributed to the latter (see Article 18 of the ILC Articles on [S]tate [R]esponsibility, loc. cit.). Accordingly there are no objections to attributing the expropriations under public international law to the Soviet Union, in view of its overall responsibility as occupying power and its formative influence on the events.</w:t>
      </w:r>
      <w:r>
        <w:rPr>
          <w:rFonts w:ascii="Times New Roman" w:eastAsia="Times New Roman" w:hAnsi="Times New Roman" w:cs="Times New Roman"/>
          <w:noProof/>
          <w:sz w:val="24"/>
          <w:szCs w:val="24"/>
        </w:rPr>
        <w:drawing>
          <wp:inline distT="0" distB="0" distL="0" distR="0">
            <wp:extent cx="151130" cy="142875"/>
            <wp:effectExtent l="19050" t="0" r="1270" b="0"/>
            <wp:docPr id="2597" name="Imagen 25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Israel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the </w:t>
      </w:r>
      <w:r w:rsidRPr="00BE407E">
        <w:rPr>
          <w:rFonts w:ascii="Times New Roman" w:eastAsia="Times New Roman" w:hAnsi="Times New Roman" w:cs="Times New Roman"/>
          <w:i/>
          <w:iCs/>
          <w:sz w:val="24"/>
          <w:szCs w:val="24"/>
          <w:lang w:val="en-US"/>
        </w:rPr>
        <w:t>Eichmann</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case</w:t>
      </w:r>
      <w:r w:rsidRPr="00BE407E">
        <w:rPr>
          <w:rFonts w:ascii="Times New Roman" w:eastAsia="Times New Roman" w:hAnsi="Times New Roman" w:cs="Times New Roman"/>
          <w:sz w:val="24"/>
          <w:szCs w:val="24"/>
          <w:lang w:val="en-US"/>
        </w:rPr>
        <w:t xml:space="preserve"> in 1961, Israel’s District Court of Jerusalem stated: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It is true that under international law Germany bears not only moral, but also legal, responsibility for all the crimes that were committed as its own ‘acts of State’, including the crimes attributed to the accused.</w:t>
      </w:r>
      <w:r>
        <w:rPr>
          <w:rFonts w:ascii="Times New Roman" w:eastAsia="Times New Roman" w:hAnsi="Times New Roman" w:cs="Times New Roman"/>
          <w:noProof/>
          <w:sz w:val="24"/>
          <w:szCs w:val="24"/>
        </w:rPr>
        <w:drawing>
          <wp:inline distT="0" distB="0" distL="0" distR="0">
            <wp:extent cx="151130" cy="142875"/>
            <wp:effectExtent l="19050" t="0" r="1270" b="0"/>
            <wp:docPr id="2598" name="Imagen 25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Italy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judgment in the </w:t>
      </w:r>
      <w:r w:rsidRPr="00BE407E">
        <w:rPr>
          <w:rFonts w:ascii="Times New Roman" w:eastAsia="Times New Roman" w:hAnsi="Times New Roman" w:cs="Times New Roman"/>
          <w:i/>
          <w:iCs/>
          <w:sz w:val="24"/>
          <w:szCs w:val="24"/>
          <w:lang w:val="en-US"/>
        </w:rPr>
        <w:t>Priebke case</w:t>
      </w:r>
      <w:r w:rsidRPr="00BE407E">
        <w:rPr>
          <w:rFonts w:ascii="Times New Roman" w:eastAsia="Times New Roman" w:hAnsi="Times New Roman" w:cs="Times New Roman"/>
          <w:sz w:val="24"/>
          <w:szCs w:val="24"/>
          <w:lang w:val="en-US"/>
        </w:rPr>
        <w:t xml:space="preserve"> (Trial of First Instance) in 1996, Italy’s Military Tribunal of Rome held that Italy had been responsible for an attack in 1944 perpetrated against German soldiers by Italian partisans. It stated that although the partisans were not legitimate combatants, Italy had encouraged their actions during the war and had officially recognized them after the conflict. Accordingly, the Tribunal concluded, their actions could be ascribed to the State which was thus internationally responsible for the attack.</w:t>
      </w:r>
      <w:r>
        <w:rPr>
          <w:rFonts w:ascii="Times New Roman" w:eastAsia="Times New Roman" w:hAnsi="Times New Roman" w:cs="Times New Roman"/>
          <w:noProof/>
          <w:sz w:val="24"/>
          <w:szCs w:val="24"/>
        </w:rPr>
        <w:drawing>
          <wp:inline distT="0" distB="0" distL="0" distR="0">
            <wp:extent cx="151130" cy="142875"/>
            <wp:effectExtent l="19050" t="0" r="1270" b="0"/>
            <wp:docPr id="2599" name="Imagen 25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Netherlands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judgment in the </w:t>
      </w:r>
      <w:r w:rsidRPr="00BE407E">
        <w:rPr>
          <w:rFonts w:ascii="Times New Roman" w:eastAsia="Times New Roman" w:hAnsi="Times New Roman" w:cs="Times New Roman"/>
          <w:i/>
          <w:iCs/>
          <w:sz w:val="24"/>
          <w:szCs w:val="24"/>
          <w:lang w:val="en-US"/>
        </w:rPr>
        <w:t>J.T. case</w:t>
      </w:r>
      <w:r w:rsidRPr="00BE407E">
        <w:rPr>
          <w:rFonts w:ascii="Times New Roman" w:eastAsia="Times New Roman" w:hAnsi="Times New Roman" w:cs="Times New Roman"/>
          <w:sz w:val="24"/>
          <w:szCs w:val="24"/>
          <w:lang w:val="en-US"/>
        </w:rPr>
        <w:t xml:space="preserve"> in 1949 in which an individual had sued the State for repayment of money taken by the police during the arrest of the claimant during the occupation of the Netherlands by the German army, the District Court of The Hague held that the State of the Netherlands must repay the money to the plaintiff. It held that it was true that the State was not liable for all acts committed by the resistance movement (</w:t>
      </w:r>
      <w:r w:rsidRPr="00BE407E">
        <w:rPr>
          <w:rFonts w:ascii="Times New Roman" w:eastAsia="Times New Roman" w:hAnsi="Times New Roman" w:cs="Times New Roman"/>
          <w:i/>
          <w:iCs/>
          <w:sz w:val="24"/>
          <w:szCs w:val="24"/>
          <w:lang w:val="en-US"/>
        </w:rPr>
        <w:t>Binnenlandse Strijdkrachten</w:t>
      </w:r>
      <w:r w:rsidRPr="00BE407E">
        <w:rPr>
          <w:rFonts w:ascii="Times New Roman" w:eastAsia="Times New Roman" w:hAnsi="Times New Roman" w:cs="Times New Roman"/>
          <w:sz w:val="24"/>
          <w:szCs w:val="24"/>
          <w:lang w:val="en-US"/>
        </w:rPr>
        <w:t>) which had been organized with the consent of the government in exile during the Second World War, but since it was definitely established that the money had come into the hands of the police, restitution had to be made.</w:t>
      </w:r>
      <w:r>
        <w:rPr>
          <w:rFonts w:ascii="Times New Roman" w:eastAsia="Times New Roman" w:hAnsi="Times New Roman" w:cs="Times New Roman"/>
          <w:noProof/>
          <w:sz w:val="24"/>
          <w:szCs w:val="24"/>
        </w:rPr>
        <w:drawing>
          <wp:inline distT="0" distB="0" distL="0" distR="0">
            <wp:extent cx="151130" cy="142875"/>
            <wp:effectExtent l="19050" t="0" r="1270" b="0"/>
            <wp:docPr id="2600" name="Imagen 26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United Kingdom of Great Britain and Northern Ireland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lastRenderedPageBreak/>
        <w:t xml:space="preserve">In the </w:t>
      </w:r>
      <w:r w:rsidRPr="00BE407E">
        <w:rPr>
          <w:rFonts w:ascii="Times New Roman" w:eastAsia="Times New Roman" w:hAnsi="Times New Roman" w:cs="Times New Roman"/>
          <w:i/>
          <w:iCs/>
          <w:sz w:val="24"/>
          <w:szCs w:val="24"/>
          <w:lang w:val="en-US"/>
        </w:rPr>
        <w:t xml:space="preserve">Al-Jedda case </w:t>
      </w:r>
      <w:r w:rsidRPr="00BE407E">
        <w:rPr>
          <w:rFonts w:ascii="Times New Roman" w:eastAsia="Times New Roman" w:hAnsi="Times New Roman" w:cs="Times New Roman"/>
          <w:sz w:val="24"/>
          <w:szCs w:val="24"/>
          <w:lang w:val="en-US"/>
        </w:rPr>
        <w:t>in 2007, the UK House of Lords were called upon to decide the appeal of Mr Al-Jedda, a national both of the United Kingdom and Iraq, against his detention by UK forces in Iraq.</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“whether, by reason of the provisions of UNSCR [UN Security Council Resolution] 1511 (2003) and/or UNSCR 1546 (2004), and/or UNSCR 1637 (2005) and/or UNSCR 1723 (2006) and/or (so far as it may be relevant) UNSCR 1483 (2003), the detention of the appellant is attributable to the United Nations and thus outside the scope of the [1950 European Convention on Human Rights]”,</w:t>
      </w:r>
      <w:r>
        <w:rPr>
          <w:rFonts w:ascii="Times New Roman" w:eastAsia="Times New Roman" w:hAnsi="Times New Roman" w:cs="Times New Roman"/>
          <w:noProof/>
          <w:sz w:val="24"/>
          <w:szCs w:val="24"/>
        </w:rPr>
        <w:drawing>
          <wp:inline distT="0" distB="0" distL="0" distR="0">
            <wp:extent cx="151130" cy="142875"/>
            <wp:effectExtent l="19050" t="0" r="1270" b="0"/>
            <wp:docPr id="2601" name="Imagen 26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whether the provisions of article 5(1) of the Convention are qualified by the legal regime established pursuant to United Nations Security Council Resolution (“UNSCR”) 1546 (and subsequent resolutions) by reason of the operation of articles 25 and 103 of the UN Charter, such that the detention of the appellant has not been in violation of article 5(1),</w:t>
      </w:r>
      <w:r>
        <w:rPr>
          <w:rFonts w:ascii="Times New Roman" w:eastAsia="Times New Roman" w:hAnsi="Times New Roman" w:cs="Times New Roman"/>
          <w:noProof/>
          <w:sz w:val="24"/>
          <w:szCs w:val="24"/>
        </w:rPr>
        <w:drawing>
          <wp:inline distT="0" distB="0" distL="0" distR="0">
            <wp:extent cx="151130" cy="142875"/>
            <wp:effectExtent l="19050" t="0" r="1270" b="0"/>
            <wp:docPr id="2602" name="Imagen 26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whether English common law or Iraqi law applies to the appellant’s detention and, if the former, whether there is any legal basis for his detention.</w:t>
      </w:r>
      <w:r>
        <w:rPr>
          <w:rFonts w:ascii="Times New Roman" w:eastAsia="Times New Roman" w:hAnsi="Times New Roman" w:cs="Times New Roman"/>
          <w:noProof/>
          <w:sz w:val="24"/>
          <w:szCs w:val="24"/>
        </w:rPr>
        <w:drawing>
          <wp:inline distT="0" distB="0" distL="0" distR="0">
            <wp:extent cx="151130" cy="142875"/>
            <wp:effectExtent l="19050" t="0" r="1270" b="0"/>
            <wp:docPr id="2603" name="Imagen 26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 Since October 2004 the appellant, who is a national of both this country and Iraq, has been held in custody by British troops at detention facilities in Iraq. He complains that his detention infringes his rights under article 5(1) of the European Convention on Human Rights, a Convention right protected by the Human Rights Act 1998, and also founds a good claim in this country under the English common law. These claims were rejected by the Queen’s Bench Divisional Court (Moses and Richards JJ: [2005] EWHC 1809 (Admin), HRLR 1355) and also by the Court of Appeal (Brooke, May and Rix LJJ: [2006] EWCA Civ 327, [2007] QB 621. Both courts below delivered lengthy and careful judgments, commensurate with the importance and difficulty of the issues then raised, but a new issue has (by agreement) been raised and argued before the House, as explained below.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 The appellant has not been charged with any offence, and no charge or trial is in prospect. He was arrested and has since been detained on the ground that his internment is necessary for imperative reasons of security in Iraq. He was suspected of being a member of a terrorist group involved in weapons smuggling and explosive attacks in Iraq. He was believed by the British authorities to have been personally responsible for recruiting terrorists outside Iraq with a view to the commission of atrocities there; for facilitating the travel into Iraq of an identified terrorist explosives expert; for conspiring with that explosives expert to conduct attacks with improvised explosive devices against coalition forces in the areas around Fallujah and Baghdad; and for conspiring with the explosives expert and members of an Islamist terrorist cell in the Gulf to smuggle high tech detonation equipment into Iraq for use in attacks against coalition forces. These allegations are roundly denied by the appellant, and they have not been tested in any proceedings. Nor is their correctness an issue in these proceedings. The House must therefore resolve the legal issues falling for decision on the assumption that the allegations are true, without forming any judgment whether they are or not.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 In the courts below the appellant’s Human Rights Act argument was directed to a single question, turning essentially on the relationship between article 5(1) of the European Convention on the one hand and the United Nations Charter, and certain resolutions of the UN Security Council, on the other. More specifically, this question is agreed to be whether the provisions of article 5(1) of the Convention are qualified by the legal regime established pursuant to United Nations Security Council Resolution (“UNSCR”) 1546 (and subsequent resolutions) by reason of the operation of articles 25 and 103 of the UN Charter, such that the detention of the appellant has not been in violation of article 5(1). This is the issue which the courts below decided against the </w:t>
      </w:r>
      <w:r w:rsidRPr="00BE407E">
        <w:rPr>
          <w:rFonts w:ascii="Times New Roman" w:eastAsia="Times New Roman" w:hAnsi="Times New Roman" w:cs="Times New Roman"/>
          <w:sz w:val="24"/>
          <w:szCs w:val="24"/>
          <w:lang w:val="en-US"/>
        </w:rPr>
        <w:lastRenderedPageBreak/>
        <w:t xml:space="preserve">appellant, and it remains an issue dividing the parties. But it is now the second issue. For the Secretary of State, prompted (it seems) by the admissibility decision of the Grand Chamber of the European Court of Human Rights in </w:t>
      </w:r>
      <w:r w:rsidRPr="00BE407E">
        <w:rPr>
          <w:rFonts w:ascii="Times New Roman" w:eastAsia="Times New Roman" w:hAnsi="Times New Roman" w:cs="Times New Roman"/>
          <w:i/>
          <w:iCs/>
          <w:sz w:val="24"/>
          <w:szCs w:val="24"/>
          <w:lang w:val="en-US"/>
        </w:rPr>
        <w:t>Behrami v France, Saramati v</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 xml:space="preserve">France, Germany and Norway </w:t>
      </w:r>
      <w:r w:rsidRPr="00BE407E">
        <w:rPr>
          <w:rFonts w:ascii="Times New Roman" w:eastAsia="Times New Roman" w:hAnsi="Times New Roman" w:cs="Times New Roman"/>
          <w:sz w:val="24"/>
          <w:szCs w:val="24"/>
          <w:lang w:val="en-US"/>
        </w:rPr>
        <w:t xml:space="preserve">(Application Nos 71412/01 and 78166/01 (unreported), 2 May 2007) has raised an entirely new issue, not ventilated in the courts below, directed to the attributability in international law of the conduct of which the appellant complains. As agreed, the issue is “whether, by reason of the provisions of UNSCR 1511 (2003) and/or UNSCR 1546 (2004), and/or UNSCR 1637 (2005) and/or UNSCR 1723 (2006) and/or (so far as it may be relevant) UNSCR 1483 (2003), the detention of the appellant is attributable to the United Nations and thus outside the scope of the [1950 European Convention on Human Rights]”. The Secretary of State, relying strongly on </w:t>
      </w:r>
      <w:r w:rsidRPr="00BE407E">
        <w:rPr>
          <w:rFonts w:ascii="Times New Roman" w:eastAsia="Times New Roman" w:hAnsi="Times New Roman" w:cs="Times New Roman"/>
          <w:i/>
          <w:iCs/>
          <w:sz w:val="24"/>
          <w:szCs w:val="24"/>
          <w:lang w:val="en-US"/>
        </w:rPr>
        <w:t>Behrami and Saramati</w:t>
      </w:r>
      <w:r w:rsidRPr="00BE407E">
        <w:rPr>
          <w:rFonts w:ascii="Times New Roman" w:eastAsia="Times New Roman" w:hAnsi="Times New Roman" w:cs="Times New Roman"/>
          <w:sz w:val="24"/>
          <w:szCs w:val="24"/>
          <w:lang w:val="en-US"/>
        </w:rPr>
        <w:t>, contends that the appellant’s detention is attributable to the UN, a contention which (if correct) defeats his claim under article 5. This has been treated as the first issue in this appeal.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The first issue</w:t>
      </w:r>
      <w:r w:rsidRPr="00B431DD">
        <w:rPr>
          <w:rFonts w:ascii="Times New Roman" w:eastAsia="Times New Roman" w:hAnsi="Times New Roman" w:cs="Times New Roman"/>
          <w:i/>
          <w:iCs/>
          <w:sz w:val="24"/>
          <w:szCs w:val="24"/>
          <w:lang w:val="en-US"/>
        </w:rPr>
        <w:br/>
      </w:r>
      <w:r w:rsidRPr="00BE407E">
        <w:rPr>
          <w:rFonts w:ascii="Times New Roman" w:eastAsia="Times New Roman" w:hAnsi="Times New Roman" w:cs="Times New Roman"/>
          <w:sz w:val="24"/>
          <w:szCs w:val="24"/>
          <w:lang w:val="en-US"/>
        </w:rPr>
        <w:t xml:space="preserve">5. It was common ground between the parties that the governing principle is that expressed by the International Law Commission [ILC] in article 5 of its draft articles on the Responsibility of International Organizations (adopted in May 2004 and cited by the European Court in </w:t>
      </w:r>
      <w:r w:rsidRPr="00BE407E">
        <w:rPr>
          <w:rFonts w:ascii="Times New Roman" w:eastAsia="Times New Roman" w:hAnsi="Times New Roman" w:cs="Times New Roman"/>
          <w:i/>
          <w:iCs/>
          <w:sz w:val="24"/>
          <w:szCs w:val="24"/>
          <w:lang w:val="en-US"/>
        </w:rPr>
        <w:t xml:space="preserve">Behrami and Saramati </w:t>
      </w:r>
      <w:r w:rsidRPr="00BE407E">
        <w:rPr>
          <w:rFonts w:ascii="Times New Roman" w:eastAsia="Times New Roman" w:hAnsi="Times New Roman" w:cs="Times New Roman"/>
          <w:sz w:val="24"/>
          <w:szCs w:val="24"/>
          <w:lang w:val="en-US"/>
        </w:rPr>
        <w:t>, para 30):</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Conduct of organs or agents placed at the disposal of an international organization by a state or another international organization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conduct of an organ of a state or an organ or agent of an international organization that is placed at the disposal of another international organization shall be considered under international law an act of the latter organization if the organization exercises effective control over that conduct.”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European Court also quoted (para 31) from paras 1 and 6−7 of the ILC’s authoritative commentary on this article (General Assembly Official Records 59th Session, Supp No 10 (A/59/10)):</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“1. When an organ of a state is placed at the disposal of an international organization, the organ may be fully seconded to that organization. In this case the organ’s conduct would clearly be attributable only to the receiving organization … Article 5 deals with the different situation in which the lent organ or agent still acts to a certain extent as organ of the lending state or as organ or agent of the lending organization. This occurs for instance in the case of military contingents that a state placed at the disposal of the [UN] for a peacekeeping operation, since the state retains disciplinary powers and criminal jurisdiction over the members of the national contingent. In this situation the problem arises whether a specific conduct of the lent organ or agent has to be attributed to the receiving organization or to the lending state or organization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6. Practice relating to peacekeeping forces is particularly significant in the present context because of the control that the contributing state retains over disciplinary matters and criminal affairs. This may have consequences with regard to attribution of conduct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Attribution of conduct to the contributing state is clearly linked with the retention of some powers by that state over its national contingent and thus on the control that the state possesses in the relevant respect.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7. As has been held by several scholars, when an organ or agent is placed at the disposal of an international organization, the decisive question in relation to attribution of a given conduct appears to be who has effective control over the conduct in question.”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lastRenderedPageBreak/>
        <w:t>6. Invited by the ILC to comment on the attribution of the conduct of peacekeeping forces to the UN or to contributing states, the UN Secretariat responded (A/CN.4/545, 25 June 2004, pp 17−18):</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question of attribution of the conduct of a peacekeeping force to the United Nations or to contributing states is determined by the legal status of the force, the agreements between the United Nations and contributing states and their opposability to third states.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 United Nations peacekeeping force established by the Security Council or the General Assembly is a subsidiary organ of the United Nations. Members of the military personnel placed by member states under United Nations command although remaining in their national service are, for the duration of their assignment to the force, considered international personnel under the authority of the United Nations and subject to the instructions of the force commander. The functions of the force are exclusively international and members of the force are bound to discharge their functions with the interest of the United Nations only in view. The peacekeeping operation as a whole is subject to the executive direction and control of the Secretary-General, under the overall direction of the Security Council or the General Assembly as the case may be.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As a subsidiary organ of the United Nations, an act of a peacekeeping force is, in principle, imputable to the Organization, and if committed in violation of an international obligation entails the international responsibility of the Organization and its liability in compensation. The fact that any such act may have been performed by members of a national military contingent forming part of the peacekeeping operation does not affect the international responsibility of the United Nations vis-à-vis third states or individuals.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Agreements concluded between the United Nations and states contributing troops to the Organization contain a standard clause on third-party liability delineating the respective responsibilities of the Organization and contributing states for loss, damage, injury or death caused by the personnel or equipment of the contributing state. Article 9 of the Model Memorandum of Understanding between the United Nations and [participating state] contributing resources to [The United Nations Peacekeeping Operation] provides in this regard: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United Nations will be responsible for dealing with any claims by third parties where the loss of or damage to their property, or death or personal injury, was caused by the personnel or equipment provided by the Government in the performance of services or any other activity or operation under this memorandum. However if the loss, damage, death or injury arose from gross negligence or wilful misconduct of the personnel provided by the Government, the Government will be liable for such claims’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(A/51/967.annex).</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While the agreements between the United Nations and contributing states divide the responsibility in the relationship between them, they are not opposable to third states. Vis-à-vis third states and individuals, therefore, where the international responsibility of the Organization is engaged, liability in compensation is, in the first place, entailed for the United Nations, which may then revert to the contributing state concerned and seek recovery on the basis of the agreement between them.</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principle of attribution of the conduct of a peacekeeping force to the United Nations is premised on the assumption that the operation in question is conducted under United Nations command and control, and thus has the legal status of a United Nations subsidiary organ. In authorized chapter VII operations conducted under national command and control, the conduct of the operation is imputable to the state or states conducting the operation. In joint operations, namely, those conducted by a United </w:t>
      </w:r>
      <w:r w:rsidRPr="00B431DD">
        <w:rPr>
          <w:rFonts w:ascii="Times New Roman" w:eastAsia="Times New Roman" w:hAnsi="Times New Roman" w:cs="Times New Roman"/>
          <w:sz w:val="24"/>
          <w:szCs w:val="24"/>
          <w:lang w:val="en-US"/>
        </w:rPr>
        <w:lastRenderedPageBreak/>
        <w:t xml:space="preserve">Nations peacekeeping operation and an operation conducted under national or regional command and control, international responsibility lies where </w:t>
      </w:r>
      <w:r w:rsidRPr="00B431DD">
        <w:rPr>
          <w:rFonts w:ascii="Times New Roman" w:eastAsia="Times New Roman" w:hAnsi="Times New Roman" w:cs="Times New Roman"/>
          <w:i/>
          <w:iCs/>
          <w:sz w:val="24"/>
          <w:szCs w:val="24"/>
          <w:lang w:val="en-US"/>
        </w:rPr>
        <w:t xml:space="preserve">effective </w:t>
      </w:r>
      <w:r w:rsidRPr="00B431DD">
        <w:rPr>
          <w:rFonts w:ascii="Times New Roman" w:eastAsia="Times New Roman" w:hAnsi="Times New Roman" w:cs="Times New Roman"/>
          <w:sz w:val="24"/>
          <w:szCs w:val="24"/>
          <w:lang w:val="en-US"/>
        </w:rPr>
        <w:t>command and control is vested and practically exercised (see paras 17–18 of the Secretary-General’s report A/51/389).”</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cited paragraphs in the Secretary-General’s report A/51/389 (20 September 1996) read: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“17. The international responsibility of the United Nations for combat-related activities of the United Nations forces is premised on the assumption that the operation in question is under the exclusive command and control of the United Nations. Where a Chapter VII-authorized operation is conducted under national command and control, international responsibility for the activities of the force is vested in the state or states conducting the operation. The determination of responsibility becomes particularly difficult, however, in cases where a state or states provide the United Nations with forces in support of a United Nations operation but not necessarily as an integral part thereof, and where operational command and control is unified or coordinated. This was the case in Somalia where the Quick Reaction Force and the US Rangers were provided in support of the United Nations Operation in Somalia (UNOSOM II), and this was also the case in the former Yugoslavia where the Rapid Reaction Force was provided in support of the United Nations Protection Force (UNPROFOR).</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18. In joint operations, international responsibility for the conduct of the troops lies where operational command and control is vested according to the arrangements establishing the modalities of cooperation between the state or states providing the troops and the United Nations. In the absence of formal arrangements between the United Nations and the state or states providing troops, responsibility would be determined in each and every case according to the degree of effective control exercised by either party in the conduct of the operation.”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UN Secretariat was further invited by the ILC to address the following question (see A/CN.4/556, 12 May 2005, p 4):</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the event that a certain conduct, which a member state takes in compliance with a request on the part of an international organization, appears to be in breach of an international obligation both of that state and of that organization, would the organization also be regarded as responsible under international law? Would the answer be the same if the state’s wrongful conduct was not requested, but only authorized by the organization?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Secretariat’s answer was (ibid, p 46):</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“As for the third question raised by the commission, we are not aware of any situation where the Organization was held jointly or residually responsible for an unlawful act by a state in the conduct of an activity or operation carried out at the request of the Organization or under its authorization. In the practice of the Organization, however, a measure of accountability was nonetheless introduced in the relationship between the Security Council and member states conducting an operation under Security Council authorization, in the form of periodic reports to the Council on the conduct of the operation. While the submission of these reports provides the Council with an important ‘oversight tool’, the Council itself or the United Nations as a whole cannot be held responsible for an unlawful act by the state conducting the operation, for the ultimate test of responsibility remains ‘effective command and control’.”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7. It is necessary to identify the main events occurring between March 2003 and the present before considering the application of these principles to the present case.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8. On 20 March 2003 coalition forces invaded Iraq. It is, as Brooke LJ observed in paragraph 15 of his judgment, “well known that the Coalition Forces invaded Iraq in the </w:t>
      </w:r>
      <w:r w:rsidRPr="00BE407E">
        <w:rPr>
          <w:rFonts w:ascii="Times New Roman" w:eastAsia="Times New Roman" w:hAnsi="Times New Roman" w:cs="Times New Roman"/>
          <w:sz w:val="24"/>
          <w:szCs w:val="24"/>
          <w:lang w:val="en-US"/>
        </w:rPr>
        <w:lastRenderedPageBreak/>
        <w:t>spring of 2003 after the abandonment of the efforts to obtain a further Security Council resolution which would give immediate backing to what the coalition states wished to do if Saddam Hussein did not comply with the Council’s demands”. On 16 April 2003 General Franks, a US general, issued a “freedom message” in which he announced the creation of the Coalition Provisional Authority (“the CPA”), a civilian administration which would exercise powers of government in Iraq for the time being. Major combat operations were declared to be complete on 1 May 2003, although hostilities did not end on that date in all parts of the country. As from that date the US and the UK became occupying powers, within the meaning of Section III of the Hague Regulations on the Laws and Customs of War on land (1907) and the Fourth Geneva Convention on the Protection of Civilian Persons in Time of War (1949) in the areas which they respectively occupied.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 On 8 May 2003 the Permanent Representatives of the UK and the US at the UN addressed a joint letter to the President of the Security Council. In it they said that the states participating in the coalition would strictly abide by their obligations under international law, including those relating to the essential humanitarian needs of the Iraqi people; that the US, the UK and their coalition partners, acting under existing command and control arrangements through the commander of coalition forces, had created the CPA; that the US, the UK and their coalition partners, working through the CPA, should among other things provide for security in and for the provisional administration of Iraq; that they would facilitate the efforts of the Iraqi people to take the first steps towards forming a representative government based on the rule of law; and that the UN had a vital role to play in providing humanitarian relief, in supporting the reconstruction of Iraq and in helping in the formation of an Iraqi interim authority. On 13 May 2003 the US Secretary for Defence, Mr Donald Rumsfeld, appointed Mr Paul Bremer to be administrator of the CPA, which was divided into regions, that in the south being under British control. The CPA promptly set about the business of government. By CPA Regulation No 1, dated 16 May 2003, the CPA assumed “all executive, legislative and judicial authority necessary to achieve its objectives, to be exercised under relevant UN Security Council resolutions, including Resolution 1483 (2003), and the laws and usages of war”. Iraqi laws, unless suspended or replaced by the CPA, were to continue to apply insofar as they did not prevent the CPA from exercising its rights and fulfilling its obligations, or conflict with regulations or orders issued by the CPA. CPA Memorandum No 3 (CPA/MEM/27 June 2004/03) addressed issues of criminal procedure. In section 6(4) it referred to standards “in accordance with … the Fourth Geneva Convention”, which were to apply to all persons who were detained by coalition forces when necessary for imperative reasons of security, providing a right of appeal by an internee to a competent body.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10. Resolution 1483 was adopted by the Security Council on 22 May 2003. The resolution opened, as is usual, with a number of recitals, one of which referred to the US and UK Permanent Representatives’ letter of 8 May “recognizing the specific authorities, responsibilities, and obligations under applicable international law of these states as occupying powers under unified command (‘the Authority’)”. Then, acting under Chapter VII of the UN Charter, the Council called on the Authority, consistently with the UN Charter and other relevant international law, to promote the welfare of the Iraqi people and work towards the restoration of conditions of stability and security. The Council called upon all concerned to comply fully with their obligations under international law, including in particular the Geneva Conventions of 1949 and the Hague Regulations of 1907. The Council further requested the Secretary General to appoint a Special Representative in Iraq: he was to report regularly to the Council on his </w:t>
      </w:r>
      <w:r w:rsidRPr="00BE407E">
        <w:rPr>
          <w:rFonts w:ascii="Times New Roman" w:eastAsia="Times New Roman" w:hAnsi="Times New Roman" w:cs="Times New Roman"/>
          <w:sz w:val="24"/>
          <w:szCs w:val="24"/>
          <w:lang w:val="en-US"/>
        </w:rPr>
        <w:lastRenderedPageBreak/>
        <w:t>activities under the resolution, which were to co-ordinate the activities of the UN and other international agencies engaged in post-conflict processes and humanitarian assistance, in a number of specified ways including the protection of human rights. The Council decided, as it did consistently thereafter, to remain seised of the matter. In July 2003 an Iraqi Governing Council (“IGC”) was established, which the CPA was to consult on all matters concerning the temporary governance of Iraq.</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 Pursuant to UNSCR 1483 the Secretary General established a United Nations Assistance Mission for Iraq (UNAMI), a step welcomed by the Council in Resolution 1500 of 14 August 2003. This development was foreshadowed by the Secretary General in a report dated 17 July, in which he announced the appointment of Mr de Mello as his Special Representative and outlined the tasks which UNAMI was to undertake.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 On 16 October 2003 the Security Council adopted Resolution 1511. Acting under Chapter VII of the UN Charter, the Council looked forward to the assumption of governmental powers by the people of Iraq and resolved that the UN, through the Secretary General, his Special Representative and UNAMI “should strengthen its vital role in Iraq, including by providing humanitarian relief, promoting the economic reconstruction of and conditions for sustainable development in Iraq, and advancing efforts to restore and establish national and local institutions for representative government”. The Secretary General was to report to the Security Council on his responsibilities under the resolution. In a new departure, the Council determined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“that the provision of security and stability is essential to the successful completion of the political process … and to the ability of the United Nations to contribute effectively to that process and the implementation of resolution 1483 (2003), and </w:t>
      </w:r>
      <w:r w:rsidRPr="00B431DD">
        <w:rPr>
          <w:rFonts w:ascii="Times New Roman" w:eastAsia="Times New Roman" w:hAnsi="Times New Roman" w:cs="Times New Roman"/>
          <w:i/>
          <w:iCs/>
          <w:sz w:val="24"/>
          <w:szCs w:val="24"/>
          <w:lang w:val="en-US"/>
        </w:rPr>
        <w:t xml:space="preserve">authorizes </w:t>
      </w:r>
      <w:r w:rsidRPr="00B431DD">
        <w:rPr>
          <w:rFonts w:ascii="Times New Roman" w:eastAsia="Times New Roman" w:hAnsi="Times New Roman" w:cs="Times New Roman"/>
          <w:sz w:val="24"/>
          <w:szCs w:val="24"/>
          <w:lang w:val="en-US"/>
        </w:rPr>
        <w:t>a multinational force [“MNF”] under unified command to take all necessary measures to contribute to the maintenance of security and stability in Iraq, including for the purpose of ensuring necessary conditions for the implementation of the timetable and programme as well as to contribute to the security of [UNAMI], the Governing Council of Iraq and other institutions of the Iraqi interim administration, and key humanitarian and economic infrastructure”.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Member states were urged to contribute assistance under this UN mandate, including military forces, to the multinational force referred to. The US, on behalf of the multinational force, was requested to report to the Council on the efforts and progress of this force.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 On 8 March 2004 the IGC promulgated a transitional administrative law, paving the way towards an interim and then an elected Iraqi government. Reporting to the Security Council on 16 April 2004, the US Permanent Representative said that the multinational force had conducted “the full spectrum of military operations, which range from the provision of humanitarian assistance, civil affairs and relief and reconstruction activities to the detention of those who are threats to security×” In a submission made by the CPA to the UN High Commissioner for Human Rights on 28 May 2004 it was stated that the US and UK military forces retained legal responsibility for the prisoners of war and detainees whom they respectively held in custody. This was a matter of some significance, since by this time the abuses perpetrated by US military personnel at the Abu Ghraib prison had become public knowledge.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14. Chronologically, the next events to be noted are two letters, each dated 5 June 2004 and written to the President of the Security Council by the Prime Minister of the Interim Government of Iraq (Dr Allawi) and the US Secretary of State (Mr Powell). Dr Allawi looked forward to the establishment of a free and democratic Iraq, but stressed that security and stability continued to be essential to the country’s political transition, and asked for the support of the Security Council and the international community until Iraq </w:t>
      </w:r>
      <w:r w:rsidRPr="00BE407E">
        <w:rPr>
          <w:rFonts w:ascii="Times New Roman" w:eastAsia="Times New Roman" w:hAnsi="Times New Roman" w:cs="Times New Roman"/>
          <w:sz w:val="24"/>
          <w:szCs w:val="24"/>
          <w:lang w:val="en-US"/>
        </w:rPr>
        <w:lastRenderedPageBreak/>
        <w:t>could provide its own security. He sought a new resolution on the multinational force mandate to contribute to maintaining security in Iraq, “including through the tasks and arrangements set out in the letter” from Mr Powell to the President of the Council. Mr Powell in his letter recognised the request of Dr Allawi’s government for the continued presence of the multinational force in Iraq and confirmed that the force, under unified command, was prepared to continue to contribute to the maintenance of security in Iraq. He continued, using language plainly drawn from article 78 of the Fourth Geneva Convention (although the period of occupation was about to end):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“Under the agreed arrangement, the MNF stands ready to continue to undertake a broad range of tasks to contribute to the maintenance of security and to ensure force protection.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These include activities necessary to counter ongoing security threats posed by forces seeking to influence Iraq’s political future through violence. This will include combat operations against members of these groups, internment where this is necessary for imperative reasons of security, and the continued search for and securing of weapons that threaten Iraq’s security. A further objective will be to train and equip Iraqi security forces that will increasingly take responsibility for maintaining Iraq’s security. The MNF also stands ready as needed to participate in the provision of humanitarian assistance, civil affairs support, and relief and reconstruction assistance requested by the Iraqi Interim Government and in line with previous Security Council Resolutions.”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He regarded the existing framework governing responsibility for exercise of jurisdiction by contributing states over their military personnel as sufficient, and assured the President that “the forces that make up the MNF are and will remain committed at all times to act consistently with their obligations under the law of armed conflict, including the Geneva Conventions”.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15. These letters were the immediate prelude to Resolution 1546, adopted by the Security Council on 8 June 2004. Little turns on the opening recitals, save that the Council welcomed the assurances in Mr Powell’s letter and determined that the situation in Iraq continued to constitute a threat to international peace and security. Acting under Chapter VII of the UN Charter, the Council described the role of UNAMI, reaffirmed its authorisation under UNSCR 1511 (2003) for the multinational force under unified command, having regard to the annexed letters of Dr Allawi and Mr Powell, and decided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“that the multinational force shall have the authority to take all necessary measures to contribute to the maintenance of security and stability in Iraq in accordance with the letters annexed to this resolution expressing, inter alia, the Iraqi request for the continued presence of the multinational force and setting out its tasks, including by preventing and deterring terrorism, so that, inter alia, the United Nations can fulfil its role in assisting the Iraqi people as outlined in paragraph seven above and the Iraqi people can implement freely and without intimidation the timetable and programme for the political process and benefit from reconstruction and rehabilitation activities;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Council further decided that the mandate for the multinational force should be reviewed at the request of the Government of Iraq or 12 months from the date of the resolution and that the mandate should end on completion of the political process described earlier in the resolution, but the Council undertook to terminate the mandate earlier if requested by the Government of Iraq. The US, on behalf of the multinational force, was again requested to report at stated intervals.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16. On 27 June 2004 the CPA issued a revised order giving members of the multinational force and the CPA general immunity from Iraqi process, and providing that they should be subject to the exclusive jurisdiction of their sending states. On the </w:t>
      </w:r>
      <w:r w:rsidRPr="00BE407E">
        <w:rPr>
          <w:rFonts w:ascii="Times New Roman" w:eastAsia="Times New Roman" w:hAnsi="Times New Roman" w:cs="Times New Roman"/>
          <w:sz w:val="24"/>
          <w:szCs w:val="24"/>
          <w:lang w:val="en-US"/>
        </w:rPr>
        <w:lastRenderedPageBreak/>
        <w:t>following day power was formally transferred to the Iraqi interim government, the CPA was dissolved and the occupation of Iraq by coalition forces came to an end. Such was the position when the appellant was taken into British custody in October 2004.</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17. After this date there were two further resolutions of the Security Council (Resolution 1637 of 8 November 2005 and Resolution 1723 of 28 November 2006), to which, however, little significance was, rightly, attached. Their effect was to maintain the status quo. The appellant drew attention to reports made by the Secretary General to the Security Council which expressed concern about persons detained by units of the multinational force in a manner inconsistent, it was said, with any suggestion that this was, in international law, the responsibility of the UN. Thus, for instance, on 7 June 2005 (S/2005/373, para 72) the Secretary General reported that 6000 detainees were in the custody of the multinational force and despite the release of some detainees numbers continued to grow. He commented: “Prolonged detention without access to lawyers and courts is prohibited under international law, including during states of emergency”. Such observations were echoed in reports by UNAMI which, in its report on the period 1 July–31 August 2005, para 12, expressed concern about the high number of persons detained, observing that “Internees should enjoy all the protections envisaged in all the rights guaranteed by international human rights conventions”. In its next report (1 September–31 October 2005) it repeated this expression of concern (para 6), and advised “There is an urgent need to provide [a] remedy to lengthy internment for reasons of security without adequate judicial oversight”. The appellant pointed out that, according to an answer given by the armed forces minister in the House of Commons on 10 November 2004, UK forces in Iraq were operating under UNSCR 1546 and were not engaged on UN operations: Hansard (HC Debates), 10 November 2004, col 720W. A similar view, it was suggested, was taken by the Working Group of the UN’s Human Rights Council (A/HRC/4/40/Add.1) which considered the position of Mr Tariq Aziz and, in paragraph 25 of its opinion on the case, stated: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Working Group concludes that until 1 July 2004, Mr Tariq Aziz had been detained under the sole responsibility of the Coalition members as occupying powers or, to be more precise, under the responsibility of the United States Government. Since then and as the Iraqi Criminal Tribunal is a court of the sovereign State of Iraq, the pre-trial detention of a person charged before the tribunal is within the responsibility of Iraq. In the light of the fact that Mr Aziz is in the physical custody of the United States authorities, any possible conclusion as to the arbitrary nature of his deprivation of liberty may involve the international responsibility of the United States Government.”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18. As already indicated, the Secretary of State founds his non-attributability argument on the judgment of the European Court, sitting as a Grand Chamber, in </w:t>
      </w:r>
      <w:r w:rsidRPr="00BE407E">
        <w:rPr>
          <w:rFonts w:ascii="Times New Roman" w:eastAsia="Times New Roman" w:hAnsi="Times New Roman" w:cs="Times New Roman"/>
          <w:i/>
          <w:iCs/>
          <w:sz w:val="24"/>
          <w:szCs w:val="24"/>
          <w:lang w:val="en-US"/>
        </w:rPr>
        <w:t>Behrami and Saramati</w:t>
      </w:r>
      <w:r w:rsidRPr="00BE407E">
        <w:rPr>
          <w:rFonts w:ascii="Times New Roman" w:eastAsia="Times New Roman" w:hAnsi="Times New Roman" w:cs="Times New Roman"/>
          <w:sz w:val="24"/>
          <w:szCs w:val="24"/>
          <w:lang w:val="en-US"/>
        </w:rPr>
        <w:t xml:space="preserve">, which related to events in Kosovo. The case concerned Resolution 1244, adopted by the Security Council on 10 June 1999. In the recitals to the resolution, the Council welcomed the statement of principles adopted to resolve the Kosovo crisis on 6 May 1999, which formed annex 1 to the resolution, and welcomed also the acceptance by the Federal Republic of Yugoslavia of the first nine points in a statement of principles which formed annex 2 to the resolution. Annex 1 provided, among other things, for the “Deployment in Kosovo of effective international civil and security presences, endorsed and adopted by the United Nations, capable of guaranteeing the achievement of the common objectives.” Annex 2 provided for the “Deployment in Kosovo under United Nations auspices of effective international civil and security presences, acting as may be decided under Chapter VII of the Charter, capable of guaranteeing the achievement of common objectives”. The international security presence with substantial NATO participation was to be deployed under unified </w:t>
      </w:r>
      <w:r w:rsidRPr="00BE407E">
        <w:rPr>
          <w:rFonts w:ascii="Times New Roman" w:eastAsia="Times New Roman" w:hAnsi="Times New Roman" w:cs="Times New Roman"/>
          <w:sz w:val="24"/>
          <w:szCs w:val="24"/>
          <w:lang w:val="en-US"/>
        </w:rPr>
        <w:lastRenderedPageBreak/>
        <w:t>command and control. The international civil presence was to include an interim administration. Having determined that the situation in the region continued to constitute a threat to international peace and security, and acting under Chapter VII of the UN Charter, the Council determined on “the deployment in Kosovo, under United Nations auspices, of international civil and security presences …” A Special Representative appointed by the Secretary General was to control the implementation of the international civil presence and coordinate its activities with those of the international security presence. Member states and relevant international organisations were authorised to establish the international security presence whose responsibilities were to include, among other things, supervising de-mining until the international civil presence could, as appropriate, take over responsibility for this task. The responsibilities of the international civil presence were to include a wide range of tasks of a civilian administrative nature. Both these presences were to continue for an initial period of twelve months, and thereafter unless the Security Council decided otherwise. Both presences were duly established, the international security presence being known as KFOR and the international civil presence as UNMIK.</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19. The applicants’ claims in Strasbourg were not the same. The Behramis complained of death and injury caused to two children by the explosion of an undetonated cluster bomb unit, previously dropped by NATO. They blamed KFOR for failing to clear these dangerous mines. Mr Saramati complained of his extra-judicial detention by officers acting on the orders of KFOR between 13 July 2001 and 26 January 2002.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20. The Grand Chamber gave a lengthy judgment, rehearsing various articles of the UN Charter to which I refer below in the context of the second issue, and citing the ILC article and commentary referred to at para 5 above. Reference was made (para 36) to a Military Technical Agreement made between KFOR and the governments of Yugoslavia and Serbia providing for the withdrawal of Yugoslav forces and the deployment in Kosovo “under United Nations auspices of effective international civil and security presences”. UNSCR 1244 (1999) was quoted at some length. The court noted (para 69) that the Yugoslav Government did not control Kosovo, which was under the effective control (para 70) of the international presences which exercised the public powers normally exercised by that government. The court considered (para 71) that the question raised by the cases was less whether the respondent states had exercised extra-territorial jurisdiction in Kosovo but, far more centrally, whether the court was competent to examine under the Convention those states’ contribution to the civil and security presences which did exercise the relevant control of Kosovo.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21. The court summarised (paras 73−120) the submissions of the applicants, the respondent states, seven third party states and the UN. In its own assessment it held that the supervision of de-mining at the relevant time fell within UNMIK’s mandate and that for issuing detention orders within the mandate of KFOR (paras 123–127). In considering whether the inaction of UNMIK and the action of KFOR could be attributed to the UN, the court held (para 129) that the UN had in Resolution 1244 (1999) “delegated” powers to establish international security and civil presences, using “delegate” (as it had explained in para 43) to refer to the empowering by the Security Council of another entity to exercise its function as opposed to “authorising” an entity to carry out functions which it could not itself perform. It considered that the detention of Mr Saramati was in principle attributable to the UN (para 141). This was because (paras 133–134) the UN had retained ultimate authority and control and had delegated operational command only. This was borne out (para 134) by the facts that Chapter VII allowed the Security Council to delegate, the relevant power was a delegable power, the delegation was prior and explicit in Resolution 1244, the extent of the delegation was </w:t>
      </w:r>
      <w:r w:rsidRPr="00BE407E">
        <w:rPr>
          <w:rFonts w:ascii="Times New Roman" w:eastAsia="Times New Roman" w:hAnsi="Times New Roman" w:cs="Times New Roman"/>
          <w:sz w:val="24"/>
          <w:szCs w:val="24"/>
          <w:lang w:val="en-US"/>
        </w:rPr>
        <w:lastRenderedPageBreak/>
        <w:t xml:space="preserve">defined, and the leadership of the security and civil presences were required to report to the Security Council (as was the Secretary General). Thus (para 135) under Resolution 1244 the Security Council was to retain ultimate authority and control over the security mission and it delegated to NATO the power to establish KFOR. Since UNMIK was a subsidiary organ of the UN created under Chapter VII of the UN Charter its inaction was in principle attributable to the UN (paras 129, 142–143). Dealing finally with its competence </w:t>
      </w:r>
      <w:r w:rsidRPr="00BE407E">
        <w:rPr>
          <w:rFonts w:ascii="Times New Roman" w:eastAsia="Times New Roman" w:hAnsi="Times New Roman" w:cs="Times New Roman"/>
          <w:i/>
          <w:iCs/>
          <w:sz w:val="24"/>
          <w:szCs w:val="24"/>
          <w:lang w:val="en-US"/>
        </w:rPr>
        <w:t>ratione personae</w:t>
      </w:r>
      <w:r w:rsidRPr="00BE407E">
        <w:rPr>
          <w:rFonts w:ascii="Times New Roman" w:eastAsia="Times New Roman" w:hAnsi="Times New Roman" w:cs="Times New Roman"/>
          <w:sz w:val="24"/>
          <w:szCs w:val="24"/>
          <w:lang w:val="en-US"/>
        </w:rPr>
        <w:t>, the court said (para 149):</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 the present case, chapter VII allowed the UNSC to adopt coercive measures in reaction to an identified conflict considered to threaten peace, namely UNSC Resolution 1244 establishing UNMIK and KFOR. Since operations established by UNSC Resolutions under Chapter VII of the UN Charter are fundamental to the mission of the UN to secure international peace and security and since they rely for their effectiveness on support from member states, the Convention cannot be interpreted in a manner which would subject the acts and omissions of Contracting Parties which are covered by UNSC Resolutions and occur prior to or in the course of such missions, to the scrutiny of the Court. To do so would be to interfere with the fulfilment of the UN’s key mission in this field including, as argued by certain parties, with the effective conduct of its operations. It would also be tantamount to imposing conditions on the implementation of a UNSC Resolution which were not provided for in the text of the Resolution itself. This reasoning equally applies to voluntary acts of the respondent States such as the vote of a permanent member of the UNSC in favour of the relevant Chapter VII Resolution and the contribution of troops to the security mission: such acts may not have amounted to obligations flowing from membership of the UN but they remained crucial to the effective fulfilment by the UNSC of its Chapter VII mandate and, consequently, by the UN of its imperative peace and security aim.”</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 court accordingly concluded (para 151) that, since UNMIK was a subsidiary organ of the UN created under Chapter VII and KFOR was exercising powers lawfully delegated under Chapter VII by the Security Council, their actions were directly attributable to the UN, an organisation of universal jurisdiction fulfilling its imperative collective security objective. The applicants’ complaints were accordingly incompatible </w:t>
      </w:r>
      <w:r w:rsidRPr="00BE407E">
        <w:rPr>
          <w:rFonts w:ascii="Times New Roman" w:eastAsia="Times New Roman" w:hAnsi="Times New Roman" w:cs="Times New Roman"/>
          <w:i/>
          <w:iCs/>
          <w:sz w:val="24"/>
          <w:szCs w:val="24"/>
          <w:lang w:val="en-US"/>
        </w:rPr>
        <w:t>ratione personae</w:t>
      </w:r>
      <w:r w:rsidRPr="00BE407E">
        <w:rPr>
          <w:rFonts w:ascii="Times New Roman" w:eastAsia="Times New Roman" w:hAnsi="Times New Roman" w:cs="Times New Roman"/>
          <w:sz w:val="24"/>
          <w:szCs w:val="24"/>
          <w:lang w:val="en-US"/>
        </w:rPr>
        <w:t xml:space="preserve"> with the provisions of the Convention.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22. Against the factual background described above a number of questions must be asked in the present case. Were UK forces placed at the disposal of the UN? Did the UN exercise effective control over the conduct of UK forces? Is the specific conduct of the UK forces in detaining the appellant to be attributed to the UN rather than the UK? Did the UN have effective command and control over the conduct of UK forces when they detained the appellant? Were the UK forces part of a UN peacekeeping force in Iraq? In my opinion the answer to all these questions is in the negative.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23. The UN did not dispatch the coalition forces to Iraq. The CPA was established by the coalition states, notably the US, not the UN. When the coalition states became occupying powers in Iraq they had no UN mandate. Thus when the case of Mr Mousa reached the House as one of those considered in </w:t>
      </w:r>
      <w:r w:rsidRPr="00BE407E">
        <w:rPr>
          <w:rFonts w:ascii="Times New Roman" w:eastAsia="Times New Roman" w:hAnsi="Times New Roman" w:cs="Times New Roman"/>
          <w:i/>
          <w:iCs/>
          <w:sz w:val="24"/>
          <w:szCs w:val="24"/>
          <w:lang w:val="en-US"/>
        </w:rPr>
        <w:t>R (Al-Skeini and others) v Secretary of State for Defence) (The Redress Trust intervening)</w:t>
      </w:r>
      <w:r w:rsidRPr="00BE407E">
        <w:rPr>
          <w:rFonts w:ascii="Times New Roman" w:eastAsia="Times New Roman" w:hAnsi="Times New Roman" w:cs="Times New Roman"/>
          <w:sz w:val="24"/>
          <w:szCs w:val="24"/>
          <w:lang w:val="en-US"/>
        </w:rPr>
        <w:t xml:space="preserve"> [2007] UKHL 26, [2007] 3 WLR 33 the Secretary of State accepted that the UK was liable under the European Convention for any ill-treatment Mr Mousa suffered, while unsuccessfully denying liability under the Human Rights Act 1998. It has not, to my knowledge, been suggested that the treatment of detainees at Abu Ghraib was attributable to the UN rather than the US. Following UNSCR 1483 in May 2003 the role of the UN was a limited one focused on humanitarian relief and reconstruction, a role strengthened but not fundamentally altered by UNSCR 1511 in October 2003. By UNSCR 1511, and ag ain by UNSCR </w:t>
      </w:r>
      <w:r w:rsidRPr="00BE407E">
        <w:rPr>
          <w:rFonts w:ascii="Times New Roman" w:eastAsia="Times New Roman" w:hAnsi="Times New Roman" w:cs="Times New Roman"/>
          <w:sz w:val="24"/>
          <w:szCs w:val="24"/>
          <w:lang w:val="en-US"/>
        </w:rPr>
        <w:lastRenderedPageBreak/>
        <w:t xml:space="preserve">1546 in June 2004, the UN gave the multinational force express authority to take steps to promote security and stability in Iraq, but (adopting the distinction formulated by the European Court in para 43 of its judgment in </w:t>
      </w:r>
      <w:r w:rsidRPr="00BE407E">
        <w:rPr>
          <w:rFonts w:ascii="Times New Roman" w:eastAsia="Times New Roman" w:hAnsi="Times New Roman" w:cs="Times New Roman"/>
          <w:i/>
          <w:iCs/>
          <w:sz w:val="24"/>
          <w:szCs w:val="24"/>
          <w:lang w:val="en-US"/>
        </w:rPr>
        <w:t>Behrami and Saramati</w:t>
      </w:r>
      <w:r w:rsidRPr="00BE407E">
        <w:rPr>
          <w:rFonts w:ascii="Times New Roman" w:eastAsia="Times New Roman" w:hAnsi="Times New Roman" w:cs="Times New Roman"/>
          <w:sz w:val="24"/>
          <w:szCs w:val="24"/>
          <w:lang w:val="en-US"/>
        </w:rPr>
        <w:t>) the Security Council was not delegating its power by empowering the UK to exercise its function but was authorising the UK to carry out functions it could not perform itself. At no time did the US or the UK disclaim responsibility for the conduct of their forces or the UN accept it. It cannot realistically be said that US and UK forces were under the effective command and control of the UN, or that UK forces were under such command and control when they detained the appellant.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24. The analogy with the situation in Kosovo breaks down, in my opinion, at almost every point. The international security and civil presences in Kosovo were established at the express behest of the UN and operated under its auspices, with UNMIK a subsidiary organ of the UN. The multinational force in Iraq was not established at the behest of the UN, was not mandated to operate under UN auspices and was not a subsidiary organ of the UN. There was no delegation of UN power in Iraq. It is quite true that duties to report were imposed in Iraq as in Kosovo. But the UN’s proper concern for the protection of human rights and observance of humanitarian law called for no less, and it is one thing to receive reports, another to exercise effective command and control. It does not seem to me significant that in each case the UN reserved power to revoke its authority, since it could clearly do so whether or not it reserved power to do so.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25. I would resolve this first issue in favour of the appellant and against the Secretary of State.</w:t>
      </w:r>
      <w:r>
        <w:rPr>
          <w:rFonts w:ascii="Times New Roman" w:eastAsia="Times New Roman" w:hAnsi="Times New Roman" w:cs="Times New Roman"/>
          <w:noProof/>
          <w:sz w:val="24"/>
          <w:szCs w:val="24"/>
        </w:rPr>
        <w:drawing>
          <wp:inline distT="0" distB="0" distL="0" distR="0">
            <wp:extent cx="151130" cy="142875"/>
            <wp:effectExtent l="19050" t="0" r="1270" b="0"/>
            <wp:docPr id="2604" name="Imagen 26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[emphasis in original]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6" w:history="1">
        <w:r w:rsidRPr="00BE407E">
          <w:rPr>
            <w:rFonts w:ascii="Times New Roman" w:eastAsia="Times New Roman" w:hAnsi="Times New Roman" w:cs="Times New Roman"/>
            <w:color w:val="0000FF"/>
            <w:sz w:val="24"/>
            <w:szCs w:val="24"/>
            <w:u w:val="single"/>
            <w:lang w:val="en-US"/>
          </w:rPr>
          <w:t>VI. Other National Practice</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Argentina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1992, during a debate in the UN General Assembly, Argentina recommended that “belligerents engaged in an armed conflict, whether international or non-international, should … use those means which were least apt to cause damage to the environment, damage for which they would then be responsible”.</w:t>
      </w:r>
      <w:r>
        <w:rPr>
          <w:rFonts w:ascii="Times New Roman" w:eastAsia="Times New Roman" w:hAnsi="Times New Roman" w:cs="Times New Roman"/>
          <w:noProof/>
          <w:sz w:val="24"/>
          <w:szCs w:val="24"/>
        </w:rPr>
        <w:drawing>
          <wp:inline distT="0" distB="0" distL="0" distR="0">
            <wp:extent cx="151130" cy="142875"/>
            <wp:effectExtent l="19050" t="0" r="1270" b="0"/>
            <wp:docPr id="2605" name="Imagen 26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Austria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1991, during a debate in the UN General Assembly on the environmental impact of the Gulf War, Austria stated that “there could be no doubt as to the illegality of the acts committed by Iraq, entailing international responsibility of that State”.</w:t>
      </w:r>
      <w:r>
        <w:rPr>
          <w:rFonts w:ascii="Times New Roman" w:eastAsia="Times New Roman" w:hAnsi="Times New Roman" w:cs="Times New Roman"/>
          <w:noProof/>
          <w:sz w:val="24"/>
          <w:szCs w:val="24"/>
        </w:rPr>
        <w:drawing>
          <wp:inline distT="0" distB="0" distL="0" distR="0">
            <wp:extent cx="151130" cy="142875"/>
            <wp:effectExtent l="19050" t="0" r="1270" b="0"/>
            <wp:docPr id="2606" name="Imagen 26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Bosnia and Herzegovina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oral pleadings before the ICJ in the </w:t>
      </w:r>
      <w:r w:rsidRPr="00BE407E">
        <w:rPr>
          <w:rFonts w:ascii="Times New Roman" w:eastAsia="Times New Roman" w:hAnsi="Times New Roman" w:cs="Times New Roman"/>
          <w:i/>
          <w:iCs/>
          <w:sz w:val="24"/>
          <w:szCs w:val="24"/>
          <w:lang w:val="en-US"/>
        </w:rPr>
        <w:t>Application of the Convention on the Prevention and Punishment of the Crime of Genocide case (Bosnia and Herzegovina v. Serbia and Montenegro)</w:t>
      </w:r>
      <w:r w:rsidRPr="00BE407E">
        <w:rPr>
          <w:rFonts w:ascii="Times New Roman" w:eastAsia="Times New Roman" w:hAnsi="Times New Roman" w:cs="Times New Roman"/>
          <w:sz w:val="24"/>
          <w:szCs w:val="24"/>
          <w:lang w:val="en-US"/>
        </w:rPr>
        <w:t xml:space="preserve"> in 2006, Bosnia and Herzegovina stated regarding the relation between State responsibility and individual criminal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6. As has been said often enough by the various Special Rapporteurs on State responsibility, successors to Roberto Ago at the International Law Commission, the responsibility of States in international law is neither civil nor criminal – it is simply international. In reality, it borrows from both major “techniques”. It is similar to civil responsibility in that, traditionally, it is focused on an obligation of redress; this is why it has often been analysed (in my opinion, mistakenly) as equivalent to civil responsibility and this is still largely the approach. However, Roberto Ago’s immense intellectual contribution was to have highlighted the aspects which, in certain respects, assimilate it to criminal responsibility: the obligation to cease the internationally wrongful act and, in certain cases, to provide undertakings that it will not be repeated; the possibility for the victim State of recourse to countermeasures (under strict conditions) and, in the case of the most serious violations, which concern the </w:t>
      </w:r>
      <w:r w:rsidRPr="00BE407E">
        <w:rPr>
          <w:rFonts w:ascii="Times New Roman" w:eastAsia="Times New Roman" w:hAnsi="Times New Roman" w:cs="Times New Roman"/>
          <w:sz w:val="24"/>
          <w:szCs w:val="24"/>
          <w:lang w:val="en-US"/>
        </w:rPr>
        <w:lastRenderedPageBreak/>
        <w:t xml:space="preserve">international community as a whole, of additional consequences (some, but not all of which, are mentioned in Article 41 of the ILC Articles [on State Responsibility]). That said, this certainly does not mean that the responsibility of States in international law can be regarded as a criminal responsibility; as the ICTY’s Appeals Chamber quite rightly pointed out in the </w:t>
      </w:r>
      <w:r w:rsidRPr="00BE407E">
        <w:rPr>
          <w:rFonts w:ascii="Times New Roman" w:eastAsia="Times New Roman" w:hAnsi="Times New Roman" w:cs="Times New Roman"/>
          <w:i/>
          <w:iCs/>
          <w:sz w:val="24"/>
          <w:szCs w:val="24"/>
          <w:lang w:val="en-US"/>
        </w:rPr>
        <w:t>Blaškić</w:t>
      </w:r>
      <w:r w:rsidRPr="00BE407E">
        <w:rPr>
          <w:rFonts w:ascii="Times New Roman" w:eastAsia="Times New Roman" w:hAnsi="Times New Roman" w:cs="Times New Roman"/>
          <w:sz w:val="24"/>
          <w:szCs w:val="24"/>
          <w:lang w:val="en-US"/>
        </w:rPr>
        <w:t xml:space="preserve"> case: “Under present international law it is clear that States, by definition, cannot be the subject of criminal sanctions akin to those provided for in national criminal systems.”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7. The fact remains that such responsibility, which is neither civil nor criminal, but simply international, is that of </w:t>
      </w:r>
      <w:r w:rsidRPr="00BE407E">
        <w:rPr>
          <w:rFonts w:ascii="Times New Roman" w:eastAsia="Times New Roman" w:hAnsi="Times New Roman" w:cs="Times New Roman"/>
          <w:i/>
          <w:iCs/>
          <w:sz w:val="24"/>
          <w:szCs w:val="24"/>
          <w:lang w:val="en-US"/>
        </w:rPr>
        <w:t xml:space="preserve">the State </w:t>
      </w:r>
      <w:r w:rsidRPr="00BE407E">
        <w:rPr>
          <w:rFonts w:ascii="Times New Roman" w:eastAsia="Times New Roman" w:hAnsi="Times New Roman" w:cs="Times New Roman"/>
          <w:sz w:val="24"/>
          <w:szCs w:val="24"/>
          <w:lang w:val="en-US"/>
        </w:rPr>
        <w:t>to which an internationally wrongful act can be attributed.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8. Of course, in one of the most impressive breakthroughs for contemporary international law, in certain cases individuals who have conceived or committed acts of international wrongdoing which engage the responsibility of the State can be tried at international level, regardless of their official capacity. And this is true of the crimes perpetrated in the former Yugoslavia, since the International Criminal Tribunal established under Security Council resolutions 808 and 827 of 1993 has jurisdiction “for the prosecution of persons responsible for serious violations of international humanitarian law committed in the territory of the former Yugoslavia since 1991”, including genocide. But the Tribunal can only prosecute individuals and not States; and that undeniably criminal responsibility leaves unaffected that of the States concerned, which, as I have just explained, is of an entirely different character. Who, for instance, would claim that the (criminal) prosecution of the leading Nazi war criminals at the Nuremberg Tribunal after the Second World War exonerated Germany from its (international) responsibility for the same acts?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 Indeed, Article 25 of the Rome Statute establishing the International Criminal Court is careful to state quite specifically that none of the Statute’s provisions “relating to the individual criminal responsibility shall affect the responsibility of States under international law.” Conversely, Article 58 of the International Law Commission’s Articles on State Responsibility points out that they “are without prejudice to any question of the individual responsibility under international law of any person acting on behalf of a State”.</w:t>
      </w:r>
      <w:r>
        <w:rPr>
          <w:rFonts w:ascii="Times New Roman" w:eastAsia="Times New Roman" w:hAnsi="Times New Roman" w:cs="Times New Roman"/>
          <w:noProof/>
          <w:sz w:val="24"/>
          <w:szCs w:val="24"/>
        </w:rPr>
        <w:drawing>
          <wp:inline distT="0" distB="0" distL="0" distR="0">
            <wp:extent cx="151130" cy="142875"/>
            <wp:effectExtent l="19050" t="0" r="1270" b="0"/>
            <wp:docPr id="2607" name="Imagen 26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[emphasis in original]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1. … Bosnia and Herzegovina has shown, beyond all doubt, that the crimes perpetrated upon the non-Serb populations of Bosnia and Herzegovina constituted genocide, within the meaning of Article II of the 1948 Convention on the Prevention and Punishment of the Crime of Genocide. This is quite clearly a “breach of an international obligation”. That, however, is insufficient to engage the responsibility of the Respondent. For this to be the case, the acts or omissions that compose this extremely serious internationally wrongful act would have to be attributable to it in accordance with international law, as we are reminded by Article 2 of the International Law Commission Articles appended to General Assembly resolution 56/83 of 12 December 2001.</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50. … Chapter II of the ILC Articles on State Responsibility for Internationally Wrongful Acts sums up this complex issue by listing the various ways in which State responsibility may be engaged. However, in our brief review of them it should always be borne in mind that attribution - what is often called the “subjective” element in the internationally wrongful act – is a (legal) operation of intellectual reconstruction which may be simple (such is the case when the author of the act of omission is an organ of the State according to its domestic law), or much more complex (when the link between the immediate perpetrator of the breach and the State responsible is concealed or denied)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51. Taking as our basis the ILC Articles in the 2001 version, we find that [in the present </w:t>
      </w:r>
      <w:r w:rsidRPr="00BE407E">
        <w:rPr>
          <w:rFonts w:ascii="Times New Roman" w:eastAsia="Times New Roman" w:hAnsi="Times New Roman" w:cs="Times New Roman"/>
          <w:sz w:val="24"/>
          <w:szCs w:val="24"/>
          <w:lang w:val="en-US"/>
        </w:rPr>
        <w:lastRenderedPageBreak/>
        <w:t>case] attribution may be founded on at least three of the eight Articles that the Commission devoted to the issue, explaining that “[t]hese rules are cumulative”: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Article 4 on conduct of organs of a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Article 5 on conduct of persons or entities exercising elements of governmental authority; 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Article 8 on “Conduct directed or controlled by a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52. Article 4 of the ILC Articles, which was adopted by the Commission with some difficulty in 1998, is no more than an imperfect reflection of the overall complexity in this situation, which is simple on the surface only. However, paragraph 2 of this important provision refers us to what might be called the “reality” of the law: after paragraph 1 has stated the fundamental rule of attribution to the State of the conduct of its organs, paragraph 2 provides: “An organ </w:t>
      </w:r>
      <w:r w:rsidRPr="00BE407E">
        <w:rPr>
          <w:rFonts w:ascii="Times New Roman" w:eastAsia="Times New Roman" w:hAnsi="Times New Roman" w:cs="Times New Roman"/>
          <w:i/>
          <w:iCs/>
          <w:sz w:val="24"/>
          <w:szCs w:val="24"/>
          <w:lang w:val="en-US"/>
        </w:rPr>
        <w:t xml:space="preserve">includes </w:t>
      </w:r>
      <w:r w:rsidRPr="00BE407E">
        <w:rPr>
          <w:rFonts w:ascii="Times New Roman" w:eastAsia="Times New Roman" w:hAnsi="Times New Roman" w:cs="Times New Roman"/>
          <w:sz w:val="24"/>
          <w:szCs w:val="24"/>
          <w:lang w:val="en-US"/>
        </w:rPr>
        <w:t xml:space="preserve">… any person or entity which has that status in accordance with the internal law of the State.” It follows </w:t>
      </w:r>
      <w:r w:rsidRPr="00BE407E">
        <w:rPr>
          <w:rFonts w:ascii="Times New Roman" w:eastAsia="Times New Roman" w:hAnsi="Times New Roman" w:cs="Times New Roman"/>
          <w:i/>
          <w:iCs/>
          <w:sz w:val="24"/>
          <w:szCs w:val="24"/>
          <w:lang w:val="en-US"/>
        </w:rPr>
        <w:t xml:space="preserve">a contrario </w:t>
      </w:r>
      <w:r w:rsidRPr="00BE407E">
        <w:rPr>
          <w:rFonts w:ascii="Times New Roman" w:eastAsia="Times New Roman" w:hAnsi="Times New Roman" w:cs="Times New Roman"/>
          <w:sz w:val="24"/>
          <w:szCs w:val="24"/>
          <w:lang w:val="en-US"/>
        </w:rPr>
        <w:t xml:space="preserve">that the conduct of a person or an entity which does </w:t>
      </w:r>
      <w:r w:rsidRPr="00BE407E">
        <w:rPr>
          <w:rFonts w:ascii="Times New Roman" w:eastAsia="Times New Roman" w:hAnsi="Times New Roman" w:cs="Times New Roman"/>
          <w:i/>
          <w:iCs/>
          <w:sz w:val="24"/>
          <w:szCs w:val="24"/>
          <w:lang w:val="en-US"/>
        </w:rPr>
        <w:t xml:space="preserve">not </w:t>
      </w:r>
      <w:r w:rsidRPr="00BE407E">
        <w:rPr>
          <w:rFonts w:ascii="Times New Roman" w:eastAsia="Times New Roman" w:hAnsi="Times New Roman" w:cs="Times New Roman"/>
          <w:sz w:val="24"/>
          <w:szCs w:val="24"/>
          <w:lang w:val="en-US"/>
        </w:rPr>
        <w:t>have this status according to the national law may also engage the responsibility of the State. As the Commission writes in its commentary on this provision: “reference exclusively to internal law would be misleading”, adding that “a State cannot avoid responsibility for the conduct of a body which does in truth act as one of its organs merely by denying it that status under its own law”.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53. It is clear that internal law can establish status as an organ of the State concerned in international law. This is obviously true of the armed forces, as the Court reminded us in its Judgment last year on (Uganda’s) </w:t>
      </w:r>
      <w:r w:rsidRPr="00BE407E">
        <w:rPr>
          <w:rFonts w:ascii="Times New Roman" w:eastAsia="Times New Roman" w:hAnsi="Times New Roman" w:cs="Times New Roman"/>
          <w:i/>
          <w:iCs/>
          <w:sz w:val="24"/>
          <w:szCs w:val="24"/>
          <w:lang w:val="en-US"/>
        </w:rPr>
        <w:t>Armed Activities on the Territory of the Congo</w:t>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 xml:space="preserve"> </w:t>
      </w:r>
      <w:r w:rsidRPr="00BE407E">
        <w:rPr>
          <w:rFonts w:ascii="Times New Roman" w:eastAsia="Times New Roman" w:hAnsi="Times New Roman" w:cs="Times New Roman"/>
          <w:sz w:val="24"/>
          <w:szCs w:val="24"/>
          <w:lang w:val="en-US"/>
        </w:rPr>
        <w:t xml:space="preserve">“responsibility [of a State] is engaged both for any acts of its military that violated its international obligations and for any lack of vigilance in preventing violations” of international law attributable to its organs. This is the direct result of the categorical rule laid down in Article 4, paragraph 1, of the 2001 Articles, a rule which the Court had already stated very clearly in 1999 in its Advisory Opinion in the </w:t>
      </w:r>
      <w:r w:rsidRPr="00BE407E">
        <w:rPr>
          <w:rFonts w:ascii="Times New Roman" w:eastAsia="Times New Roman" w:hAnsi="Times New Roman" w:cs="Times New Roman"/>
          <w:i/>
          <w:iCs/>
          <w:sz w:val="24"/>
          <w:szCs w:val="24"/>
          <w:lang w:val="en-US"/>
        </w:rPr>
        <w:t xml:space="preserve">Cumaraswamy </w:t>
      </w:r>
      <w:r w:rsidRPr="00BE407E">
        <w:rPr>
          <w:rFonts w:ascii="Times New Roman" w:eastAsia="Times New Roman" w:hAnsi="Times New Roman" w:cs="Times New Roman"/>
          <w:sz w:val="24"/>
          <w:szCs w:val="24"/>
          <w:lang w:val="en-US"/>
        </w:rPr>
        <w:t>case: “the conduct of an organ of the State shall be considered as an act of that State”. It follows that actions by the JNA or the interior ministries (MUP) of Yugoslavia and the Republic of Serbia are unquestionably attributable to the Respondent.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54. It often happens that an internationally wrongful act is committed (or omitted) by entities which are not defined as organs by the law of the State concerned. In such cases the actual links that join the State to these entities which apparently lie outside its official hierarchy must be taken into account. As one writer has put it, the contrary would leave no room “for a </w:t>
      </w:r>
      <w:r w:rsidRPr="00BE407E">
        <w:rPr>
          <w:rFonts w:ascii="Times New Roman" w:eastAsia="Times New Roman" w:hAnsi="Times New Roman" w:cs="Times New Roman"/>
          <w:i/>
          <w:iCs/>
          <w:sz w:val="24"/>
          <w:szCs w:val="24"/>
          <w:lang w:val="en-US"/>
        </w:rPr>
        <w:t xml:space="preserve">supplementary </w:t>
      </w:r>
      <w:r w:rsidRPr="00BE407E">
        <w:rPr>
          <w:rFonts w:ascii="Times New Roman" w:eastAsia="Times New Roman" w:hAnsi="Times New Roman" w:cs="Times New Roman"/>
          <w:sz w:val="24"/>
          <w:szCs w:val="24"/>
          <w:lang w:val="en-US"/>
        </w:rPr>
        <w:t xml:space="preserve">role of international law in cases where the internal law of a State did not denote a particular entity to constitute an organ”. In other words, the organ through which the State acts may be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 xml:space="preserve">or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what matters is that it conducts itself as such and acts on behalf of the State; that the persons or groups of persons concerned can be assimilated “to State organs on account of their actual behaviour within the structure of a State (and regardless of any possible requirement of State instructions)”</w:t>
      </w:r>
      <w:r w:rsidRPr="00BE407E">
        <w:rPr>
          <w:rFonts w:ascii="Times New Roman" w:eastAsia="Times New Roman" w:hAnsi="Times New Roman" w:cs="Times New Roman"/>
          <w:i/>
          <w:iCs/>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55. This clarification correctly added by the ICTY Trial Chamber in the </w:t>
      </w:r>
      <w:r w:rsidRPr="00BE407E">
        <w:rPr>
          <w:rFonts w:ascii="Times New Roman" w:eastAsia="Times New Roman" w:hAnsi="Times New Roman" w:cs="Times New Roman"/>
          <w:i/>
          <w:iCs/>
          <w:sz w:val="24"/>
          <w:szCs w:val="24"/>
          <w:lang w:val="en-US"/>
        </w:rPr>
        <w:t xml:space="preserve">Tadic </w:t>
      </w:r>
      <w:r w:rsidRPr="00BE407E">
        <w:rPr>
          <w:rFonts w:ascii="Times New Roman" w:eastAsia="Times New Roman" w:hAnsi="Times New Roman" w:cs="Times New Roman"/>
          <w:sz w:val="24"/>
          <w:szCs w:val="24"/>
          <w:lang w:val="en-US"/>
        </w:rPr>
        <w:t xml:space="preserve">case is not without importance. It is of little consequence that these organs have exceeded their jurisdiction or contravened their instructions: the relevant rule in Article 7 of the 2001 ILC Articles is well established by consistent jurisprudence and practice and not open to discussion. Moreover, in the present case the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 xml:space="preserve">and </w:t>
      </w:r>
      <w:r w:rsidRPr="00BE407E">
        <w:rPr>
          <w:rFonts w:ascii="Times New Roman" w:eastAsia="Times New Roman" w:hAnsi="Times New Roman" w:cs="Times New Roman"/>
          <w:i/>
          <w:iCs/>
          <w:sz w:val="24"/>
          <w:szCs w:val="24"/>
          <w:lang w:val="en-US"/>
        </w:rPr>
        <w:t xml:space="preserve">de facto </w:t>
      </w:r>
      <w:r w:rsidRPr="00BE407E">
        <w:rPr>
          <w:rFonts w:ascii="Times New Roman" w:eastAsia="Times New Roman" w:hAnsi="Times New Roman" w:cs="Times New Roman"/>
          <w:sz w:val="24"/>
          <w:szCs w:val="24"/>
          <w:lang w:val="en-US"/>
        </w:rPr>
        <w:t xml:space="preserve">organs of the respondent State do not appear to have acted </w:t>
      </w:r>
      <w:r w:rsidRPr="00BE407E">
        <w:rPr>
          <w:rFonts w:ascii="Times New Roman" w:eastAsia="Times New Roman" w:hAnsi="Times New Roman" w:cs="Times New Roman"/>
          <w:i/>
          <w:iCs/>
          <w:sz w:val="24"/>
          <w:szCs w:val="24"/>
          <w:lang w:val="en-US"/>
        </w:rPr>
        <w:t>ultra vires</w:t>
      </w:r>
      <w:r w:rsidRPr="00BE407E">
        <w:rPr>
          <w:rFonts w:ascii="Times New Roman" w:eastAsia="Times New Roman" w:hAnsi="Times New Roman" w:cs="Times New Roman"/>
          <w:sz w:val="24"/>
          <w:szCs w:val="24"/>
          <w:lang w:val="en-US"/>
        </w:rPr>
        <w:t>; they have simply zealously executed their instructions.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 xml:space="preserve">60. It goes without saying, Madam President, that the responsibility incurred by Serbia and Montenegro for acts (and omissions) by its organs,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 xml:space="preserve">or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in no way precludes the possibility of that country’s responsibility also being may also be engaged under other heads, in particular for the conduct of persons or groups of persons in fact acting on the instructions of, or under the direction or control of, the authorities in Belgrade. All three of these eventualities are contemplated in Article 8 of the ILC Articles on State Responsibility, and these are alternative conditions: as the International Law Commission stated very clearly, “the three terms ‘instructions’, ‘direction’ and ‘control’ are disjunctive; it is sufficient to establish any one of them” … [A]ll three are present in our case.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62. … [E]ven in the absence of express instructions, the international responsibility of the State is engaged if the persons or groups of persons in question have acted under its direction (a less rigorous term that “instructions”) </w:t>
      </w:r>
      <w:r w:rsidRPr="00BE407E">
        <w:rPr>
          <w:rFonts w:ascii="Times New Roman" w:eastAsia="Times New Roman" w:hAnsi="Times New Roman" w:cs="Times New Roman"/>
          <w:i/>
          <w:iCs/>
          <w:sz w:val="24"/>
          <w:szCs w:val="24"/>
          <w:lang w:val="en-US"/>
        </w:rPr>
        <w:t xml:space="preserve">or </w:t>
      </w:r>
      <w:r w:rsidRPr="00BE407E">
        <w:rPr>
          <w:rFonts w:ascii="Times New Roman" w:eastAsia="Times New Roman" w:hAnsi="Times New Roman" w:cs="Times New Roman"/>
          <w:sz w:val="24"/>
          <w:szCs w:val="24"/>
          <w:lang w:val="en-US"/>
        </w:rPr>
        <w:t>under its control.</w:t>
      </w:r>
      <w:r>
        <w:rPr>
          <w:rFonts w:ascii="Times New Roman" w:eastAsia="Times New Roman" w:hAnsi="Times New Roman" w:cs="Times New Roman"/>
          <w:noProof/>
          <w:sz w:val="24"/>
          <w:szCs w:val="24"/>
        </w:rPr>
        <w:drawing>
          <wp:inline distT="0" distB="0" distL="0" distR="0">
            <wp:extent cx="151130" cy="142875"/>
            <wp:effectExtent l="19050" t="0" r="1270" b="0"/>
            <wp:docPr id="2608" name="Imagen 26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[emphasis in original]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China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1983, during a debate in the Sixth Committee of the UN General Assembly on the 1954 ILC Draft Code of Offences against the Peace and Security of Mankind, the representative of China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his delegation’s view, such crimes could be committed by both individuals and States and the responsibility of either would vary only as to its character or extent. The 1954 draft Code did not exclude the responsibility of States … In addition, that type of crime could not be prevented unless the responsibility of States was established. The argument that it would be repetitive to attribute responsibility to States in the draft Code was not valid, because the Code dealt exclusively with offences against the peace and securi ty of mankind and should be complete on that score.</w:t>
      </w:r>
      <w:r>
        <w:rPr>
          <w:rFonts w:ascii="Times New Roman" w:eastAsia="Times New Roman" w:hAnsi="Times New Roman" w:cs="Times New Roman"/>
          <w:noProof/>
          <w:sz w:val="24"/>
          <w:szCs w:val="24"/>
        </w:rPr>
        <w:drawing>
          <wp:inline distT="0" distB="0" distL="0" distR="0">
            <wp:extent cx="151130" cy="142875"/>
            <wp:effectExtent l="19050" t="0" r="1270" b="0"/>
            <wp:docPr id="2609" name="Imagen 26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Indonesia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Report on the Practice of Indonesia, referring to an interview with a senior officer of the armed forces, states: “In case of violations of international humanitarian law incurred by the State or by individuals compatible with the State, the Government of Indonesia will take over such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2610" name="Imagen 26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Islamic Republic of Iran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1991, during a debate in the UN General Assembly on the environmental impact of the Gulf War, the Islamic Republic of Iran stated: “There were well-established rules of both customary and treaty law which held a party to a conflict responsible for unnecessary damage to the environment.”</w:t>
      </w:r>
      <w:r>
        <w:rPr>
          <w:rFonts w:ascii="Times New Roman" w:eastAsia="Times New Roman" w:hAnsi="Times New Roman" w:cs="Times New Roman"/>
          <w:noProof/>
          <w:sz w:val="24"/>
          <w:szCs w:val="24"/>
        </w:rPr>
        <w:drawing>
          <wp:inline distT="0" distB="0" distL="0" distR="0">
            <wp:extent cx="151130" cy="142875"/>
            <wp:effectExtent l="19050" t="0" r="1270" b="0"/>
            <wp:docPr id="2611" name="Imagen 26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Israel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1997, during a debate concerning UNIFIL in the Fifth Committee of the UN General Assembly, Israel stated that “Israel’s action in providing medical assistance to injured members of UNIFIL had been a purely humanitarian gesture which should under no circumstances be interpreted as an admission of any responsibility” for Israel’s attack on a UNIFIL compound at Qana and the costs resulting therefrom.</w:t>
      </w:r>
      <w:r>
        <w:rPr>
          <w:rFonts w:ascii="Times New Roman" w:eastAsia="Times New Roman" w:hAnsi="Times New Roman" w:cs="Times New Roman"/>
          <w:noProof/>
          <w:sz w:val="24"/>
          <w:szCs w:val="24"/>
        </w:rPr>
        <w:drawing>
          <wp:inline distT="0" distB="0" distL="0" distR="0">
            <wp:extent cx="151130" cy="142875"/>
            <wp:effectExtent l="19050" t="0" r="1270" b="0"/>
            <wp:docPr id="2612" name="Imagen 26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According to the Report on the Practice of Israel: “Israel acknowledges and supports the view that States bear a responsibility under international law, for all violations of the laws of war perpetrated by them or by individuals under their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2613" name="Imagen 26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January 2010, in an update of its July 2009 report on Israeli operations in Gaza between 27 December 2008 and 18 January 2009, Israel’s Ministry of Foreign Affairs stated: “Under international law, the responsibility to investigate and prosecute alleged violations of the Law of Armed Conflict by a state’s military forces falls first and foremost to that state.”</w:t>
      </w:r>
      <w:r>
        <w:rPr>
          <w:rFonts w:ascii="Times New Roman" w:eastAsia="Times New Roman" w:hAnsi="Times New Roman" w:cs="Times New Roman"/>
          <w:noProof/>
          <w:sz w:val="24"/>
          <w:szCs w:val="24"/>
        </w:rPr>
        <w:drawing>
          <wp:inline distT="0" distB="0" distL="0" distR="0">
            <wp:extent cx="151130" cy="142875"/>
            <wp:effectExtent l="19050" t="0" r="1270" b="0"/>
            <wp:docPr id="2614" name="Imagen 26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[footnote in original omitted]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Mexico</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At the CDDH, Mexico stated: “The State was responsible for all acts committed by its bodies and not only for acts committed by persons forming part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615" name="Imagen 26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Norway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2000, during a debate in the UN Security Council on the protection of UN personnel, associated personnel and humanitarian personnel in conflict areas, Norway stated: “States need to hold States … accountable for their attacks on humanitarian workers operating in territory under their control.”</w:t>
      </w:r>
      <w:r>
        <w:rPr>
          <w:rFonts w:ascii="Times New Roman" w:eastAsia="Times New Roman" w:hAnsi="Times New Roman" w:cs="Times New Roman"/>
          <w:noProof/>
          <w:sz w:val="24"/>
          <w:szCs w:val="24"/>
        </w:rPr>
        <w:drawing>
          <wp:inline distT="0" distB="0" distL="0" distR="0">
            <wp:extent cx="151130" cy="142875"/>
            <wp:effectExtent l="19050" t="0" r="1270" b="0"/>
            <wp:docPr id="2616" name="Imagen 26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Pakistan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1993, in a debate in the UN Security Council on draft Resolution 824 on Bosnia and Herzegovina, Pakistan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We believe that the Security Council must take immediate appropriate measures, including the authorization of the use of force under Chapter VII of the United Nations Charter, to ensure: … the institution of appropriate measures for reparations for the Government of Bosnia and Herzegovina by Serbia and Montenegro; that Serbia and Montenegro is liable, under international law, for any direct loss or damage, including environmental damage, or injury to foreign Governments, nationals and corporations as a result of its aggression against the Republic of Bosnia and Herzegovina.</w:t>
      </w:r>
      <w:r>
        <w:rPr>
          <w:rFonts w:ascii="Times New Roman" w:eastAsia="Times New Roman" w:hAnsi="Times New Roman" w:cs="Times New Roman"/>
          <w:noProof/>
          <w:sz w:val="24"/>
          <w:szCs w:val="24"/>
        </w:rPr>
        <w:drawing>
          <wp:inline distT="0" distB="0" distL="0" distR="0">
            <wp:extent cx="151130" cy="142875"/>
            <wp:effectExtent l="19050" t="0" r="1270" b="0"/>
            <wp:docPr id="2617" name="Imagen 26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Peru</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At the First Review Conference of the Convention on Certain Conventional Weapons in 1995, the observer for Peru, with respect to certain conventional weapons including anti-personnel landmines, stated that “provisions were needed to determine the responsibility of States for injuries suffered by non-combatant victims and for environmental damage”.</w:t>
      </w:r>
      <w:r>
        <w:rPr>
          <w:rFonts w:ascii="Times New Roman" w:eastAsia="Times New Roman" w:hAnsi="Times New Roman" w:cs="Times New Roman"/>
          <w:noProof/>
          <w:sz w:val="24"/>
          <w:szCs w:val="24"/>
        </w:rPr>
        <w:drawing>
          <wp:inline distT="0" distB="0" distL="0" distR="0">
            <wp:extent cx="151130" cy="142875"/>
            <wp:effectExtent l="19050" t="0" r="1270" b="0"/>
            <wp:docPr id="2618" name="Imagen 26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Solomon Islands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written statement submitted to the ICJ in the </w:t>
      </w:r>
      <w:r w:rsidRPr="00BE407E">
        <w:rPr>
          <w:rFonts w:ascii="Times New Roman" w:eastAsia="Times New Roman" w:hAnsi="Times New Roman" w:cs="Times New Roman"/>
          <w:i/>
          <w:iCs/>
          <w:sz w:val="24"/>
          <w:szCs w:val="24"/>
          <w:lang w:val="en-US"/>
        </w:rPr>
        <w:t>Nuclear Weapons (WHO) case</w:t>
      </w:r>
      <w:r w:rsidRPr="00BE407E">
        <w:rPr>
          <w:rFonts w:ascii="Times New Roman" w:eastAsia="Times New Roman" w:hAnsi="Times New Roman" w:cs="Times New Roman"/>
          <w:sz w:val="24"/>
          <w:szCs w:val="24"/>
          <w:lang w:val="en-US"/>
        </w:rPr>
        <w:t xml:space="preserve"> in 1995, commenting on the UN Security Council’s finding that Iraq was internationally responsible for environmental damage as a result of its invasion of Kuwait, Solomon Islands observed that this finding “can only have been based on general international law, as it has evolved following the adoption” of the 1977 Additional Protocols, being as Iraq was not a party to the 1976 ENMOD Convention or to the 1977 Additional Protocol I.</w:t>
      </w:r>
      <w:r>
        <w:rPr>
          <w:rFonts w:ascii="Times New Roman" w:eastAsia="Times New Roman" w:hAnsi="Times New Roman" w:cs="Times New Roman"/>
          <w:noProof/>
          <w:sz w:val="24"/>
          <w:szCs w:val="24"/>
        </w:rPr>
        <w:drawing>
          <wp:inline distT="0" distB="0" distL="0" distR="0">
            <wp:extent cx="151130" cy="142875"/>
            <wp:effectExtent l="19050" t="0" r="1270" b="0"/>
            <wp:docPr id="2619" name="Imagen 26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Spain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Report on the Practice of Spain refers to a number of bilateral treaties concluded in the second part of the 19th century between Spain and South American republics which include clauses concerning responsibility in armed conflict. The report states: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All these treaties allow either Government of the States Parties to invoke the other Government’s responsibility for damages suffered in the territory of the latter and caused by rebels in the case of insurrection, civil war, or sedition or by savage tribes or hordes, if the authorities of the country can be shown … to have been at fault or negligence.</w:t>
      </w:r>
      <w:r>
        <w:rPr>
          <w:rFonts w:ascii="Times New Roman" w:eastAsia="Times New Roman" w:hAnsi="Times New Roman" w:cs="Times New Roman"/>
          <w:noProof/>
          <w:sz w:val="24"/>
          <w:szCs w:val="24"/>
        </w:rPr>
        <w:drawing>
          <wp:inline distT="0" distB="0" distL="0" distR="0">
            <wp:extent cx="151130" cy="142875"/>
            <wp:effectExtent l="19050" t="0" r="1270" b="0"/>
            <wp:docPr id="2620" name="Imagen 26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Turkey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w:t>
      </w:r>
      <w:r w:rsidRPr="00BE407E">
        <w:rPr>
          <w:rFonts w:ascii="Times New Roman" w:eastAsia="Times New Roman" w:hAnsi="Times New Roman" w:cs="Times New Roman"/>
          <w:i/>
          <w:iCs/>
          <w:sz w:val="24"/>
          <w:szCs w:val="24"/>
          <w:lang w:val="en-US"/>
        </w:rPr>
        <w:t>France and Others v. Turkey</w:t>
      </w:r>
      <w:r w:rsidRPr="00BE407E">
        <w:rPr>
          <w:rFonts w:ascii="Times New Roman" w:eastAsia="Times New Roman" w:hAnsi="Times New Roman" w:cs="Times New Roman"/>
          <w:sz w:val="24"/>
          <w:szCs w:val="24"/>
          <w:lang w:val="en-US"/>
        </w:rPr>
        <w:t xml:space="preserve"> before the European Commission of Human Rights in 1983, Turkey argued that: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For a State to be liable, a violation must … continue to exist after the exhaustion of domestic remedies, and so become an act of the State itself. If the State has set up effective machinery to prosecute offences committed by its officials, these offences cannot be imputed to it. It is not correct that incidents which do not amount to administrative practices should be imputed to the Turkish Government. The persons committing such acts are personally responsible.</w:t>
      </w:r>
      <w:r>
        <w:rPr>
          <w:rFonts w:ascii="Times New Roman" w:eastAsia="Times New Roman" w:hAnsi="Times New Roman" w:cs="Times New Roman"/>
          <w:noProof/>
          <w:sz w:val="24"/>
          <w:szCs w:val="24"/>
        </w:rPr>
        <w:drawing>
          <wp:inline distT="0" distB="0" distL="0" distR="0">
            <wp:extent cx="151130" cy="142875"/>
            <wp:effectExtent l="19050" t="0" r="1270" b="0"/>
            <wp:docPr id="2621" name="Imagen 26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United Kingdom of Great Britain and Northern Ireland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1991, in a report submitted to the UN Security Council on operations in the Gulf War, the United Kingdom stated, with respect to the treatment of British prisoners of war by Iraq, that “the Iraqi Ambassador was reminded of the responsibility of his Government … for any grave breach of the [1949 Geneva] Conventions”.</w:t>
      </w:r>
      <w:r>
        <w:rPr>
          <w:rFonts w:ascii="Times New Roman" w:eastAsia="Times New Roman" w:hAnsi="Times New Roman" w:cs="Times New Roman"/>
          <w:noProof/>
          <w:sz w:val="24"/>
          <w:szCs w:val="24"/>
        </w:rPr>
        <w:drawing>
          <wp:inline distT="0" distB="0" distL="0" distR="0">
            <wp:extent cx="151130" cy="142875"/>
            <wp:effectExtent l="19050" t="0" r="1270" b="0"/>
            <wp:docPr id="2622" name="Imagen 26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2010, in its closing submissions to the public inquiry into the circumstances surrounding the death of Baha Mousa and the treatment of those detained with him by UK armed forces in Iraq in 2003, the UK Ministry of Defence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MOD seeks to draw out the primary and overwhelming role which the brutality and inhumanity shown to Baha Mousa and the detainees had in their fate. Before doing so it is right to emphasise that the MOD does not seek thereby to shirk its corporate responsibility. It fully accepts that deplorable acts were carried out by British soldiers on duty, for whose actions it is ultimately responsible.</w:t>
      </w:r>
      <w:r>
        <w:rPr>
          <w:rFonts w:ascii="Times New Roman" w:eastAsia="Times New Roman" w:hAnsi="Times New Roman" w:cs="Times New Roman"/>
          <w:noProof/>
          <w:sz w:val="24"/>
          <w:szCs w:val="24"/>
        </w:rPr>
        <w:drawing>
          <wp:inline distT="0" distB="0" distL="0" distR="0">
            <wp:extent cx="151130" cy="142875"/>
            <wp:effectExtent l="19050" t="0" r="1270" b="0"/>
            <wp:docPr id="2623" name="Imagen 26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United States of America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1992, in its final report to Congress on the conduct of the Gulf War, the US Department of Defense referred to Article 50 of the 1949 Geneva Convention I, Article 51 of the 1949 Geneva Convention II, Article 130 of the 1949 Geneva Convention III and Article 147 of the 1949 Geneva Convention IV and stated: “In a separate article common to the four 1949 Geneva Conventions, no nation has the authority to absolve itself or any other nation party to those treaties of any liability incurred by the commission of a Grave Breach.”</w:t>
      </w:r>
      <w:r>
        <w:rPr>
          <w:rFonts w:ascii="Times New Roman" w:eastAsia="Times New Roman" w:hAnsi="Times New Roman" w:cs="Times New Roman"/>
          <w:noProof/>
          <w:sz w:val="24"/>
          <w:szCs w:val="24"/>
        </w:rPr>
        <w:drawing>
          <wp:inline distT="0" distB="0" distL="0" distR="0">
            <wp:extent cx="151130" cy="142875"/>
            <wp:effectExtent l="19050" t="0" r="1270" b="0"/>
            <wp:docPr id="2624" name="Imagen 26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On 15 October [1990], the [US] President warned Iraq of its liability for war crimes. The United States was successful in incorporating into [UN Security Council] Resolution 674 … language regarding Iraq’s accountability for its war crimes, in particular its potential liability for Grave Breaches of the [1949 Geneva Conventions], and inviting States to collect relevant information regarding Iraqi Grave Breaches and provide it to the Security Council.</w:t>
      </w:r>
      <w:r>
        <w:rPr>
          <w:rFonts w:ascii="Times New Roman" w:eastAsia="Times New Roman" w:hAnsi="Times New Roman" w:cs="Times New Roman"/>
          <w:noProof/>
          <w:sz w:val="24"/>
          <w:szCs w:val="24"/>
        </w:rPr>
        <w:drawing>
          <wp:inline distT="0" distB="0" distL="0" distR="0">
            <wp:extent cx="151130" cy="142875"/>
            <wp:effectExtent l="19050" t="0" r="1270" b="0"/>
            <wp:docPr id="2625" name="Imagen 26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According to the Report on US Practice, it is the </w:t>
      </w:r>
      <w:r w:rsidRPr="00BE407E">
        <w:rPr>
          <w:rFonts w:ascii="Times New Roman" w:eastAsia="Times New Roman" w:hAnsi="Times New Roman" w:cs="Times New Roman"/>
          <w:i/>
          <w:iCs/>
          <w:sz w:val="24"/>
          <w:szCs w:val="24"/>
          <w:lang w:val="en-US"/>
        </w:rPr>
        <w:t>opinio juris</w:t>
      </w:r>
      <w:r w:rsidRPr="00BE407E">
        <w:rPr>
          <w:rFonts w:ascii="Times New Roman" w:eastAsia="Times New Roman" w:hAnsi="Times New Roman" w:cs="Times New Roman"/>
          <w:sz w:val="24"/>
          <w:szCs w:val="24"/>
          <w:lang w:val="en-US"/>
        </w:rPr>
        <w:t xml:space="preserve"> of the United States that “in principle, a state is responsible for any unlawful act of its armed forces in the course of an armed conflict, but not for private acts of members of its armed forces”.</w:t>
      </w:r>
      <w:r>
        <w:rPr>
          <w:rFonts w:ascii="Times New Roman" w:eastAsia="Times New Roman" w:hAnsi="Times New Roman" w:cs="Times New Roman"/>
          <w:noProof/>
          <w:sz w:val="24"/>
          <w:szCs w:val="24"/>
        </w:rPr>
        <w:drawing>
          <wp:inline distT="0" distB="0" distL="0" distR="0">
            <wp:extent cx="151130" cy="142875"/>
            <wp:effectExtent l="19050" t="0" r="1270" b="0"/>
            <wp:docPr id="2626" name="Imagen 26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Yugoslavia, Socialist Federal Republic of</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1993, in the </w:t>
      </w:r>
      <w:r w:rsidRPr="00BE407E">
        <w:rPr>
          <w:rFonts w:ascii="Times New Roman" w:eastAsia="Times New Roman" w:hAnsi="Times New Roman" w:cs="Times New Roman"/>
          <w:i/>
          <w:iCs/>
          <w:sz w:val="24"/>
          <w:szCs w:val="24"/>
          <w:lang w:val="en-US"/>
        </w:rPr>
        <w:t>Application of the Convention on the Prevention and Punishment of the Crime of Genocide case (Bosnia and Herzegovina v. Serbia and Montenegro)</w:t>
      </w:r>
      <w:r w:rsidRPr="00BE407E">
        <w:rPr>
          <w:rFonts w:ascii="Times New Roman" w:eastAsia="Times New Roman" w:hAnsi="Times New Roman" w:cs="Times New Roman"/>
          <w:sz w:val="24"/>
          <w:szCs w:val="24"/>
          <w:lang w:val="en-US"/>
        </w:rPr>
        <w:t>, the Federal Republic of Yugoslavia, in its Request for the Indication of Provisional Measures and Written Observations on the Request by Bosnia and Herzegovina for the Indication of Provisional Measures: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rejects responsibility for … genocide for which it is accused by the “Republic of Bosnia and Herzegovina” and requests the Court to establish the responsibility of the authorities [of Bosnia-Herzegovina] for acts of genocide against the Serb people in the “Republic of Bosnia-Herzegovina”.</w:t>
      </w:r>
      <w:r>
        <w:rPr>
          <w:rFonts w:ascii="Times New Roman" w:eastAsia="Times New Roman" w:hAnsi="Times New Roman" w:cs="Times New Roman"/>
          <w:noProof/>
          <w:sz w:val="24"/>
          <w:szCs w:val="24"/>
        </w:rPr>
        <w:drawing>
          <wp:inline distT="0" distB="0" distL="0" distR="0">
            <wp:extent cx="151130" cy="142875"/>
            <wp:effectExtent l="19050" t="0" r="1270" b="0"/>
            <wp:docPr id="2627" name="Imagen 26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5.1.1.1. The responsibility of a State cannot be established without ascertaining that an act has been committed in breach of an international obligation and without attributing that act to a State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5.1.1.2. The only applicable rules in this instance are the general customary rules on the attribution of acts to a State in the field of the responsibility of a State for international unlawful acts, as they have been developed in the practice of States and confirmed in the practice of the International Court of Justice and arbitration tribunals.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5.2.1.1. Acts of a State are understood to mean, primarily, acts of State organs.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5.2.1.2. Members of Parliament are not considered a State organ. Acts of Parliament, as </w:t>
      </w:r>
      <w:r w:rsidRPr="00BE407E">
        <w:rPr>
          <w:rFonts w:ascii="Times New Roman" w:eastAsia="Times New Roman" w:hAnsi="Times New Roman" w:cs="Times New Roman"/>
          <w:sz w:val="24"/>
          <w:szCs w:val="24"/>
          <w:lang w:val="en-US"/>
        </w:rPr>
        <w:lastRenderedPageBreak/>
        <w:t>a State organ, are attributable to the State, but acts of members of Parliament are not.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5.2.1.3. If a State organ has been placed at the disposal of another State and if it acts under the instructions of that other State its acts are attributable to that other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5.2.1.5. If this rule is applicable to State organs then it is certainly applicable also in the case when a number of individuals who constituted a State organ, with a part of the equipment which belonged to that State organ, remain at the disposal of another authority and act under the orders of that other authority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5.3.1.3. Acts of persons who are not State organs can also be considered acts of the State if they are committed under instructions from the State. This was applied in the case of the United States Diplomatic and Consular Staff in Tehran.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5.3.1.5. In the … Judgment [in that case], the Court stated the conditions under which the behaviour of individuals who are not state organs can be imputable to the state: a) individuals should act on behalf of the state in carrying out a specific act; b) individuals should be charged by a competent organ of the state to carry out a specific act. Their orders, or authority should be defined specifically and precisely, i.e. concern a clearly specified act.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5.3.1.7. The order of a State organ issued to an individual or a group of persons who are not a State organ must refer to a quite specific act for that act, once committed by that individual or group of persons, to be attributable to the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5.3.1.8. The Iran-United States Claims Tribunal applied the same rule, by invoking the quoted Judgment of the International Court in the case of Alfred L.W. Short.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5.3.1.12. The acts of individuals can also be considered acts of a State from the moment the state endorses them, i.e. from the moment a State itself considers them its acts.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5.3.1.14. Such endorsement must be explicit and must refer to specific acts.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5.4.1.6. The case of Military and Paramilitary Activities in and against Nicaragua is particularly important for the dispute at hand, being the only case in which the Court reviewed and applied rules on the attribution of acts of armed groups to a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5.4.1.21. The Court clearly noted that the general control by the Respondent over a force with a high degree of dependency on it was not sufficient condition for every and any act of that force to be attributed to that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5.4.1.22. For a specific act in such a situation to be attributed to a State it would have to be proved that that State had effective control of the military or paramilitary operations in the course of which the alleged violations were committed.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5.4.1.23. Not only did the Federal Republic of Yugoslavia not have effective control of military or paramilitary forces at the time of the operations in the course of which the alleged violations were committed, but it publicly and consistently condemned the inhumane and unlawful acts of al1 the three sides, i.e. also those of the Serb side.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5.4.1.24. Likewise, not only did the Federal Republic of Yugoslavia not have effective control of military or paramilitary forces at the time of the operations during which the alleged violations were committed, but it had no general control over those forces.</w:t>
      </w:r>
      <w:r>
        <w:rPr>
          <w:rFonts w:ascii="Times New Roman" w:eastAsia="Times New Roman" w:hAnsi="Times New Roman" w:cs="Times New Roman"/>
          <w:noProof/>
          <w:sz w:val="24"/>
          <w:szCs w:val="24"/>
        </w:rPr>
        <w:drawing>
          <wp:inline distT="0" distB="0" distL="0" distR="0">
            <wp:extent cx="151130" cy="142875"/>
            <wp:effectExtent l="19050" t="0" r="1270" b="0"/>
            <wp:docPr id="2628" name="Imagen 26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94. The leading authority is the </w:t>
      </w:r>
      <w:r w:rsidRPr="00BE407E">
        <w:rPr>
          <w:rFonts w:ascii="Times New Roman" w:eastAsia="Times New Roman" w:hAnsi="Times New Roman" w:cs="Times New Roman"/>
          <w:i/>
          <w:iCs/>
          <w:sz w:val="24"/>
          <w:szCs w:val="24"/>
          <w:lang w:val="en-US"/>
        </w:rPr>
        <w:t xml:space="preserve">Military and Paramilitary Activities </w:t>
      </w:r>
      <w:r w:rsidRPr="00BE407E">
        <w:rPr>
          <w:rFonts w:ascii="Times New Roman" w:eastAsia="Times New Roman" w:hAnsi="Times New Roman" w:cs="Times New Roman"/>
          <w:sz w:val="24"/>
          <w:szCs w:val="24"/>
          <w:lang w:val="en-US"/>
        </w:rPr>
        <w:t>case, in which the Court, in a majority Judgment of 14 judges, applied the test of effective control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 xml:space="preserve">95. … [T]here is no reason to doubt that the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Judgment represents the orthodox and unexceptionable application of general international law. When the International Law Commission completed its work on State responsibility neither the Special Rapporteur nor the Commission as a whole questioned the approach of the Court.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96. The relevant provision in the Commission’s Articles on State Responsibility is Article 8 as follows: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“Conduct directed or controlled by a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conduct of a person or group or persons shall be considered an act of a state under international law if the person or group of persons is in fact acting on the instructions of, or under the direction or control of, that State in carrying out the conduct.”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IV. The decision of the Appeals Chamber in </w:t>
      </w:r>
      <w:r w:rsidRPr="00BE407E">
        <w:rPr>
          <w:rFonts w:ascii="Times New Roman" w:eastAsia="Times New Roman" w:hAnsi="Times New Roman" w:cs="Times New Roman"/>
          <w:i/>
          <w:iCs/>
          <w:sz w:val="24"/>
          <w:szCs w:val="24"/>
          <w:lang w:val="en-US"/>
        </w:rPr>
        <w:t xml:space="preserve">Prosecutor </w:t>
      </w:r>
      <w:r w:rsidRPr="00BE407E">
        <w:rPr>
          <w:rFonts w:ascii="Times New Roman" w:eastAsia="Times New Roman" w:hAnsi="Times New Roman" w:cs="Times New Roman"/>
          <w:sz w:val="24"/>
          <w:szCs w:val="24"/>
          <w:lang w:val="en-US"/>
        </w:rPr>
        <w:t xml:space="preserve">v. </w:t>
      </w:r>
      <w:r w:rsidRPr="00BE407E">
        <w:rPr>
          <w:rFonts w:ascii="Times New Roman" w:eastAsia="Times New Roman" w:hAnsi="Times New Roman" w:cs="Times New Roman"/>
          <w:i/>
          <w:iCs/>
          <w:sz w:val="24"/>
          <w:szCs w:val="24"/>
          <w:lang w:val="en-US"/>
        </w:rPr>
        <w:t>Tadić</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100. The decision of the Appeals Chamber in </w:t>
      </w:r>
      <w:r w:rsidRPr="00BE407E">
        <w:rPr>
          <w:rFonts w:ascii="Times New Roman" w:eastAsia="Times New Roman" w:hAnsi="Times New Roman" w:cs="Times New Roman"/>
          <w:i/>
          <w:iCs/>
          <w:sz w:val="24"/>
          <w:szCs w:val="24"/>
          <w:lang w:val="en-US"/>
        </w:rPr>
        <w:t xml:space="preserve">Prosecutor </w:t>
      </w:r>
      <w:r w:rsidRPr="00BE407E">
        <w:rPr>
          <w:rFonts w:ascii="Times New Roman" w:eastAsia="Times New Roman" w:hAnsi="Times New Roman" w:cs="Times New Roman"/>
          <w:sz w:val="24"/>
          <w:szCs w:val="24"/>
          <w:lang w:val="en-US"/>
        </w:rPr>
        <w:t xml:space="preserve">v. </w:t>
      </w:r>
      <w:r w:rsidRPr="00BE407E">
        <w:rPr>
          <w:rFonts w:ascii="Times New Roman" w:eastAsia="Times New Roman" w:hAnsi="Times New Roman" w:cs="Times New Roman"/>
          <w:i/>
          <w:iCs/>
          <w:sz w:val="24"/>
          <w:szCs w:val="24"/>
          <w:lang w:val="en-US"/>
        </w:rPr>
        <w:t xml:space="preserve">Tadić </w:t>
      </w:r>
      <w:r w:rsidRPr="00BE407E">
        <w:rPr>
          <w:rFonts w:ascii="Times New Roman" w:eastAsia="Times New Roman" w:hAnsi="Times New Roman" w:cs="Times New Roman"/>
          <w:sz w:val="24"/>
          <w:szCs w:val="24"/>
          <w:lang w:val="en-US"/>
        </w:rPr>
        <w:t>was considered in the Commentary of the International Law Commission and was distinguished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101. On … the </w:t>
      </w:r>
      <w:r w:rsidRPr="00BE407E">
        <w:rPr>
          <w:rFonts w:ascii="Times New Roman" w:eastAsia="Times New Roman" w:hAnsi="Times New Roman" w:cs="Times New Roman"/>
          <w:i/>
          <w:iCs/>
          <w:sz w:val="24"/>
          <w:szCs w:val="24"/>
          <w:lang w:val="en-US"/>
        </w:rPr>
        <w:t xml:space="preserve">Tadić </w:t>
      </w:r>
      <w:r w:rsidRPr="00BE407E">
        <w:rPr>
          <w:rFonts w:ascii="Times New Roman" w:eastAsia="Times New Roman" w:hAnsi="Times New Roman" w:cs="Times New Roman"/>
          <w:sz w:val="24"/>
          <w:szCs w:val="24"/>
          <w:lang w:val="en-US"/>
        </w:rPr>
        <w:t>case, the Commission makes the following assessment: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Appeals Chamber held that the requisite degree of control by the Yugoslavian authorities over these armed forces required by international law for considering the armed conflict to be international was ‘</w:t>
      </w:r>
      <w:r w:rsidRPr="00B431DD">
        <w:rPr>
          <w:rFonts w:ascii="Times New Roman" w:eastAsia="Times New Roman" w:hAnsi="Times New Roman" w:cs="Times New Roman"/>
          <w:i/>
          <w:iCs/>
          <w:sz w:val="24"/>
          <w:szCs w:val="24"/>
          <w:lang w:val="en-US"/>
        </w:rPr>
        <w:t xml:space="preserve">overall control </w:t>
      </w:r>
      <w:r w:rsidRPr="00B431DD">
        <w:rPr>
          <w:rFonts w:ascii="Times New Roman" w:eastAsia="Times New Roman" w:hAnsi="Times New Roman" w:cs="Times New Roman"/>
          <w:sz w:val="24"/>
          <w:szCs w:val="24"/>
          <w:lang w:val="en-US"/>
        </w:rPr>
        <w:t xml:space="preserve">going beyond the mere financing and equipping of such forces and involving also participation in the planning and supervision of military operations’. In the course of their reasoning, the majority considered it necessary to disapprove the International Court’s approach in </w:t>
      </w:r>
      <w:r w:rsidRPr="00B431DD">
        <w:rPr>
          <w:rFonts w:ascii="Times New Roman" w:eastAsia="Times New Roman" w:hAnsi="Times New Roman" w:cs="Times New Roman"/>
          <w:i/>
          <w:iCs/>
          <w:sz w:val="24"/>
          <w:szCs w:val="24"/>
          <w:lang w:val="en-US"/>
        </w:rPr>
        <w:t>Military and Paramilitary Activities</w:t>
      </w:r>
      <w:r w:rsidRPr="00B431DD">
        <w:rPr>
          <w:rFonts w:ascii="Times New Roman" w:eastAsia="Times New Roman" w:hAnsi="Times New Roman" w:cs="Times New Roman"/>
          <w:sz w:val="24"/>
          <w:szCs w:val="24"/>
          <w:lang w:val="en-US"/>
        </w:rPr>
        <w:t xml:space="preserve">. But the legal issues and the factual situation in that case were different from those facing the International Court in </w:t>
      </w:r>
      <w:r w:rsidRPr="00B431DD">
        <w:rPr>
          <w:rFonts w:ascii="Times New Roman" w:eastAsia="Times New Roman" w:hAnsi="Times New Roman" w:cs="Times New Roman"/>
          <w:i/>
          <w:iCs/>
          <w:sz w:val="24"/>
          <w:szCs w:val="24"/>
          <w:lang w:val="en-US"/>
        </w:rPr>
        <w:t>Military and</w:t>
      </w:r>
      <w:r w:rsidRPr="00B431DD">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i/>
          <w:iCs/>
          <w:sz w:val="24"/>
          <w:szCs w:val="24"/>
          <w:lang w:val="en-US"/>
        </w:rPr>
        <w:t>Paramilitary Activities</w:t>
      </w:r>
      <w:r w:rsidRPr="00B431DD">
        <w:rPr>
          <w:rFonts w:ascii="Times New Roman" w:eastAsia="Times New Roman" w:hAnsi="Times New Roman" w:cs="Times New Roman"/>
          <w:sz w:val="24"/>
          <w:szCs w:val="24"/>
          <w:lang w:val="en-US"/>
        </w:rPr>
        <w:t>. The Tribunal’s mandate is directed to issues of individual criminal responsibility, not State responsibility, and the question in that case concerned not responsibility, but the applicable rules of international humanitarian law. In any event it is a matter for appreciation in each case whether particular conduct was or was not carried out under the control of a State, to such an extent that the conduct controlled should be attributed to it.”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That is the Commentary of the International Law Commission to Article 8 in paragraph 5.</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110. In conclusion, it is necessary to revisit first principles. The test of effective control is to be applied as a mode of putting the principles of State responsibility into effect. The connection between the State concerned and the alleged </w:t>
      </w:r>
      <w:r w:rsidRPr="00BE407E">
        <w:rPr>
          <w:rFonts w:ascii="Times New Roman" w:eastAsia="Times New Roman" w:hAnsi="Times New Roman" w:cs="Times New Roman"/>
          <w:i/>
          <w:iCs/>
          <w:sz w:val="24"/>
          <w:szCs w:val="24"/>
          <w:lang w:val="en-US"/>
        </w:rPr>
        <w:t xml:space="preserve">de facto </w:t>
      </w:r>
      <w:r w:rsidRPr="00BE407E">
        <w:rPr>
          <w:rFonts w:ascii="Times New Roman" w:eastAsia="Times New Roman" w:hAnsi="Times New Roman" w:cs="Times New Roman"/>
          <w:sz w:val="24"/>
          <w:szCs w:val="24"/>
          <w:lang w:val="en-US"/>
        </w:rPr>
        <w:t xml:space="preserve">organ or agency must be based on control. As this Court has spelled out clearly in the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 xml:space="preserve">Judgment, it must be proved that the respondent State had effective control of the military or paramilitary operations </w:t>
      </w:r>
      <w:r w:rsidRPr="00BE407E">
        <w:rPr>
          <w:rFonts w:ascii="Times New Roman" w:eastAsia="Times New Roman" w:hAnsi="Times New Roman" w:cs="Times New Roman"/>
          <w:i/>
          <w:iCs/>
          <w:sz w:val="24"/>
          <w:szCs w:val="24"/>
          <w:lang w:val="en-US"/>
        </w:rPr>
        <w:t>in the course of</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which the alleged violations were committed</w:t>
      </w:r>
      <w:r w:rsidRPr="00BE407E">
        <w:rPr>
          <w:rFonts w:ascii="Times New Roman" w:eastAsia="Times New Roman" w:hAnsi="Times New Roman" w:cs="Times New Roman"/>
          <w:sz w:val="24"/>
          <w:szCs w:val="24"/>
          <w:lang w:val="en-US"/>
        </w:rPr>
        <w:t>. The reference here is to paragraph 115 of the Judgment, in particular.</w:t>
      </w:r>
      <w:r>
        <w:rPr>
          <w:rFonts w:ascii="Times New Roman" w:eastAsia="Times New Roman" w:hAnsi="Times New Roman" w:cs="Times New Roman"/>
          <w:noProof/>
          <w:sz w:val="24"/>
          <w:szCs w:val="24"/>
        </w:rPr>
        <w:drawing>
          <wp:inline distT="0" distB="0" distL="0" distR="0">
            <wp:extent cx="151130" cy="142875"/>
            <wp:effectExtent l="19050" t="0" r="1270" b="0"/>
            <wp:docPr id="2629" name="Imagen 26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[emphasis in original]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223. Assistance to a State or to irregular forces, such as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xml:space="preserve">, is not sufficient for the attribution of acts committed by the State or by the irregular forces, unless there is effective control exercised by the assisting State. This is the principle formulated in the Judgment of this Court in the merits phase of the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case.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224. … Madam President, let it be assumed for the sake of argument, that the FRY was involved to a certain extent in the financing, organizing, training, supplying and equipping of the army of the Republika Srpska. This would still not be sufficient for the purpose of attributing to the FRY the acts committed by the armed forces of the Republika Srpska.</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226. I quote the key passage from the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Judgment as follows: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Court has taken the view … that United States participation, even if preponderant or decisive, in the financing, organizing, training, supplying and equipping of the </w:t>
      </w:r>
      <w:r w:rsidRPr="00B431DD">
        <w:rPr>
          <w:rFonts w:ascii="Times New Roman" w:eastAsia="Times New Roman" w:hAnsi="Times New Roman" w:cs="Times New Roman"/>
          <w:i/>
          <w:iCs/>
          <w:sz w:val="24"/>
          <w:szCs w:val="24"/>
          <w:lang w:val="en-US"/>
        </w:rPr>
        <w:t>contras</w:t>
      </w:r>
      <w:r w:rsidRPr="00B431DD">
        <w:rPr>
          <w:rFonts w:ascii="Times New Roman" w:eastAsia="Times New Roman" w:hAnsi="Times New Roman" w:cs="Times New Roman"/>
          <w:sz w:val="24"/>
          <w:szCs w:val="24"/>
          <w:lang w:val="en-US"/>
        </w:rPr>
        <w:t xml:space="preserve">, the selection of its military or paramilitary targets, and the planning of the whole of its operation, is still insufficient in itself, on the basis of the evidence in the possession of the Court, for the purpose of attributing to the United States the acts committed by the </w:t>
      </w:r>
      <w:r w:rsidRPr="00B431DD">
        <w:rPr>
          <w:rFonts w:ascii="Times New Roman" w:eastAsia="Times New Roman" w:hAnsi="Times New Roman" w:cs="Times New Roman"/>
          <w:i/>
          <w:iCs/>
          <w:sz w:val="24"/>
          <w:szCs w:val="24"/>
          <w:lang w:val="en-US"/>
        </w:rPr>
        <w:t xml:space="preserve">contras </w:t>
      </w:r>
      <w:r w:rsidRPr="00B431DD">
        <w:rPr>
          <w:rFonts w:ascii="Times New Roman" w:eastAsia="Times New Roman" w:hAnsi="Times New Roman" w:cs="Times New Roman"/>
          <w:sz w:val="24"/>
          <w:szCs w:val="24"/>
          <w:lang w:val="en-US"/>
        </w:rPr>
        <w:t xml:space="preserve">in the course of their military or paramilitary operations in Nicaragua. All the forms of United States participation mentioned above, and even the general control by the respondent State over a force with a high degree of dependency on it, would not in themselves mean, without further evidence, that the United States directed or enforced the perpetration of the acts contrary to human rights and humanitarian law alleged by the applicant State. Such acts could well be committed by members of the </w:t>
      </w:r>
      <w:r w:rsidRPr="00B431DD">
        <w:rPr>
          <w:rFonts w:ascii="Times New Roman" w:eastAsia="Times New Roman" w:hAnsi="Times New Roman" w:cs="Times New Roman"/>
          <w:i/>
          <w:iCs/>
          <w:sz w:val="24"/>
          <w:szCs w:val="24"/>
          <w:lang w:val="en-US"/>
        </w:rPr>
        <w:t xml:space="preserve">contras </w:t>
      </w:r>
      <w:r w:rsidRPr="00B431DD">
        <w:rPr>
          <w:rFonts w:ascii="Times New Roman" w:eastAsia="Times New Roman" w:hAnsi="Times New Roman" w:cs="Times New Roman"/>
          <w:sz w:val="24"/>
          <w:szCs w:val="24"/>
          <w:lang w:val="en-US"/>
        </w:rPr>
        <w:t xml:space="preserve">without the control of the United States. </w:t>
      </w:r>
      <w:r w:rsidRPr="00B431DD">
        <w:rPr>
          <w:rFonts w:ascii="Times New Roman" w:eastAsia="Times New Roman" w:hAnsi="Times New Roman" w:cs="Times New Roman"/>
          <w:i/>
          <w:iCs/>
          <w:sz w:val="24"/>
          <w:szCs w:val="24"/>
          <w:lang w:val="en-US"/>
        </w:rPr>
        <w:t>For this conduct to give rise to legal responsibility of the United States, it would in principle have to be proved that that State had effective control of the military or paramilitary operations in the course of which the alleged violations were committed.</w:t>
      </w:r>
      <w:r w:rsidRPr="00B431DD">
        <w:rPr>
          <w:rFonts w:ascii="Times New Roman" w:eastAsia="Times New Roman" w:hAnsi="Times New Roman" w:cs="Times New Roman"/>
          <w:sz w:val="24"/>
          <w:szCs w:val="24"/>
          <w:lang w:val="en-US"/>
        </w:rPr>
        <w:t>” (</w:t>
      </w:r>
      <w:r w:rsidRPr="00B431DD">
        <w:rPr>
          <w:rFonts w:ascii="Times New Roman" w:eastAsia="Times New Roman" w:hAnsi="Times New Roman" w:cs="Times New Roman"/>
          <w:i/>
          <w:iCs/>
          <w:sz w:val="24"/>
          <w:szCs w:val="24"/>
          <w:lang w:val="en-US"/>
        </w:rPr>
        <w:t>I.C.J. Reports 1986</w:t>
      </w:r>
      <w:r w:rsidRPr="00B431DD">
        <w:rPr>
          <w:rFonts w:ascii="Times New Roman" w:eastAsia="Times New Roman" w:hAnsi="Times New Roman" w:cs="Times New Roman"/>
          <w:sz w:val="24"/>
          <w:szCs w:val="24"/>
          <w:lang w:val="en-US"/>
        </w:rPr>
        <w:t>, pp. 64–65, para. 115 … )</w:t>
      </w:r>
      <w:r>
        <w:rPr>
          <w:rFonts w:ascii="Times New Roman" w:eastAsia="Times New Roman" w:hAnsi="Times New Roman" w:cs="Times New Roman"/>
          <w:noProof/>
          <w:sz w:val="24"/>
          <w:szCs w:val="24"/>
        </w:rPr>
        <w:drawing>
          <wp:inline distT="0" distB="0" distL="0" distR="0">
            <wp:extent cx="151130" cy="142875"/>
            <wp:effectExtent l="19050" t="0" r="1270" b="0"/>
            <wp:docPr id="2630" name="Imagen 26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[emphasis in original]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1. With the Court’s permission I would like to return to the criteria of State responsibility and the issue of effective control, or as our opponents would put it, global control. The background is the use of paradigm cases in which the subject entity allegedly susceptible to control takes the form of a State, or a State in </w:t>
      </w:r>
      <w:r w:rsidRPr="00BE407E">
        <w:rPr>
          <w:rFonts w:ascii="Times New Roman" w:eastAsia="Times New Roman" w:hAnsi="Times New Roman" w:cs="Times New Roman"/>
          <w:i/>
          <w:iCs/>
          <w:sz w:val="24"/>
          <w:szCs w:val="24"/>
          <w:lang w:val="en-US"/>
        </w:rPr>
        <w:t>statu nascendi</w:t>
      </w:r>
      <w:r w:rsidRPr="00BE407E">
        <w:rPr>
          <w:rFonts w:ascii="Times New Roman" w:eastAsia="Times New Roman" w:hAnsi="Times New Roman" w:cs="Times New Roman"/>
          <w:sz w:val="24"/>
          <w:szCs w:val="24"/>
          <w:lang w:val="en-US"/>
        </w:rPr>
        <w:t xml:space="preserve">, or a guerrilla movement with a political leadership, like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The adoption of this group of paradigm cases has almost certainly created a source of distortion in the application of the legal principles.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 In the first place, it is necessary to recall the standard formulation of the legal criteria. The key statement in paragraph 115 of the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Judgment is as follows: “For this conduct to give rise to legal responsibility of the United States, it would in principle have to be proved that that State had effective control of the military or paramilitary operations in the course of which the alleged violations were committed.” (</w:t>
      </w:r>
      <w:r w:rsidRPr="00BE407E">
        <w:rPr>
          <w:rFonts w:ascii="Times New Roman" w:eastAsia="Times New Roman" w:hAnsi="Times New Roman" w:cs="Times New Roman"/>
          <w:i/>
          <w:iCs/>
          <w:sz w:val="24"/>
          <w:szCs w:val="24"/>
          <w:lang w:val="en-US"/>
        </w:rPr>
        <w:t>I.C.J. Reports 1986</w:t>
      </w:r>
      <w:r w:rsidRPr="00BE407E">
        <w:rPr>
          <w:rFonts w:ascii="Times New Roman" w:eastAsia="Times New Roman" w:hAnsi="Times New Roman" w:cs="Times New Roman"/>
          <w:sz w:val="24"/>
          <w:szCs w:val="24"/>
          <w:lang w:val="en-US"/>
        </w:rPr>
        <w:t>, p. 65.)</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 This aspect of the legal criteria is brought into prominence in the Commentary of the International Law Commission on Article 8 of the Articles on State Responsibility. The wording of the Commentary in paragraph 7 is of considerable significance: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“It is clear then that a State may, either by specific directions or by exercising control over a group, in effect assume responsibility for their conduct. Each case will depend on its own facts, in particular those concerning the relationship between the instructions given or the directions or control exercised and the specific conduct complained of. In the text of article 8, the three terms ‘instructions’, ‘direction’, and ‘control’ are disjunctive; it is sufficient to establish any one of them. At the same time it is made clear that the instructions, direction or control must relate to the conduct which is said to have amounted to an internationally wrongful act.”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4. This element in the legal position has not attracted the attention of our distinguished opponents. No doubt this element indicates the operational inadequacy of the concept of “global control”.</w:t>
      </w:r>
      <w:r>
        <w:rPr>
          <w:rFonts w:ascii="Times New Roman" w:eastAsia="Times New Roman" w:hAnsi="Times New Roman" w:cs="Times New Roman"/>
          <w:noProof/>
          <w:sz w:val="24"/>
          <w:szCs w:val="24"/>
        </w:rPr>
        <w:drawing>
          <wp:inline distT="0" distB="0" distL="0" distR="0">
            <wp:extent cx="151130" cy="142875"/>
            <wp:effectExtent l="19050" t="0" r="1270" b="0"/>
            <wp:docPr id="2631" name="Imagen 26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7" w:history="1">
        <w:r w:rsidRPr="00BE407E">
          <w:rPr>
            <w:rFonts w:ascii="Times New Roman" w:eastAsia="Times New Roman" w:hAnsi="Times New Roman" w:cs="Times New Roman"/>
            <w:color w:val="0000FF"/>
            <w:sz w:val="24"/>
            <w:szCs w:val="24"/>
            <w:u w:val="single"/>
            <w:lang w:val="en-US"/>
          </w:rPr>
          <w:t>VII. United Nations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UN Security Council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a resolution adopted in 1990, the UN Security Council reminded Iraq that “under international law it is liable for any loss, damage, or injury arising in regard to Kuwait </w:t>
      </w:r>
      <w:r w:rsidRPr="00BE407E">
        <w:rPr>
          <w:rFonts w:ascii="Times New Roman" w:eastAsia="Times New Roman" w:hAnsi="Times New Roman" w:cs="Times New Roman"/>
          <w:sz w:val="24"/>
          <w:szCs w:val="24"/>
          <w:lang w:val="en-US"/>
        </w:rPr>
        <w:lastRenderedPageBreak/>
        <w:t>and third States and their nationals and corporations, as a result of the invasion and illegal occupation of Kuwait by Iraq.”</w:t>
      </w:r>
      <w:r>
        <w:rPr>
          <w:rFonts w:ascii="Times New Roman" w:eastAsia="Times New Roman" w:hAnsi="Times New Roman" w:cs="Times New Roman"/>
          <w:noProof/>
          <w:sz w:val="24"/>
          <w:szCs w:val="24"/>
        </w:rPr>
        <w:drawing>
          <wp:inline distT="0" distB="0" distL="0" distR="0">
            <wp:extent cx="151130" cy="142875"/>
            <wp:effectExtent l="19050" t="0" r="1270" b="0"/>
            <wp:docPr id="2632" name="Imagen 26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a resolution adopted in March 1991, the UN Security Council, acting explicitly under Chapter VII of the UN Charter:</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 </w:t>
      </w:r>
      <w:r w:rsidRPr="00BE407E">
        <w:rPr>
          <w:rFonts w:ascii="Times New Roman" w:eastAsia="Times New Roman" w:hAnsi="Times New Roman" w:cs="Times New Roman"/>
          <w:i/>
          <w:iCs/>
          <w:sz w:val="24"/>
          <w:szCs w:val="24"/>
          <w:lang w:val="en-US"/>
        </w:rPr>
        <w:t>Demands</w:t>
      </w:r>
      <w:r w:rsidRPr="00BE407E">
        <w:rPr>
          <w:rFonts w:ascii="Times New Roman" w:eastAsia="Times New Roman" w:hAnsi="Times New Roman" w:cs="Times New Roman"/>
          <w:sz w:val="24"/>
          <w:szCs w:val="24"/>
          <w:lang w:val="en-US"/>
        </w:rPr>
        <w:t xml:space="preserve"> that Iraq implement its acceptance of all twelve resolutions noted above and in particular that Iraq:</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b</w:t>
      </w:r>
      <w:r w:rsidRPr="00BE407E">
        <w:rPr>
          <w:rFonts w:ascii="Times New Roman" w:eastAsia="Times New Roman" w:hAnsi="Times New Roman" w:cs="Times New Roman"/>
          <w:sz w:val="24"/>
          <w:szCs w:val="24"/>
          <w:lang w:val="en-US"/>
        </w:rPr>
        <w:t>) Accept in principle its liability under international law for any loss, damage or injury arising in regard to Kuwait and third States and their nationals and corporations, as a result of the invasion and illegal occupation of Kuwait by Iraq.</w:t>
      </w:r>
      <w:r>
        <w:rPr>
          <w:rFonts w:ascii="Times New Roman" w:eastAsia="Times New Roman" w:hAnsi="Times New Roman" w:cs="Times New Roman"/>
          <w:noProof/>
          <w:sz w:val="24"/>
          <w:szCs w:val="24"/>
        </w:rPr>
        <w:drawing>
          <wp:inline distT="0" distB="0" distL="0" distR="0">
            <wp:extent cx="151130" cy="142875"/>
            <wp:effectExtent l="19050" t="0" r="1270" b="0"/>
            <wp:docPr id="2633" name="Imagen 26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Resolution 687 adopted in April 1991, the UN Security Council: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Reaffirms </w:t>
      </w:r>
      <w:r w:rsidRPr="00BE407E">
        <w:rPr>
          <w:rFonts w:ascii="Times New Roman" w:eastAsia="Times New Roman" w:hAnsi="Times New Roman" w:cs="Times New Roman"/>
          <w:sz w:val="24"/>
          <w:szCs w:val="24"/>
          <w:lang w:val="en-US"/>
        </w:rPr>
        <w:t>that Iraq, without prejudice to its debts and obligations arising prior to 2 August 1990, which will be addressed through the normal mechanisms, is liable under international law for any direct loss, damage – including environmental damage and the depletion of natural resources – or injury to foreign Governments, nationals and corporations as a result of its unlawful invasion and occupation of Kuwait.</w:t>
      </w:r>
      <w:r>
        <w:rPr>
          <w:rFonts w:ascii="Times New Roman" w:eastAsia="Times New Roman" w:hAnsi="Times New Roman" w:cs="Times New Roman"/>
          <w:noProof/>
          <w:sz w:val="24"/>
          <w:szCs w:val="24"/>
        </w:rPr>
        <w:drawing>
          <wp:inline distT="0" distB="0" distL="0" distR="0">
            <wp:extent cx="151130" cy="142875"/>
            <wp:effectExtent l="19050" t="0" r="1270" b="0"/>
            <wp:docPr id="2634" name="Imagen 26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 General Assembly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a resolution adopted in 1993 in the context of the conflict in the former Yugoslavia, the UN General Assembly reaffirmed that “States are to be held accountable for violations of human rights which their agents commit on their own territory or on the territory of another State”.</w:t>
      </w:r>
      <w:r>
        <w:rPr>
          <w:rFonts w:ascii="Times New Roman" w:eastAsia="Times New Roman" w:hAnsi="Times New Roman" w:cs="Times New Roman"/>
          <w:noProof/>
          <w:sz w:val="24"/>
          <w:szCs w:val="24"/>
        </w:rPr>
        <w:drawing>
          <wp:inline distT="0" distB="0" distL="0" distR="0">
            <wp:extent cx="151130" cy="142875"/>
            <wp:effectExtent l="19050" t="0" r="1270" b="0"/>
            <wp:docPr id="2635" name="Imagen 26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2001, the UN General Assembly adopted a resolution entitled “Responsibility of States for internationally wrongful acts”, to which the 2001 ILC Draft Articles on State Responsibility were annexed. In the resolution, the UN General Assembly noted that “the subject of responsibility of States for internationally wrongful acts is of major importance in the relations of States”. In the resolution, the General Assembly took note of the Draft Articles and commended them to the attention of governments “without prejudice to the question of their future adoption or other appropriate action”.</w:t>
      </w:r>
      <w:r>
        <w:rPr>
          <w:rFonts w:ascii="Times New Roman" w:eastAsia="Times New Roman" w:hAnsi="Times New Roman" w:cs="Times New Roman"/>
          <w:noProof/>
          <w:sz w:val="24"/>
          <w:szCs w:val="24"/>
        </w:rPr>
        <w:drawing>
          <wp:inline distT="0" distB="0" distL="0" distR="0">
            <wp:extent cx="151130" cy="142875"/>
            <wp:effectExtent l="19050" t="0" r="1270" b="0"/>
            <wp:docPr id="2636" name="Imagen 26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a resolution adopted in 2004 on the responsibility of States for internationally wrongful acts, the UN General Assembly: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Recalling </w:t>
      </w:r>
      <w:r w:rsidRPr="00BE407E">
        <w:rPr>
          <w:rFonts w:ascii="Times New Roman" w:eastAsia="Times New Roman" w:hAnsi="Times New Roman" w:cs="Times New Roman"/>
          <w:sz w:val="24"/>
          <w:szCs w:val="24"/>
          <w:lang w:val="en-US"/>
        </w:rPr>
        <w:t>its resolution 56/83 of 12 December 2001, the annex to which contains the text of the articles on responsibility of States for internationally wrongful acts,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Noting </w:t>
      </w:r>
      <w:r w:rsidRPr="00BE407E">
        <w:rPr>
          <w:rFonts w:ascii="Times New Roman" w:eastAsia="Times New Roman" w:hAnsi="Times New Roman" w:cs="Times New Roman"/>
          <w:sz w:val="24"/>
          <w:szCs w:val="24"/>
          <w:lang w:val="en-US"/>
        </w:rPr>
        <w:t>that the subject of responsibility of States for internationally wrongful acts is of major importance in relations between States,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 </w:t>
      </w:r>
      <w:r w:rsidRPr="00BE407E">
        <w:rPr>
          <w:rFonts w:ascii="Times New Roman" w:eastAsia="Times New Roman" w:hAnsi="Times New Roman" w:cs="Times New Roman"/>
          <w:i/>
          <w:iCs/>
          <w:sz w:val="24"/>
          <w:szCs w:val="24"/>
          <w:lang w:val="en-US"/>
        </w:rPr>
        <w:t xml:space="preserve">Commends once again </w:t>
      </w:r>
      <w:r w:rsidRPr="00BE407E">
        <w:rPr>
          <w:rFonts w:ascii="Times New Roman" w:eastAsia="Times New Roman" w:hAnsi="Times New Roman" w:cs="Times New Roman"/>
          <w:sz w:val="24"/>
          <w:szCs w:val="24"/>
          <w:lang w:val="en-US"/>
        </w:rPr>
        <w:t>the articles on responsibility of States for internationally wrongful acts to the attention of Governments, without prejudice to the question of their future adoption or other appropriate action;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 </w:t>
      </w:r>
      <w:r w:rsidRPr="00BE407E">
        <w:rPr>
          <w:rFonts w:ascii="Times New Roman" w:eastAsia="Times New Roman" w:hAnsi="Times New Roman" w:cs="Times New Roman"/>
          <w:i/>
          <w:iCs/>
          <w:sz w:val="24"/>
          <w:szCs w:val="24"/>
          <w:lang w:val="en-US"/>
        </w:rPr>
        <w:t xml:space="preserve">Requests </w:t>
      </w:r>
      <w:r w:rsidRPr="00BE407E">
        <w:rPr>
          <w:rFonts w:ascii="Times New Roman" w:eastAsia="Times New Roman" w:hAnsi="Times New Roman" w:cs="Times New Roman"/>
          <w:sz w:val="24"/>
          <w:szCs w:val="24"/>
          <w:lang w:val="en-US"/>
        </w:rPr>
        <w:t>the Secretary-General to invite Governments to submit their written comments on any future action regarding the articles;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 </w:t>
      </w:r>
      <w:r w:rsidRPr="00BE407E">
        <w:rPr>
          <w:rFonts w:ascii="Times New Roman" w:eastAsia="Times New Roman" w:hAnsi="Times New Roman" w:cs="Times New Roman"/>
          <w:i/>
          <w:iCs/>
          <w:sz w:val="24"/>
          <w:szCs w:val="24"/>
          <w:lang w:val="en-US"/>
        </w:rPr>
        <w:t xml:space="preserve">Also requests </w:t>
      </w:r>
      <w:r w:rsidRPr="00BE407E">
        <w:rPr>
          <w:rFonts w:ascii="Times New Roman" w:eastAsia="Times New Roman" w:hAnsi="Times New Roman" w:cs="Times New Roman"/>
          <w:sz w:val="24"/>
          <w:szCs w:val="24"/>
          <w:lang w:val="en-US"/>
        </w:rPr>
        <w:t>the Secretary-General to prepare an initial compilation of decisions of international courts, tribunals and other bodies referring to the articles and to invite Governments to submit information on their practice in this regard, and further requests the Secretary-General to submit this material well in advance of its sixty-second session.</w:t>
      </w:r>
      <w:r>
        <w:rPr>
          <w:rFonts w:ascii="Times New Roman" w:eastAsia="Times New Roman" w:hAnsi="Times New Roman" w:cs="Times New Roman"/>
          <w:noProof/>
          <w:sz w:val="24"/>
          <w:szCs w:val="24"/>
        </w:rPr>
        <w:drawing>
          <wp:inline distT="0" distB="0" distL="0" distR="0">
            <wp:extent cx="151130" cy="142875"/>
            <wp:effectExtent l="19050" t="0" r="1270" b="0"/>
            <wp:docPr id="2637" name="Imagen 26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a resolution adopted in 2007 on the responsibility of States for internationally wrongful acts, the UN General Assembly: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Recalling </w:t>
      </w:r>
      <w:r w:rsidRPr="00BE407E">
        <w:rPr>
          <w:rFonts w:ascii="Times New Roman" w:eastAsia="Times New Roman" w:hAnsi="Times New Roman" w:cs="Times New Roman"/>
          <w:sz w:val="24"/>
          <w:szCs w:val="24"/>
          <w:lang w:val="en-US"/>
        </w:rPr>
        <w:t xml:space="preserve">its resolution 56/83 of 12 December 2001, the annex to which contains the text of the articles on responsibility of States for internationally wrongful acts, and further recalling its resolution 59/35 of 2 December 2004 commending the articles to </w:t>
      </w:r>
      <w:r w:rsidRPr="00BE407E">
        <w:rPr>
          <w:rFonts w:ascii="Times New Roman" w:eastAsia="Times New Roman" w:hAnsi="Times New Roman" w:cs="Times New Roman"/>
          <w:sz w:val="24"/>
          <w:szCs w:val="24"/>
          <w:lang w:val="en-US"/>
        </w:rPr>
        <w:lastRenderedPageBreak/>
        <w:t xml:space="preserve">the attention of Governments,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Noting </w:t>
      </w:r>
      <w:r w:rsidRPr="00BE407E">
        <w:rPr>
          <w:rFonts w:ascii="Times New Roman" w:eastAsia="Times New Roman" w:hAnsi="Times New Roman" w:cs="Times New Roman"/>
          <w:sz w:val="24"/>
          <w:szCs w:val="24"/>
          <w:lang w:val="en-US"/>
        </w:rPr>
        <w:t xml:space="preserve">that the subject of responsibility of States for internationally wrongful acts is of major importance in relations between States,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Noting with appreciation </w:t>
      </w:r>
      <w:r w:rsidRPr="00BE407E">
        <w:rPr>
          <w:rFonts w:ascii="Times New Roman" w:eastAsia="Times New Roman" w:hAnsi="Times New Roman" w:cs="Times New Roman"/>
          <w:sz w:val="24"/>
          <w:szCs w:val="24"/>
          <w:lang w:val="en-US"/>
        </w:rPr>
        <w:t>the compilation of decisions of international courts, tribunals and other bodies referring to the articles, prepared by the Secretary-General,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 </w:t>
      </w:r>
      <w:r w:rsidRPr="00BE407E">
        <w:rPr>
          <w:rFonts w:ascii="Times New Roman" w:eastAsia="Times New Roman" w:hAnsi="Times New Roman" w:cs="Times New Roman"/>
          <w:i/>
          <w:iCs/>
          <w:sz w:val="24"/>
          <w:szCs w:val="24"/>
          <w:lang w:val="en-US"/>
        </w:rPr>
        <w:t xml:space="preserve">Commends once again </w:t>
      </w:r>
      <w:r w:rsidRPr="00BE407E">
        <w:rPr>
          <w:rFonts w:ascii="Times New Roman" w:eastAsia="Times New Roman" w:hAnsi="Times New Roman" w:cs="Times New Roman"/>
          <w:sz w:val="24"/>
          <w:szCs w:val="24"/>
          <w:lang w:val="en-US"/>
        </w:rPr>
        <w:t xml:space="preserve">the articles on responsibility of States for internationally wrongful acts, to the attention of Governments, without prejudice to the question of their future adoption or other appropriate action;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 </w:t>
      </w:r>
      <w:r w:rsidRPr="00BE407E">
        <w:rPr>
          <w:rFonts w:ascii="Times New Roman" w:eastAsia="Times New Roman" w:hAnsi="Times New Roman" w:cs="Times New Roman"/>
          <w:i/>
          <w:iCs/>
          <w:sz w:val="24"/>
          <w:szCs w:val="24"/>
          <w:lang w:val="en-US"/>
        </w:rPr>
        <w:t xml:space="preserve">Requests </w:t>
      </w:r>
      <w:r w:rsidRPr="00BE407E">
        <w:rPr>
          <w:rFonts w:ascii="Times New Roman" w:eastAsia="Times New Roman" w:hAnsi="Times New Roman" w:cs="Times New Roman"/>
          <w:sz w:val="24"/>
          <w:szCs w:val="24"/>
          <w:lang w:val="en-US"/>
        </w:rPr>
        <w:t xml:space="preserve">the Secretary-General to invite Governments to submit their written comments on any future action regarding the articles;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 </w:t>
      </w:r>
      <w:r w:rsidRPr="00BE407E">
        <w:rPr>
          <w:rFonts w:ascii="Times New Roman" w:eastAsia="Times New Roman" w:hAnsi="Times New Roman" w:cs="Times New Roman"/>
          <w:i/>
          <w:iCs/>
          <w:sz w:val="24"/>
          <w:szCs w:val="24"/>
          <w:lang w:val="en-US"/>
        </w:rPr>
        <w:t xml:space="preserve">Also requests </w:t>
      </w:r>
      <w:r w:rsidRPr="00BE407E">
        <w:rPr>
          <w:rFonts w:ascii="Times New Roman" w:eastAsia="Times New Roman" w:hAnsi="Times New Roman" w:cs="Times New Roman"/>
          <w:sz w:val="24"/>
          <w:szCs w:val="24"/>
          <w:lang w:val="en-US"/>
        </w:rPr>
        <w:t xml:space="preserve">the Secretary-General to update the compilation of decisions of international courts, tribunals and other bodies referring to the articles and to invite Governments to submit information on their practice in this regard, and further requests the Secretary-General to submit this material well in advance of its sixty-fifth session;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 </w:t>
      </w:r>
      <w:r w:rsidRPr="00BE407E">
        <w:rPr>
          <w:rFonts w:ascii="Times New Roman" w:eastAsia="Times New Roman" w:hAnsi="Times New Roman" w:cs="Times New Roman"/>
          <w:i/>
          <w:iCs/>
          <w:sz w:val="24"/>
          <w:szCs w:val="24"/>
          <w:lang w:val="en-US"/>
        </w:rPr>
        <w:t xml:space="preserve">Decides </w:t>
      </w:r>
      <w:r w:rsidRPr="00BE407E">
        <w:rPr>
          <w:rFonts w:ascii="Times New Roman" w:eastAsia="Times New Roman" w:hAnsi="Times New Roman" w:cs="Times New Roman"/>
          <w:sz w:val="24"/>
          <w:szCs w:val="24"/>
          <w:lang w:val="en-US"/>
        </w:rPr>
        <w:t>to include in the provisional agenda of its sixty-fifth session the item entitled “Responsibility of States for internationally wrongful acts” and to further examine, within the framework of a working group of the Sixth Committee, the question of a convention on responsibility of States for internationally wrongful acts or other appropriate action on the basis of the articles.</w:t>
      </w:r>
      <w:r>
        <w:rPr>
          <w:rFonts w:ascii="Times New Roman" w:eastAsia="Times New Roman" w:hAnsi="Times New Roman" w:cs="Times New Roman"/>
          <w:noProof/>
          <w:sz w:val="24"/>
          <w:szCs w:val="24"/>
        </w:rPr>
        <w:drawing>
          <wp:inline distT="0" distB="0" distL="0" distR="0">
            <wp:extent cx="151130" cy="142875"/>
            <wp:effectExtent l="19050" t="0" r="1270" b="0"/>
            <wp:docPr id="2638" name="Imagen 26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 Commission on Human Rights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a resolution adopted in 2003 on the situation of human rights in the Democratic Republic of the Congo, the UN Commission on Human Rights: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Noting</w:t>
      </w:r>
      <w:r w:rsidRPr="00BE407E">
        <w:rPr>
          <w:rFonts w:ascii="Times New Roman" w:eastAsia="Times New Roman" w:hAnsi="Times New Roman" w:cs="Times New Roman"/>
          <w:sz w:val="24"/>
          <w:szCs w:val="24"/>
          <w:lang w:val="en-US"/>
        </w:rPr>
        <w:t xml:space="preserve"> that the Democratic Republic of the Congo is a party to several international and regional human rights instruments and to several instruments pertaining to international humanitarian law,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 </w:t>
      </w:r>
      <w:r w:rsidRPr="00BE407E">
        <w:rPr>
          <w:rFonts w:ascii="Times New Roman" w:eastAsia="Times New Roman" w:hAnsi="Times New Roman" w:cs="Times New Roman"/>
          <w:i/>
          <w:iCs/>
          <w:sz w:val="24"/>
          <w:szCs w:val="24"/>
          <w:lang w:val="en-US"/>
        </w:rPr>
        <w:t>Condemns</w:t>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c</w:t>
      </w:r>
      <w:r w:rsidRPr="00BE407E">
        <w:rPr>
          <w:rFonts w:ascii="Times New Roman" w:eastAsia="Times New Roman" w:hAnsi="Times New Roman" w:cs="Times New Roman"/>
          <w:sz w:val="24"/>
          <w:szCs w:val="24"/>
          <w:lang w:val="en-US"/>
        </w:rPr>
        <w:t>) The reprisals against the civilian population in the territories controlled by RCD-Goma [Rally for Congolese Democracy-Goma] and MLC [Movement for the Liberation of Congo], especially the operation “Effacer le tableau” (“Clean the blackboard”) at the end of 2002, in addition to the exactions committed by the Union of Congolese Patriots (UPC), and stresses that the foreign forces which support RCD-Goma, MLC and UPC should also be held responsible for the massacres and atrocities that have occurred.</w:t>
      </w:r>
      <w:r>
        <w:rPr>
          <w:rFonts w:ascii="Times New Roman" w:eastAsia="Times New Roman" w:hAnsi="Times New Roman" w:cs="Times New Roman"/>
          <w:noProof/>
          <w:sz w:val="24"/>
          <w:szCs w:val="24"/>
        </w:rPr>
        <w:drawing>
          <wp:inline distT="0" distB="0" distL="0" distR="0">
            <wp:extent cx="151130" cy="142875"/>
            <wp:effectExtent l="19050" t="0" r="1270" b="0"/>
            <wp:docPr id="2639" name="Imagen 26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 Secretary-General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2001, in a report on the protection of civilians in armed conflict, the UN Secretary-General noted: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Armed groups have a direct responsibility, according to Article 3 common to the four Geneva Conventions of 1949 and to customary international humanitarian law, to protect civilian populations in armed conflict. International instruments require not only Governments but also armed groups to behave responsibly in conflict situations, and to take measures to ensure the basic needs and protection of civilian populations. Where Governments do not have resources and capacities to do this unaided, it is incumbent on them to invoke the support of the international system.</w:t>
      </w:r>
      <w:r>
        <w:rPr>
          <w:rFonts w:ascii="Times New Roman" w:eastAsia="Times New Roman" w:hAnsi="Times New Roman" w:cs="Times New Roman"/>
          <w:noProof/>
          <w:sz w:val="24"/>
          <w:szCs w:val="24"/>
        </w:rPr>
        <w:drawing>
          <wp:inline distT="0" distB="0" distL="0" distR="0">
            <wp:extent cx="151130" cy="142875"/>
            <wp:effectExtent l="19050" t="0" r="1270" b="0"/>
            <wp:docPr id="2640" name="Imagen 26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 Commission on Human Rights (Special Rapporteur)</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1995, in a report on the situation of human rights in the Sudan, the Special Rapporteur of the UN Commission on Human Rights, having described several cases of killing, abduction and looting committed by Sudan People’s Liberation Army (SPLA) soldiers, referred to a report of Operation Lifeline Sudan (OLS), noting: “Responsibility </w:t>
      </w:r>
      <w:r w:rsidRPr="00BE407E">
        <w:rPr>
          <w:rFonts w:ascii="Times New Roman" w:eastAsia="Times New Roman" w:hAnsi="Times New Roman" w:cs="Times New Roman"/>
          <w:sz w:val="24"/>
          <w:szCs w:val="24"/>
          <w:lang w:val="en-US"/>
        </w:rPr>
        <w:lastRenderedPageBreak/>
        <w:t>for the attack clearly lies with SPLA/M [Sudan People’s Liberation Army/Movement] and, as such, is a clear violation of the new ground rules.” In his conclusions and recommendations, the Special Rapporteur also noted: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Most of the reported gross violations and atrocities, especially killings and abduction of civilians, looting and hostage taking of relief workers, were committed during 1995 by dissident commanders, mainly those who had split from SSIA [Southern Sudan Independent Army] in previous years. SPLA bears responsibility for the violations and atrocities committed in 1995 by local commanders from its own ranks, although it has not been proved that they committed these actions on orders from the senior leadership, nor is it known whether they have been or will be pardoned by superiors.</w:t>
      </w:r>
      <w:r>
        <w:rPr>
          <w:rFonts w:ascii="Times New Roman" w:eastAsia="Times New Roman" w:hAnsi="Times New Roman" w:cs="Times New Roman"/>
          <w:noProof/>
          <w:sz w:val="24"/>
          <w:szCs w:val="24"/>
        </w:rPr>
        <w:drawing>
          <wp:inline distT="0" distB="0" distL="0" distR="0">
            <wp:extent cx="151130" cy="142875"/>
            <wp:effectExtent l="19050" t="0" r="1270" b="0"/>
            <wp:docPr id="2641" name="Imagen 26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1996, in a report on a mission to the Democratic People’s Republic of Korea, the Republic of Korea and Japan on the issue of military sexual slavery in wartime, the Special Rapporteur of the UN Commission on Human Rights on Violence against Women, Its Causes and Consequences recommended, </w:t>
      </w:r>
      <w:r w:rsidRPr="00BE407E">
        <w:rPr>
          <w:rFonts w:ascii="Times New Roman" w:eastAsia="Times New Roman" w:hAnsi="Times New Roman" w:cs="Times New Roman"/>
          <w:i/>
          <w:iCs/>
          <w:sz w:val="24"/>
          <w:szCs w:val="24"/>
          <w:lang w:val="en-US"/>
        </w:rPr>
        <w:t>inter alia</w:t>
      </w:r>
      <w:r w:rsidRPr="00BE407E">
        <w:rPr>
          <w:rFonts w:ascii="Times New Roman" w:eastAsia="Times New Roman" w:hAnsi="Times New Roman" w:cs="Times New Roman"/>
          <w:sz w:val="24"/>
          <w:szCs w:val="24"/>
          <w:lang w:val="en-US"/>
        </w:rPr>
        <w:t>, that, at the national level: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Government of Japan should: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 Acknowledge that the system of comfort stations set up by the Japanese Imperial Army during the Second World War was a violation of its obligations under international law and accept legal responsibility for that violation.</w:t>
      </w:r>
      <w:r>
        <w:rPr>
          <w:rFonts w:ascii="Times New Roman" w:eastAsia="Times New Roman" w:hAnsi="Times New Roman" w:cs="Times New Roman"/>
          <w:noProof/>
          <w:sz w:val="24"/>
          <w:szCs w:val="24"/>
        </w:rPr>
        <w:drawing>
          <wp:inline distT="0" distB="0" distL="0" distR="0">
            <wp:extent cx="151130" cy="142875"/>
            <wp:effectExtent l="19050" t="0" r="1270" b="0"/>
            <wp:docPr id="2642" name="Imagen 26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 Commission on the Truth for El Salvador</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its report in 1993, the UN Commission on the Truth for El Salvador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State of El Salvador, through the activities of members of the armed forces and/or civilian officials, is responsible for having taken part in, encouraged and tolerated the operations of the death squads which illegally attacked members of the civilian population.</w:t>
      </w:r>
      <w:r>
        <w:rPr>
          <w:rFonts w:ascii="Times New Roman" w:eastAsia="Times New Roman" w:hAnsi="Times New Roman" w:cs="Times New Roman"/>
          <w:noProof/>
          <w:sz w:val="24"/>
          <w:szCs w:val="24"/>
        </w:rPr>
        <w:drawing>
          <wp:inline distT="0" distB="0" distL="0" distR="0">
            <wp:extent cx="151130" cy="142875"/>
            <wp:effectExtent l="19050" t="0" r="1270" b="0"/>
            <wp:docPr id="2643" name="Imagen 26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International Law Commission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Commentary on Article 5 of the 1991 ILC Draft Code of Crimes against the Peace and Security of Mankind, the International Law Commission stated: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State may thus remain responsible and be unable to exonerate itself from responsibility by invoking the prosecution or punishment of the individuals who committed the crime. It could be obliged to make reparation for injury caused by its agents.</w:t>
      </w:r>
      <w:r>
        <w:rPr>
          <w:rFonts w:ascii="Times New Roman" w:eastAsia="Times New Roman" w:hAnsi="Times New Roman" w:cs="Times New Roman"/>
          <w:noProof/>
          <w:sz w:val="24"/>
          <w:szCs w:val="24"/>
        </w:rPr>
        <w:drawing>
          <wp:inline distT="0" distB="0" distL="0" distR="0">
            <wp:extent cx="151130" cy="142875"/>
            <wp:effectExtent l="19050" t="0" r="1270" b="0"/>
            <wp:docPr id="2644" name="Imagen 26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Article 14(3) of the 1996 version of the ILC Draft Articles on State Responsibility, provisionally adopted on first reading, stated that the fact that the conduct of an organ of an insurrectional movement was not to be considered an act of State “is without prejudice to the attribution of the conduct of the organ of the insurrectional movement to that movement in any case in which such attribution may be made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645" name="Imagen 26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Turning to the substance of the rules stated in the two articles, the first point to note is that article 14, paragraph 3 deals with the international responsibility of liberation movements which are, </w:t>
      </w:r>
      <w:r w:rsidRPr="00BE407E">
        <w:rPr>
          <w:rFonts w:ascii="Times New Roman" w:eastAsia="Times New Roman" w:hAnsi="Times New Roman" w:cs="Times New Roman"/>
          <w:i/>
          <w:iCs/>
          <w:sz w:val="24"/>
          <w:szCs w:val="24"/>
          <w:lang w:val="en-US"/>
        </w:rPr>
        <w:t>ex hypothesi</w:t>
      </w:r>
      <w:r w:rsidRPr="00BE407E">
        <w:rPr>
          <w:rFonts w:ascii="Times New Roman" w:eastAsia="Times New Roman" w:hAnsi="Times New Roman" w:cs="Times New Roman"/>
          <w:sz w:val="24"/>
          <w:szCs w:val="24"/>
          <w:lang w:val="en-US"/>
        </w:rPr>
        <w:t>, not States. It therefore falls outside the scope of the draft articles and should be omitted. The responsibility of such movements, for example, for breaches of international humanitarian law, can certainly be envisaged, but this can be dealt with in the commentary.</w:t>
      </w:r>
      <w:r>
        <w:rPr>
          <w:rFonts w:ascii="Times New Roman" w:eastAsia="Times New Roman" w:hAnsi="Times New Roman" w:cs="Times New Roman"/>
          <w:noProof/>
          <w:sz w:val="24"/>
          <w:szCs w:val="24"/>
        </w:rPr>
        <w:drawing>
          <wp:inline distT="0" distB="0" distL="0" distR="0">
            <wp:extent cx="151130" cy="142875"/>
            <wp:effectExtent l="19050" t="0" r="1270" b="0"/>
            <wp:docPr id="2646" name="Imagen 26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2001, in its commentary on Article 7 of the Draft Articles on State Responsibility, the International Law Commission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(7) The central issue to be addressed in determining the applicability of article 7 to unauthorized conduct of official bodies is whether the conduct was performed by the body in an official capacity or not. Cases where officials acted in their capacity as such, albeit unlawfully or contrary to instructions, must be distinguished from cases where the </w:t>
      </w:r>
      <w:r w:rsidRPr="00BE407E">
        <w:rPr>
          <w:rFonts w:ascii="Times New Roman" w:eastAsia="Times New Roman" w:hAnsi="Times New Roman" w:cs="Times New Roman"/>
          <w:sz w:val="24"/>
          <w:szCs w:val="24"/>
          <w:lang w:val="en-US"/>
        </w:rPr>
        <w:lastRenderedPageBreak/>
        <w:t>conduct is so removed from the scope of their official functions that it should be assimilated to that of private individuals, not attributable to the State. In the words of the Iran-United States Claims Tribunal, the question is whether the conduct has been “carried out by persons cloaked with governmental authority”.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(8) The problem of drawing the line between unauthorized but still “official” conduct, on the one hand, and “private” conduct on the other, may be avoided if the conduct complained of is systematic or recurrent, such that the State knew or ought to have known of it and should have taken steps to prevent it. However, the distinction between the two situations still needs to be made in some cases, for example when considering isolated instances of outrageous conduct on the part of persons who are officials. That distinction is reflected in the expression “if the organ, person or entity acts in that capacity” in article 7. This indicates that the conduct referred to comprises only the actions and omissions of organs purportedly or apparently carrying out their official functions, and not the private actions or omissions of individuals who happen to be organs or agents of the State. In short, the question is whether they were acting with apparent authority.</w:t>
      </w:r>
      <w:r>
        <w:rPr>
          <w:rFonts w:ascii="Times New Roman" w:eastAsia="Times New Roman" w:hAnsi="Times New Roman" w:cs="Times New Roman"/>
          <w:noProof/>
          <w:sz w:val="24"/>
          <w:szCs w:val="24"/>
        </w:rPr>
        <w:drawing>
          <wp:inline distT="0" distB="0" distL="0" distR="0">
            <wp:extent cx="151130" cy="142875"/>
            <wp:effectExtent l="19050" t="0" r="1270" b="0"/>
            <wp:docPr id="2647" name="Imagen 26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any event it is a matter for appreciation in each case whether particular conduct was or was not carried out under the control of a State, to such an extent that the conduct controlled should be attributed to it.</w:t>
      </w:r>
      <w:r>
        <w:rPr>
          <w:rFonts w:ascii="Times New Roman" w:eastAsia="Times New Roman" w:hAnsi="Times New Roman" w:cs="Times New Roman"/>
          <w:noProof/>
          <w:sz w:val="24"/>
          <w:szCs w:val="24"/>
        </w:rPr>
        <w:drawing>
          <wp:inline distT="0" distB="0" distL="0" distR="0">
            <wp:extent cx="151130" cy="142875"/>
            <wp:effectExtent l="19050" t="0" r="1270" b="0"/>
            <wp:docPr id="2648" name="Imagen 26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8" w:history="1">
        <w:r w:rsidRPr="00BE407E">
          <w:rPr>
            <w:rFonts w:ascii="Times New Roman" w:eastAsia="Times New Roman" w:hAnsi="Times New Roman" w:cs="Times New Roman"/>
            <w:color w:val="0000FF"/>
            <w:sz w:val="24"/>
            <w:szCs w:val="24"/>
            <w:u w:val="single"/>
            <w:lang w:val="en-US"/>
          </w:rPr>
          <w:t>VIII. Other International Organizations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No data.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79" w:history="1">
        <w:r w:rsidRPr="00BE407E">
          <w:rPr>
            <w:rFonts w:ascii="Times New Roman" w:eastAsia="Times New Roman" w:hAnsi="Times New Roman" w:cs="Times New Roman"/>
            <w:color w:val="0000FF"/>
            <w:sz w:val="24"/>
            <w:szCs w:val="24"/>
            <w:u w:val="single"/>
            <w:lang w:val="en-US"/>
          </w:rPr>
          <w:t>IX. International Conferences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Conference of High Contracting Parties to the Fourth Geneva Convention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 Conference of High Contracting Parties to the Fourth Geneva Convention in 2001 adopted a declaration stating: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participating High Contracting Parties recall that according to art. 148 [of the 1949 Geneva Convention IV] no High Contracting Party shall be allowed to absolve itself of any liability incurred by itself in respect to grave breaches.</w:t>
      </w:r>
      <w:r>
        <w:rPr>
          <w:rFonts w:ascii="Times New Roman" w:eastAsia="Times New Roman" w:hAnsi="Times New Roman" w:cs="Times New Roman"/>
          <w:noProof/>
          <w:sz w:val="24"/>
          <w:szCs w:val="24"/>
        </w:rPr>
        <w:drawing>
          <wp:inline distT="0" distB="0" distL="0" distR="0">
            <wp:extent cx="151130" cy="142875"/>
            <wp:effectExtent l="19050" t="0" r="1270" b="0"/>
            <wp:docPr id="2649" name="Imagen 26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80" w:history="1">
        <w:r w:rsidRPr="00BE407E">
          <w:rPr>
            <w:rFonts w:ascii="Times New Roman" w:eastAsia="Times New Roman" w:hAnsi="Times New Roman" w:cs="Times New Roman"/>
            <w:color w:val="0000FF"/>
            <w:sz w:val="24"/>
            <w:szCs w:val="24"/>
            <w:u w:val="single"/>
            <w:lang w:val="en-US"/>
          </w:rPr>
          <w:t>X. International and Mixed Judicial and Quasi-judicial Bodies</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International Court of Justice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the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case (Merits)</w:t>
      </w:r>
      <w:r w:rsidRPr="00BE407E">
        <w:rPr>
          <w:rFonts w:ascii="Times New Roman" w:eastAsia="Times New Roman" w:hAnsi="Times New Roman" w:cs="Times New Roman"/>
          <w:sz w:val="24"/>
          <w:szCs w:val="24"/>
          <w:lang w:val="en-US"/>
        </w:rPr>
        <w:t xml:space="preserve"> in 1986, the ICJ, with respect to a possible responsibility of the US for the activities of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United States participation, even if preponderant and decisive, in the financing, organizing, training, supplying and equipping of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xml:space="preserve">, the selection of its military or paramilitary targets, and the planning of the whole of its operations, is still insufficient in itself, on the basis of the evidence in the possession of the Court, for the purpose of attributing to the United States the acts committed by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xml:space="preserve"> in the course of their military or paramilitary operations in Nicaragua. All the forms of United States participation mentioned above, and even the general control by the respondent State over a force with a high degree of dependency on it, would not in themselves mean, without further evidence, that the United States directed or enforced the perpetration of the acts contrary to human rights and humanitarian law alleged by the applicant State. Such acts could well be committed by members of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xml:space="preserve"> without the control of the United States. For this conduct to give rise to legal responsibility of the United States, it would in principle have to be proved that that State had effective control of the military or paramilitary operations in the course of which the alleged violations were committed.</w:t>
      </w:r>
      <w:r>
        <w:rPr>
          <w:rFonts w:ascii="Times New Roman" w:eastAsia="Times New Roman" w:hAnsi="Times New Roman" w:cs="Times New Roman"/>
          <w:noProof/>
          <w:sz w:val="24"/>
          <w:szCs w:val="24"/>
        </w:rPr>
        <w:drawing>
          <wp:inline distT="0" distB="0" distL="0" distR="0">
            <wp:extent cx="151130" cy="142875"/>
            <wp:effectExtent l="19050" t="0" r="1270" b="0"/>
            <wp:docPr id="2650" name="Imagen 26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lastRenderedPageBreak/>
        <w:t xml:space="preserve">In its judgment in the </w:t>
      </w:r>
      <w:r w:rsidRPr="00BE407E">
        <w:rPr>
          <w:rFonts w:ascii="Times New Roman" w:eastAsia="Times New Roman" w:hAnsi="Times New Roman" w:cs="Times New Roman"/>
          <w:i/>
          <w:iCs/>
          <w:sz w:val="24"/>
          <w:szCs w:val="24"/>
          <w:lang w:val="en-US"/>
        </w:rPr>
        <w:t>Armed Activities on the Territory of the Congo case (DRC v. Uganda)</w:t>
      </w:r>
      <w:r w:rsidRPr="00BE407E">
        <w:rPr>
          <w:rFonts w:ascii="Times New Roman" w:eastAsia="Times New Roman" w:hAnsi="Times New Roman" w:cs="Times New Roman"/>
          <w:sz w:val="24"/>
          <w:szCs w:val="24"/>
          <w:lang w:val="en-US"/>
        </w:rPr>
        <w:t xml:space="preserve"> in 2005, the ICJ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179. The Court, having concluded that Uganda was an occupying Power in Ituri at the relevant time, finds that Uganda’s responsibility is engaged both for any acts of its military that violated its international obligations and for any lack of vigilance in preventing violations of human rights and international humanitarian law by other actors present in the occupied territory, including rebel groups acting on their own account.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213. The Court turns now to the question as to whether acts and omissions of the UPDF [Uganda Peoples’ Defence Forces] and its officers and soldiers are attributable to Uganda. The conduct of the UPDF as a whole is clearly attributable to Uganda, being the conduct of a State organ. According to a well-established rule of international law, which is of customary character, “the conduct of any organ of a State must be regarded as an act of that State” (</w:t>
      </w:r>
      <w:r w:rsidRPr="00BE407E">
        <w:rPr>
          <w:rFonts w:ascii="Times New Roman" w:eastAsia="Times New Roman" w:hAnsi="Times New Roman" w:cs="Times New Roman"/>
          <w:i/>
          <w:iCs/>
          <w:sz w:val="24"/>
          <w:szCs w:val="24"/>
          <w:lang w:val="en-US"/>
        </w:rPr>
        <w:t>Difference Relating to Immunity from Legal Process of a Special Rapporteur of the Commission on Human Rights, Advisory Opinion, I.C.J. Reports 1999 (I)</w:t>
      </w:r>
      <w:r w:rsidRPr="00BE407E">
        <w:rPr>
          <w:rFonts w:ascii="Times New Roman" w:eastAsia="Times New Roman" w:hAnsi="Times New Roman" w:cs="Times New Roman"/>
          <w:sz w:val="24"/>
          <w:szCs w:val="24"/>
          <w:lang w:val="en-US"/>
        </w:rPr>
        <w:t>, p. 87, para. 62). The conduct of individual soldiers and officers of the UPDF is to be considered as the conduct of a State organ. In the Court’s view, by virtue of the military status and function of Ugandan soldiers in the DRC, their conduct is attributable to Uganda. The contention that the persons concerned did not act in the capacity of persons exercising governmental authority in the particular circumstances, is therefore without merit.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214. It is furthermore irrelevant for the attribution of their conduct to Uganda whether the UPDF personnel acted contrary to the instructions given or exceeded their authority. According to a well-established rule of a customary nature, as reflected in Article 3 of the Fourth Hague Convention respecting the Laws and Customs of War on Land of 1907 as well as in Article 91 of Protocol I additional to the Geneva Conventions of 1949, a party to an armed conflict shall be responsible for all acts by persons forming part of its armed forces.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220. The Court thus concludes that Uganda is internationally responsible for violations of international human rights law and international humanitarian law committed by the UPDF and by its members in the territory of the DRC and for failing to comply with its obligations as an occupying Power in Ituri in respect of violations of international human rights law and international humanitarian law in the occupied territory.</w:t>
      </w:r>
      <w:r>
        <w:rPr>
          <w:rFonts w:ascii="Times New Roman" w:eastAsia="Times New Roman" w:hAnsi="Times New Roman" w:cs="Times New Roman"/>
          <w:noProof/>
          <w:sz w:val="24"/>
          <w:szCs w:val="24"/>
        </w:rPr>
        <w:drawing>
          <wp:inline distT="0" distB="0" distL="0" distR="0">
            <wp:extent cx="151130" cy="142875"/>
            <wp:effectExtent l="19050" t="0" r="1270" b="0"/>
            <wp:docPr id="2651" name="Imagen 26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Republic of Uganda, by the conduct of its armed forces, which committed acts of killing, torture and other forms of inhumane treatment of the Congolese civilian population, destroyed villages and civilian buildings, failed to distinguish between civilian and military targets and to protect the civilian population in fighting with other combatants, trained child soldiers, incited ethnic conflict and failed to take measures to put an end to such conflict; as well as by its failure, as an occupying Power, to take measures to respect and ensure respect for human rights and international humanitarian law in Ituri district.</w:t>
      </w:r>
      <w:r>
        <w:rPr>
          <w:rFonts w:ascii="Times New Roman" w:eastAsia="Times New Roman" w:hAnsi="Times New Roman" w:cs="Times New Roman"/>
          <w:noProof/>
          <w:sz w:val="24"/>
          <w:szCs w:val="24"/>
        </w:rPr>
        <w:drawing>
          <wp:inline distT="0" distB="0" distL="0" distR="0">
            <wp:extent cx="151130" cy="142875"/>
            <wp:effectExtent l="19050" t="0" r="1270" b="0"/>
            <wp:docPr id="2652" name="Imagen 26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judgment on the merits in the </w:t>
      </w:r>
      <w:r w:rsidRPr="00BE407E">
        <w:rPr>
          <w:rFonts w:ascii="Times New Roman" w:eastAsia="Times New Roman" w:hAnsi="Times New Roman" w:cs="Times New Roman"/>
          <w:i/>
          <w:iCs/>
          <w:sz w:val="24"/>
          <w:szCs w:val="24"/>
          <w:lang w:val="en-US"/>
        </w:rPr>
        <w:t>Application of the Convention on the Prevention and Punishment of the Crime of Genocide case (Bosnia and Herzegovina v. Serbia and Montenegro)</w:t>
      </w:r>
      <w:r w:rsidRPr="00BE407E">
        <w:rPr>
          <w:rFonts w:ascii="Times New Roman" w:eastAsia="Times New Roman" w:hAnsi="Times New Roman" w:cs="Times New Roman"/>
          <w:sz w:val="24"/>
          <w:szCs w:val="24"/>
          <w:lang w:val="en-US"/>
        </w:rPr>
        <w:t xml:space="preserve"> in 2007, the ICJ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147. The jurisdiction of the Court in this case is based solely on Article IX of the [1948 Genocide] Convention. All the other grounds of jurisdiction invoked by the Applicant were rejected in the 1996 Judgment on jurisdiction … It follows that the Court may rule only on the disputes between the Parties to which [Article IX of the 1948 Genocide </w:t>
      </w:r>
      <w:r w:rsidRPr="00BE407E">
        <w:rPr>
          <w:rFonts w:ascii="Times New Roman" w:eastAsia="Times New Roman" w:hAnsi="Times New Roman" w:cs="Times New Roman"/>
          <w:sz w:val="24"/>
          <w:szCs w:val="24"/>
          <w:lang w:val="en-US"/>
        </w:rPr>
        <w:lastRenderedPageBreak/>
        <w:t xml:space="preserve">Convention] refers … It has no power to rule on alleged breaches of other obligations under international law, not amounting to genocide, particularly those protecting human rights in armed conflict. That is so even if the alleged breaches are of obligations under peremptory norms, or of obligations which protect essential humanitarian values, and which may be owed </w:t>
      </w:r>
      <w:r w:rsidRPr="00BE407E">
        <w:rPr>
          <w:rFonts w:ascii="Times New Roman" w:eastAsia="Times New Roman" w:hAnsi="Times New Roman" w:cs="Times New Roman"/>
          <w:i/>
          <w:iCs/>
          <w:sz w:val="24"/>
          <w:szCs w:val="24"/>
          <w:lang w:val="en-US"/>
        </w:rPr>
        <w:t>erga omnes</w:t>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148. As it has in other cases, the Court recalls the fundamental distinction between the existence and binding force of obligations arising under international law and the existence of a court or tribunal with jurisdiction to resolve disputes about compliance with those obligations. The fact that there is not such a court or tribunal does not mean that the obligations do not exist. They retain their validity and legal force. States are required to fulfil their obligations under international law, including international humanitarian law, and they remain responsible for acts contrary to international law which are attributable to them (e.g. case concerning </w:t>
      </w:r>
      <w:r w:rsidRPr="00BE407E">
        <w:rPr>
          <w:rFonts w:ascii="Times New Roman" w:eastAsia="Times New Roman" w:hAnsi="Times New Roman" w:cs="Times New Roman"/>
          <w:i/>
          <w:iCs/>
          <w:sz w:val="24"/>
          <w:szCs w:val="24"/>
          <w:lang w:val="en-US"/>
        </w:rPr>
        <w:t>Armed Activities on the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 xml:space="preserve">Territory of the Congo (New Application: 2002) (Democratic Republic of the Congo </w:t>
      </w:r>
      <w:r w:rsidRPr="00BE407E">
        <w:rPr>
          <w:rFonts w:ascii="Times New Roman" w:eastAsia="Times New Roman" w:hAnsi="Times New Roman" w:cs="Times New Roman"/>
          <w:sz w:val="24"/>
          <w:szCs w:val="24"/>
          <w:lang w:val="en-US"/>
        </w:rPr>
        <w:t xml:space="preserve">v. </w:t>
      </w:r>
      <w:r w:rsidRPr="00BE407E">
        <w:rPr>
          <w:rFonts w:ascii="Times New Roman" w:eastAsia="Times New Roman" w:hAnsi="Times New Roman" w:cs="Times New Roman"/>
          <w:i/>
          <w:iCs/>
          <w:sz w:val="24"/>
          <w:szCs w:val="24"/>
          <w:lang w:val="en-US"/>
        </w:rPr>
        <w:t>Rwanda),</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Jurisdiction of the Court and Admissibility of the Application, Judgment, I.C.J. Reports 2006</w:t>
      </w:r>
      <w:r w:rsidRPr="00BE407E">
        <w:rPr>
          <w:rFonts w:ascii="Times New Roman" w:eastAsia="Times New Roman" w:hAnsi="Times New Roman" w:cs="Times New Roman"/>
          <w:sz w:val="24"/>
          <w:szCs w:val="24"/>
          <w:lang w:val="en-US"/>
        </w:rPr>
        <w:t>, pp. 52–53, para. 127).</w:t>
      </w:r>
      <w:r>
        <w:rPr>
          <w:rFonts w:ascii="Times New Roman" w:eastAsia="Times New Roman" w:hAnsi="Times New Roman" w:cs="Times New Roman"/>
          <w:noProof/>
          <w:sz w:val="24"/>
          <w:szCs w:val="24"/>
        </w:rPr>
        <w:drawing>
          <wp:inline distT="0" distB="0" distL="0" distR="0">
            <wp:extent cx="151130" cy="142875"/>
            <wp:effectExtent l="19050" t="0" r="1270" b="0"/>
            <wp:docPr id="2653" name="Imagen 26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171. [An] argument of the Respondent is that the nature of the [1948 Genocide] Convention is such as to exclude from its scope State responsibility for genocide and the other enumerated acts. The Convention, it is said, is a standard international criminal law convention focussed essentially on the criminal prosecution and punishment of individuals and not on the responsibility of States. The emphasis of the Convention on the obligations and responsibility of individuals excludes any possibility of States being liable and responsible in the event of breach of the obligations reflected in Article III. In particular, it is said, that possibility cannot stand in the face of the references, in Article III to punishment (of individuals), and in Article IV to individuals being punished, and the requirement, in Article V for legislation in particular for effective penalties for persons guilty of genocide, the provision in Article VI for the prosecution of persons charged with genocide, and requirement in Article VII for extradition.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172. The Court is mindful of the fact that the famous sentence in the Nuremberg Judgment that “[c]rimes against international law are committed by men, not by abstract entities …” (Judgment of the International Military Tribunal, Trial of the Major War Criminals, 1947, </w:t>
      </w:r>
      <w:r w:rsidRPr="00BE407E">
        <w:rPr>
          <w:rFonts w:ascii="Times New Roman" w:eastAsia="Times New Roman" w:hAnsi="Times New Roman" w:cs="Times New Roman"/>
          <w:i/>
          <w:iCs/>
          <w:sz w:val="24"/>
          <w:szCs w:val="24"/>
          <w:lang w:val="en-US"/>
        </w:rPr>
        <w:t>Official</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Documents</w:t>
      </w:r>
      <w:r w:rsidRPr="00BE407E">
        <w:rPr>
          <w:rFonts w:ascii="Times New Roman" w:eastAsia="Times New Roman" w:hAnsi="Times New Roman" w:cs="Times New Roman"/>
          <w:sz w:val="24"/>
          <w:szCs w:val="24"/>
          <w:lang w:val="en-US"/>
        </w:rPr>
        <w:t>, Vol. 1, p. 223) might be invoked in support of the proposition that only individuals can breach the obligations set out in Article III. But the Court notes that that Tribunal was answering the argument that “international law is concerned with the actions of sovereign States, and provides no punishment for individuals”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p. 222), and that thus States alone were responsible under international law. The Tribunal rejected that argument in the following terms: “[t]hat international law imposes duties and liabilities upon individuals as well as upon States has long been recognized”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p. 223; the phrase “as well as upon States” is missing in the French text of the Judgment).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173. The Court observes that that duality of responsibility continues to be a constant feature of international law. This feature is reflected in Article 25, paragraph 4, of the Rome Statute for the International Criminal Court, now accepted by 104 States: “No provision in this Statute relating to individual criminal responsibility shall affect the responsibility of States under international law.” The Court notes also that the ILC’s Articles on the Responsibility of States for Internationally Wrongful Acts (Annex to General Assembly resolution 56/83, 12 December 2001), to be referred to hereinafter as “the ILC Articles on State Responsibility”, affirm in Article 58 the other side of the coin: “These articles are without prejudice to any question of the individual </w:t>
      </w:r>
      <w:r w:rsidRPr="00BE407E">
        <w:rPr>
          <w:rFonts w:ascii="Times New Roman" w:eastAsia="Times New Roman" w:hAnsi="Times New Roman" w:cs="Times New Roman"/>
          <w:sz w:val="24"/>
          <w:szCs w:val="24"/>
          <w:lang w:val="en-US"/>
        </w:rPr>
        <w:lastRenderedPageBreak/>
        <w:t>responsibility under international law of any person acting on behalf of a State.” In its Commentary on this provision, the Commission said: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“Where crimes against international law are committed by State officials, it will often be the case that the State itself is responsible for the acts in question or for failure to prevent or punish them. In certain cases, in particular aggression, the State will by definition be involved. Even so, the question of individual responsibility is in principle distinct from the question of State responsibility. The State is not exempted from its own responsibility for internationally wrongful conduct by the prosecution and punishment of the State officials who carried it out.” (ILC Commentary on the Draft Articles on Responsibility of States for Internationally Wrongful Acts, ILC Report A/56/10, 2001, Commentary on Article 58, para. 3.)</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Commission quoted Article 25, paragraph 4, of the Rome Statute, and concluded as follows: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“Article 58 … [makes] it clear that the Articles do not address the question of the individual responsibility under international law of any person acting on behalf of a State. The term ‘individual responsibility’ has acquired an accepted meaning in light of the Rome Statute and other instruments; it refers to the responsibility of individual persons, including State officials, under certain rules of international law for conduct such as genocide , war crimes and crimes against humanity.”</w:t>
      </w:r>
      <w:r>
        <w:rPr>
          <w:rFonts w:ascii="Times New Roman" w:eastAsia="Times New Roman" w:hAnsi="Times New Roman" w:cs="Times New Roman"/>
          <w:noProof/>
          <w:sz w:val="24"/>
          <w:szCs w:val="24"/>
        </w:rPr>
        <w:drawing>
          <wp:inline distT="0" distB="0" distL="0" distR="0">
            <wp:extent cx="151130" cy="142875"/>
            <wp:effectExtent l="19050" t="0" r="1270" b="0"/>
            <wp:docPr id="2654" name="Imagen 26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xml:space="preserve">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 [T]he Court now must ascertain whether the international responsibility of the Respondent can have been incurred, on whatever basis, in connection with the massacres committed in the Srebrenica area during the period in question. For the reasons set out above, those massacres constituted the crime of genocide within the meaning of the Convention. For this purpose, the Court may be required to consider the following three issues in turn. First, it needs to be determined whether the acts of genocide could be attributed to the Respondent under the rules of customary international law of State responsibility; this means ascertaining whether the acts were committed by persons or organs whose conduct is attributable, specifically in the case of the events at Srebrenica, to the Respondent. Second, the Court will need to ascertain whether acts of the kind referred to in Article III of the Convention, other than genocide itself, were committed by persons or organs whose conduct is attributable to the Respondent under those same rules of State responsibility: that is to say, the acts referred to in Article III, paragraphs </w:t>
      </w:r>
      <w:r w:rsidRPr="00BE407E">
        <w:rPr>
          <w:rFonts w:ascii="Times New Roman" w:eastAsia="Times New Roman" w:hAnsi="Times New Roman" w:cs="Times New Roman"/>
          <w:i/>
          <w:iCs/>
          <w:sz w:val="24"/>
          <w:szCs w:val="24"/>
          <w:lang w:val="en-US"/>
        </w:rPr>
        <w:t xml:space="preserve">(b) </w:t>
      </w:r>
      <w:r w:rsidRPr="00BE407E">
        <w:rPr>
          <w:rFonts w:ascii="Times New Roman" w:eastAsia="Times New Roman" w:hAnsi="Times New Roman" w:cs="Times New Roman"/>
          <w:sz w:val="24"/>
          <w:szCs w:val="24"/>
          <w:lang w:val="en-US"/>
        </w:rPr>
        <w:t xml:space="preserve">to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one of these being complicity in genocide. Finally, it will be for the Court to rule on the issue as to whether the Respondent complied with its twofold obligation deriving from Article I of the Convention to prevent and punish genocide.</w:t>
      </w:r>
      <w:r>
        <w:rPr>
          <w:rFonts w:ascii="Times New Roman" w:eastAsia="Times New Roman" w:hAnsi="Times New Roman" w:cs="Times New Roman"/>
          <w:noProof/>
          <w:sz w:val="24"/>
          <w:szCs w:val="24"/>
        </w:rPr>
        <w:drawing>
          <wp:inline distT="0" distB="0" distL="0" distR="0">
            <wp:extent cx="151130" cy="142875"/>
            <wp:effectExtent l="19050" t="0" r="1270" b="0"/>
            <wp:docPr id="2655" name="Imagen 26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384. Having thus explained the interrelationship among the three issues set out above … , the Court will now proceed to consider the first of them. This is the question whether the massacres committed at Srebrenica during the period in question, which constitute the crime of genocide within the meaning of Articles II and III, paragraph </w:t>
      </w:r>
      <w:r w:rsidRPr="00BE407E">
        <w:rPr>
          <w:rFonts w:ascii="Times New Roman" w:eastAsia="Times New Roman" w:hAnsi="Times New Roman" w:cs="Times New Roman"/>
          <w:i/>
          <w:iCs/>
          <w:sz w:val="24"/>
          <w:szCs w:val="24"/>
          <w:lang w:val="en-US"/>
        </w:rPr>
        <w:t>(a)</w:t>
      </w:r>
      <w:r w:rsidRPr="00BE407E">
        <w:rPr>
          <w:rFonts w:ascii="Times New Roman" w:eastAsia="Times New Roman" w:hAnsi="Times New Roman" w:cs="Times New Roman"/>
          <w:sz w:val="24"/>
          <w:szCs w:val="24"/>
          <w:lang w:val="en-US"/>
        </w:rPr>
        <w:t>, of the Convention, are attributable, in whole or in part, to the Respondent. This question has in fact two aspects, which the Court must consider separately. First, it should be ascertained whether the acts committed at Srebrenica were perpetrated by organs of the Respondent, i.e., by persons or entities whose conduct is necessarily attributable to it, because they are in fact the instruments of its action. Next, if the preceding question is answered in the negative, it should be ascertained whether the acts in question were committed by persons who, while not organs of the Respondent, did nevertheless act on the instructions of, or under the direction or control of, the Respondent.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 The question of attribution of the Srebrenica genocide to the Respondent on the basis of the conduct of its organs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385. The first of these two questions relates to the well-established rule, one of the cornerstones of the law of State responsibility, that the conduct of any State organ is to be considered an act of the State under international law, and therefore gives rise to the responsibility of the State if it constitutes a breach of an international obligation of the State. This rule, which is one of customary international law, is reflected in Article 4 of the ILC Articles on State Responsibility as follows: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Article 4</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i/>
          <w:iCs/>
          <w:sz w:val="24"/>
          <w:szCs w:val="24"/>
          <w:lang w:val="en-US"/>
        </w:rPr>
        <w:t>Conduct of organs of a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1. The conduct of any State organ shall be considered an act of that State under international law, whether the organ exercises legislative, executive, judicial or any other functions, whatever position it holds in the organization of the State, and whatever its character as an organ of the central Government or of a territorial unit of the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2. An organ includes any person or entity which has that status in accordance with the internal law of the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386. When applied to the present case, this rule first calls for a determination whether the acts of genocide committed in Srebrenica were perpetrated by “persons or entities” having the status of organs of the Federal Republic of Yugoslavia (as the Respondent was known at the time) under its internal law, as then in force. It must be said that there is nothing which could justify an affirmative response to this question. It has not been shown that the FRY army took part in the massacres, nor that the political leaders of the FRY had a hand in preparing, planning or in any way carrying out the massacres. It is true that there is much evidence of direct or indirect participation by the official army of the FRY, along with the Bosnian Serb armed forces, in military operations in Bosnia and Herzegovina in the years prior to the events at Srebrenica. That participation was repeatedly condemned by the political organs of the United Nations, which demanded that the FRY put an end to it (see, for example, Security Council resolutions 752 (1992), 757 (1992), 762 (1992), 819 (1993), 838 (1993)). It has however not been shown that there was any such participation in relation to the massacres committed at Srebrenica (see also paragraphs 278 to 297 above). Further, neither the Republika Srpska, nor the VRS [Republika Srpska army] were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organs of the FRY, since none of them had the status of organ of that State under its internal law.</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387. The Applicant has however claimed that all officers in the VRS, including General Mladić, remained under FRY military administration, and that their salaries were paid from Belgrade right up to 2002, and accordingly contends that these officers “were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 xml:space="preserve">organs of [the FRY], intended by their superiors to serve in Bosnia and Herzegovina with the VRS”. On this basis it has been alleged by the Applicant that those officers, in addition to being officers of the VRS, remained officers of the VJ, and were thus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organs of the Respondent (paragraph 238 above). The Respondent however asserts that only some of the VRS officers were being “administered” by the 30th Personnel Centre in Belgrade, so that matters like their payment, promotion, pension, etc., were being handled from the FRY (paragraph 238 above); and that it has not been clearly established whether General Mladić was one of them. The Applicant has shown that the promotion of Mladić to the rank of Colonel General on 24 June 1994 was handled in Belgrade, but the Respondent emphasizes that this was merely a verification for administrative purposes of a promotion decided by the authorities of the Republika Srpska.</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388. The Court notes first that no evidence has been presented that either General Mladić or any of the other officers whose affairs were handled by the 30th Personnel Centre were, according to the internal law of the Respondent, officers of the army of the Respondent – a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 xml:space="preserve">organ of the Respondent. Nor has it been conclusively </w:t>
      </w:r>
      <w:r w:rsidRPr="00BE407E">
        <w:rPr>
          <w:rFonts w:ascii="Times New Roman" w:eastAsia="Times New Roman" w:hAnsi="Times New Roman" w:cs="Times New Roman"/>
          <w:sz w:val="24"/>
          <w:szCs w:val="24"/>
          <w:lang w:val="en-US"/>
        </w:rPr>
        <w:lastRenderedPageBreak/>
        <w:t xml:space="preserve">established that General Mladić was one of those officers; and even on the basis that he might have been, the Court does not consider that he would, for that reason alone, have to be treated as an organ of the FRY for the purposes of the application of the rules of State responsibility. There is no doubt that the FRY was providing substantial support, </w:t>
      </w:r>
      <w:r w:rsidRPr="00BE407E">
        <w:rPr>
          <w:rFonts w:ascii="Times New Roman" w:eastAsia="Times New Roman" w:hAnsi="Times New Roman" w:cs="Times New Roman"/>
          <w:i/>
          <w:iCs/>
          <w:sz w:val="24"/>
          <w:szCs w:val="24"/>
          <w:lang w:val="en-US"/>
        </w:rPr>
        <w:t>inter alia</w:t>
      </w:r>
      <w:r w:rsidRPr="00BE407E">
        <w:rPr>
          <w:rFonts w:ascii="Times New Roman" w:eastAsia="Times New Roman" w:hAnsi="Times New Roman" w:cs="Times New Roman"/>
          <w:sz w:val="24"/>
          <w:szCs w:val="24"/>
          <w:lang w:val="en-US"/>
        </w:rPr>
        <w:t>, financial support, to the Republika Srpska (cf. paragraph 241 above), and that one of the forms that support took was payment of salaries and other benefits to some officers of the VRS, but this did not automatically make them organs of the FRY. Those officers were appointed to their commands by the President of the Republika Srpska, and were subordinated to the political leadership of the Republika Srpska. In the absence of evidence to the contrary, those officers must be taken to have received their orders from the Republika Srpska or the VRS, not from the FRY. The expression “State organ”, as used in customary international law and in Article 4 of the ILC Articles, applies to one or other of the individual or collective entities which make up the organization of the State and act on its behalf (cf. ILC Commentary to Art. 4, para. (1)). The functions of the VRS officers, including General Mladić, were however to act on behalf of the Bosnian Serb authorities, in particular the Republika Srpska, not on behalf of the FRY; they exercised elements of the public authority of the Republika Srpska. The particular situation of General Mladić, or of any other VRS officer present at Srebrenica who may have been being “administered” from Belgrade, is not therefore such as to lead the Court to modify the conclusion reached in the previous paragraph.</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389. The issue also arises as to whether the Respondent might bear responsibility for the acts of the “Scorpions” in the Srebrenica area. In this connection, the Court will consider whether it has been proved that the Scorpions were a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 xml:space="preserve">organ of the Respondent. It is in dispute between the Parties as to when the “Scorpions” became incorporated into the forces of the Respondent. The Applicant has claimed that incorporation occurred by a decree of 1991 (which has not been produced as an Annex). The Respondent states that “these regulations [were] relevant exclusively for the war in Croatia in 1991” and that there is no evidence that they remained in force in 1992 in Bosnia and Herzegovina. The Court observes that, while the single State of Yugoslavia was disintegrating at that time, it is the status of the “Scorpions” in mid-1995 that is of relevance to the present case. In two of the intercepted documents presented by the Applicant (the authenticity of which was queried – see paragraph 289 above), there is reference to the “Scorpions” as “MUP of Serbia” and “a unit of Ministry of Interiors of Serbia”. The Respondent identified the senders of these communications, Ljubiša Borovčanin and Savo Cvjetinović, as being “officials of the police forces of Republika Srpska”. The Court observes that neither of these communications was addressed to Belgrade. Judging on the basis of these materials, the Court is unable to find that the “Scorpions” were, in mid-1995, </w:t>
      </w:r>
      <w:r w:rsidRPr="00BE407E">
        <w:rPr>
          <w:rFonts w:ascii="Times New Roman" w:eastAsia="Times New Roman" w:hAnsi="Times New Roman" w:cs="Times New Roman"/>
          <w:i/>
          <w:iCs/>
          <w:sz w:val="24"/>
          <w:szCs w:val="24"/>
          <w:lang w:val="en-US"/>
        </w:rPr>
        <w:t xml:space="preserve">de jure </w:t>
      </w:r>
      <w:r w:rsidRPr="00BE407E">
        <w:rPr>
          <w:rFonts w:ascii="Times New Roman" w:eastAsia="Times New Roman" w:hAnsi="Times New Roman" w:cs="Times New Roman"/>
          <w:sz w:val="24"/>
          <w:szCs w:val="24"/>
          <w:lang w:val="en-US"/>
        </w:rPr>
        <w:t>organs of the Respondent. Furthermore, the Court notes that in any event the act of an organ placed by a State at the disposal of another public authority shall not be considered an act of that State if the organ was acting on behalf of the public authority at whose disposal it had been placed.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390. The argument of the Applicant however goes beyond mere contemplation of the status, under the Respondent’s internal law, of the persons who committed the acts of genocide; it argues that Republika Srpska and the VRS, as well as the paramilitary militias known as the “Scorpions”, the “Red Berets”, the “Tigers” and the “White Eagles” must be deemed, notwithstanding their apparent status, to have been “</w:t>
      </w:r>
      <w:r w:rsidRPr="00BE407E">
        <w:rPr>
          <w:rFonts w:ascii="Times New Roman" w:eastAsia="Times New Roman" w:hAnsi="Times New Roman" w:cs="Times New Roman"/>
          <w:i/>
          <w:iCs/>
          <w:sz w:val="24"/>
          <w:szCs w:val="24"/>
          <w:lang w:val="en-US"/>
        </w:rPr>
        <w:t xml:space="preserve">de facto </w:t>
      </w:r>
      <w:r w:rsidRPr="00BE407E">
        <w:rPr>
          <w:rFonts w:ascii="Times New Roman" w:eastAsia="Times New Roman" w:hAnsi="Times New Roman" w:cs="Times New Roman"/>
          <w:sz w:val="24"/>
          <w:szCs w:val="24"/>
          <w:lang w:val="en-US"/>
        </w:rPr>
        <w:t xml:space="preserve">organs” of the FRY, in particular at the time in question, so that all of their acts, and specifically the massacres at Srebrenica, must be considered attributable to the FRY, just as if they had been organs of that State under its internal law; reality must prevail over appearances. The Respondent rejects this contention, and maintains that these were </w:t>
      </w:r>
      <w:r w:rsidRPr="00BE407E">
        <w:rPr>
          <w:rFonts w:ascii="Times New Roman" w:eastAsia="Times New Roman" w:hAnsi="Times New Roman" w:cs="Times New Roman"/>
          <w:sz w:val="24"/>
          <w:szCs w:val="24"/>
          <w:lang w:val="en-US"/>
        </w:rPr>
        <w:lastRenderedPageBreak/>
        <w:t xml:space="preserve">not </w:t>
      </w:r>
      <w:r w:rsidRPr="00BE407E">
        <w:rPr>
          <w:rFonts w:ascii="Times New Roman" w:eastAsia="Times New Roman" w:hAnsi="Times New Roman" w:cs="Times New Roman"/>
          <w:i/>
          <w:iCs/>
          <w:sz w:val="24"/>
          <w:szCs w:val="24"/>
          <w:lang w:val="en-US"/>
        </w:rPr>
        <w:t xml:space="preserve">de facto </w:t>
      </w:r>
      <w:r w:rsidRPr="00BE407E">
        <w:rPr>
          <w:rFonts w:ascii="Times New Roman" w:eastAsia="Times New Roman" w:hAnsi="Times New Roman" w:cs="Times New Roman"/>
          <w:sz w:val="24"/>
          <w:szCs w:val="24"/>
          <w:lang w:val="en-US"/>
        </w:rPr>
        <w:t>organs of the FRY.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391. The first issue raised by this argument is whether it is possible in principle to attribute to a State conduct of persons – or groups of persons – who, while they do not have the legal status of State organs, in fact act under such strict control by the State that they must be treated as its organs for purposes of the necessary attribution leading to the State’s responsibility for an internationally wrongful act. The Court has in fact already addressed this question, and given an answer to it in principle, in its Judgment of 27 June 1986 in the case concerning </w:t>
      </w:r>
      <w:r w:rsidRPr="00BE407E">
        <w:rPr>
          <w:rFonts w:ascii="Times New Roman" w:eastAsia="Times New Roman" w:hAnsi="Times New Roman" w:cs="Times New Roman"/>
          <w:i/>
          <w:iCs/>
          <w:sz w:val="24"/>
          <w:szCs w:val="24"/>
          <w:lang w:val="en-US"/>
        </w:rPr>
        <w:t>Military and</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 xml:space="preserve">Paramilitary Activities in and against Nicaragua (Nicaragua </w:t>
      </w:r>
      <w:r w:rsidRPr="00BE407E">
        <w:rPr>
          <w:rFonts w:ascii="Times New Roman" w:eastAsia="Times New Roman" w:hAnsi="Times New Roman" w:cs="Times New Roman"/>
          <w:sz w:val="24"/>
          <w:szCs w:val="24"/>
          <w:lang w:val="en-US"/>
        </w:rPr>
        <w:t xml:space="preserve">v. </w:t>
      </w:r>
      <w:r w:rsidRPr="00BE407E">
        <w:rPr>
          <w:rFonts w:ascii="Times New Roman" w:eastAsia="Times New Roman" w:hAnsi="Times New Roman" w:cs="Times New Roman"/>
          <w:i/>
          <w:iCs/>
          <w:sz w:val="24"/>
          <w:szCs w:val="24"/>
          <w:lang w:val="en-US"/>
        </w:rPr>
        <w:t xml:space="preserve">United States of America) </w:t>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Merits,</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Judgment, I.C.J. Reports 1986</w:t>
      </w:r>
      <w:r w:rsidRPr="00BE407E">
        <w:rPr>
          <w:rFonts w:ascii="Times New Roman" w:eastAsia="Times New Roman" w:hAnsi="Times New Roman" w:cs="Times New Roman"/>
          <w:sz w:val="24"/>
          <w:szCs w:val="24"/>
          <w:lang w:val="en-US"/>
        </w:rPr>
        <w:t>, pp. 62-64). In paragraph 109 of that Judgment the Court stated that it had to</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“determine … whether or not the relationship of the </w:t>
      </w:r>
      <w:r w:rsidRPr="00B431DD">
        <w:rPr>
          <w:rFonts w:ascii="Times New Roman" w:eastAsia="Times New Roman" w:hAnsi="Times New Roman" w:cs="Times New Roman"/>
          <w:i/>
          <w:iCs/>
          <w:sz w:val="24"/>
          <w:szCs w:val="24"/>
          <w:lang w:val="en-US"/>
        </w:rPr>
        <w:t xml:space="preserve">contras </w:t>
      </w:r>
      <w:r w:rsidRPr="00B431DD">
        <w:rPr>
          <w:rFonts w:ascii="Times New Roman" w:eastAsia="Times New Roman" w:hAnsi="Times New Roman" w:cs="Times New Roman"/>
          <w:sz w:val="24"/>
          <w:szCs w:val="24"/>
          <w:lang w:val="en-US"/>
        </w:rPr>
        <w:t xml:space="preserve">to the United States Government was so much one of dependence on the one side and control on the other that it would be right to equate the </w:t>
      </w:r>
      <w:r w:rsidRPr="00B431DD">
        <w:rPr>
          <w:rFonts w:ascii="Times New Roman" w:eastAsia="Times New Roman" w:hAnsi="Times New Roman" w:cs="Times New Roman"/>
          <w:i/>
          <w:iCs/>
          <w:sz w:val="24"/>
          <w:szCs w:val="24"/>
          <w:lang w:val="en-US"/>
        </w:rPr>
        <w:t>contras</w:t>
      </w:r>
      <w:r w:rsidRPr="00B431DD">
        <w:rPr>
          <w:rFonts w:ascii="Times New Roman" w:eastAsia="Times New Roman" w:hAnsi="Times New Roman" w:cs="Times New Roman"/>
          <w:sz w:val="24"/>
          <w:szCs w:val="24"/>
          <w:lang w:val="en-US"/>
        </w:rPr>
        <w:t>, for legal purposes, with an organ of the United States Government, or as acting on behalf of that Government” (p. 62).</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Then, examining the facts in the light of the information in its possession, the Court observed that “there is no clear evidence of the United States having actually exercised such a degree of control in all fields as to justify treating the </w:t>
      </w:r>
      <w:r w:rsidRPr="00BE407E">
        <w:rPr>
          <w:rFonts w:ascii="Times New Roman" w:eastAsia="Times New Roman" w:hAnsi="Times New Roman" w:cs="Times New Roman"/>
          <w:i/>
          <w:iCs/>
          <w:sz w:val="24"/>
          <w:szCs w:val="24"/>
          <w:lang w:val="en-US"/>
        </w:rPr>
        <w:t xml:space="preserve">contras </w:t>
      </w:r>
      <w:r w:rsidRPr="00BE407E">
        <w:rPr>
          <w:rFonts w:ascii="Times New Roman" w:eastAsia="Times New Roman" w:hAnsi="Times New Roman" w:cs="Times New Roman"/>
          <w:sz w:val="24"/>
          <w:szCs w:val="24"/>
          <w:lang w:val="en-US"/>
        </w:rPr>
        <w:t xml:space="preserve">as acting on its behalf” (para. 109), and went on to conclude that “the evidence available to the Court … is insufficient to demonstrate [the </w:t>
      </w:r>
      <w:r w:rsidRPr="00BE407E">
        <w:rPr>
          <w:rFonts w:ascii="Times New Roman" w:eastAsia="Times New Roman" w:hAnsi="Times New Roman" w:cs="Times New Roman"/>
          <w:i/>
          <w:iCs/>
          <w:sz w:val="24"/>
          <w:szCs w:val="24"/>
          <w:lang w:val="en-US"/>
        </w:rPr>
        <w:t>contras</w:t>
      </w:r>
      <w:r w:rsidRPr="00BE407E">
        <w:rPr>
          <w:rFonts w:ascii="Times New Roman" w:eastAsia="Times New Roman" w:hAnsi="Times New Roman" w:cs="Times New Roman"/>
          <w:sz w:val="24"/>
          <w:szCs w:val="24"/>
          <w:lang w:val="en-US"/>
        </w:rPr>
        <w:t xml:space="preserve">’] complete dependence on United States aid”, so that the Court was “unable to determine that the </w:t>
      </w:r>
      <w:r w:rsidRPr="00BE407E">
        <w:rPr>
          <w:rFonts w:ascii="Times New Roman" w:eastAsia="Times New Roman" w:hAnsi="Times New Roman" w:cs="Times New Roman"/>
          <w:i/>
          <w:iCs/>
          <w:sz w:val="24"/>
          <w:szCs w:val="24"/>
          <w:lang w:val="en-US"/>
        </w:rPr>
        <w:t xml:space="preserve">contra </w:t>
      </w:r>
      <w:r w:rsidRPr="00BE407E">
        <w:rPr>
          <w:rFonts w:ascii="Times New Roman" w:eastAsia="Times New Roman" w:hAnsi="Times New Roman" w:cs="Times New Roman"/>
          <w:sz w:val="24"/>
          <w:szCs w:val="24"/>
          <w:lang w:val="en-US"/>
        </w:rPr>
        <w:t>force may be equated for legal purposes with the forces of the United States” (pp. 62–63, para. 110).</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392. The passages quoted show that, according to the Court’s jurisprudence, persons, groups of persons or entities may, for purposes of international responsibility, be equated with State organs even if that status does not follow from internal law, provided that in fact the persons, groups or entities act in “complete dependence” on the State, of which they are ultimately merely the instrument. In such a case, it is appropriate to look beyond legal status alone, in order to grasp the reality of the relationship between the person taking action, and the State to which he is so closely attached as to appear to be nothing more than its agent: any other solution would allow States to escape their international responsibility by choosing to act through persons or entities whose supposed independence would be purely fictitious.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393. However, so to equate persons or entities with State organs when they do not have that status under internal law must be exceptional, for it requires proof of a particularly great degree of State control over them, a relationship which the Court’s Judgment quoted above expressly described as “complete dependence”. It remains to be determined in the present case whether, at the time in question, the persons or entities that committed the acts of genocide at Srebrenica had such ties with the FRY that they can be deemed to have been completely dependent on it; it is only if this condition is met that they can be equated with organs of the Respondent for the purposes of its international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394. The Court can only answer this question in the negative. At the relevant time, July 1995, neither the Republika Srpska nor the VRS could be regarded as mere instruments through which the FRY was acting, and as lacking any real autonomy. While the political, military and logistical relations between the federal authorities in Belgrade and the authorities in Pale, between the Yugoslav army and the VRS, had been strong and close in previous years (see paragraph 238 above), and these ties undoubtedly remained powerful, they were, at least at the relevant time, not such that the Bosnian Serbs’ political and military organizations should be equated with organs of the FRY. It is even true that differences over strategic options emerged at the time between Yugoslav au </w:t>
      </w:r>
      <w:r w:rsidRPr="00BE407E">
        <w:rPr>
          <w:rFonts w:ascii="Times New Roman" w:eastAsia="Times New Roman" w:hAnsi="Times New Roman" w:cs="Times New Roman"/>
          <w:sz w:val="24"/>
          <w:szCs w:val="24"/>
          <w:lang w:val="en-US"/>
        </w:rPr>
        <w:lastRenderedPageBreak/>
        <w:t>thorities and Bosnian Serb leaders; at the very least, these are evidence that the latter had some qualified, but real, margin of independence. Nor, notwithstanding the very important support given by the Respondent to the Republika Srpska, without which it could not have “conduct[ed] its crucial or most significant military and paramilitary activities” (</w:t>
      </w:r>
      <w:r w:rsidRPr="00BE407E">
        <w:rPr>
          <w:rFonts w:ascii="Times New Roman" w:eastAsia="Times New Roman" w:hAnsi="Times New Roman" w:cs="Times New Roman"/>
          <w:i/>
          <w:iCs/>
          <w:sz w:val="24"/>
          <w:szCs w:val="24"/>
          <w:lang w:val="en-US"/>
        </w:rPr>
        <w:t xml:space="preserve"> I.C.J. Reports 1986</w:t>
      </w:r>
      <w:r w:rsidRPr="00BE407E">
        <w:rPr>
          <w:rFonts w:ascii="Times New Roman" w:eastAsia="Times New Roman" w:hAnsi="Times New Roman" w:cs="Times New Roman"/>
          <w:sz w:val="24"/>
          <w:szCs w:val="24"/>
          <w:lang w:val="en-US"/>
        </w:rPr>
        <w:t>, p. 63, para. 111), did this signify a total dependence of the Republika Srpska upon the Respondent.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395. The Court now turns to the question whether the “Scorpions” were in fact acting in complete dependence on the Respondent. The Court has not been presented with materials to indicate this. The Court also notes that, in giving his evidence, General Dannatt, when asked under whose control or whose authority the paramilitary groups coming from Serbia were operating, replied, “they would have been under the command of Mladić and part of the chain of the command of the VRS”. The Parties referred the Court to the </w:t>
      </w:r>
      <w:r w:rsidRPr="00BE407E">
        <w:rPr>
          <w:rFonts w:ascii="Times New Roman" w:eastAsia="Times New Roman" w:hAnsi="Times New Roman" w:cs="Times New Roman"/>
          <w:i/>
          <w:iCs/>
          <w:sz w:val="24"/>
          <w:szCs w:val="24"/>
          <w:lang w:val="en-US"/>
        </w:rPr>
        <w:t xml:space="preserve">Stanišić and Simatović </w:t>
      </w:r>
      <w:r w:rsidRPr="00BE407E">
        <w:rPr>
          <w:rFonts w:ascii="Times New Roman" w:eastAsia="Times New Roman" w:hAnsi="Times New Roman" w:cs="Times New Roman"/>
          <w:sz w:val="24"/>
          <w:szCs w:val="24"/>
          <w:lang w:val="en-US"/>
        </w:rPr>
        <w:t>case (IT-03-69, pending); notwithstanding that the defendants are not charged with genocide in that case, it could have its relevance for illuminating the status of the “Scorpions” as Serbian MUP or otherwise. However, the Court cannot draw further conclusions as this case remains at the indictment stage. In this respect, the Court recalls that it can only form its opinion on the basis of the information which has been brought to its notice at the time when it gives its decision, and which emerges from the pleadings and documents in the case file, and the arguments of the Parties made during the oral exchanges. The Court therefore finds that the acts of genocide at Srebrenica cannot be attributed to the Respondent as having been committed by its organs or by persons or entities wholly dependent upon it, and thus do not on this basis entail the Respondent’s international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 The question of attribution of the Srebrenica genocide to the Respondent on the basis of direction or control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396. As noted above (paragraph 384), the Court must now determine whether the massacres at Srebrenica were committed by persons who, though not having the status of organs of the Respondent, nevertheless acted on its instructions or under its direction or control, as the Applicant argues in the alternative; the Respondent denies that such was the case.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397. The Court must emphasize, at this stage in its reasoning, that the question just stated is not the same as those dealt with thus far. It is obvious that it is different from the question whether the persons who committed the acts of genocide had the status of organs of the Respondent under its internal law; nor however, and despite some appearance to the contrary, is it the same as the question whether those persons should be equated with State organs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even though not enjoying that status under internal law. The answer to the latter question depends, as previously explained, on whether those persons were in a relationship of such complete dependence on the State that they cannot be considered otherwise than as organs of the State, so that all their actions performed in such capacity would be attributable to the State for purposes of international responsibility. Having answered that question in the negative, the Court now addresses a completely separate issue: whether, in the specific circumstances surrounding the events at Srebrenica the perpetrators of genocide were acting on the Respondent’s instructions, or under its direction or control. An affirmative answer to this question would in no way imply that the perpetrators should be characterized as organs of the FRY, or equated with such organs. It would merely mean that the FRY’s international responsibility would be incurred owing to the conduct of those of its own organs which gave the instructions or exercised the control resulting in the commission of acts in breach of its international obligations. In other words, it is no longer a question of ascertaining whether the persons who directly committed the genocide were </w:t>
      </w:r>
      <w:r w:rsidRPr="00BE407E">
        <w:rPr>
          <w:rFonts w:ascii="Times New Roman" w:eastAsia="Times New Roman" w:hAnsi="Times New Roman" w:cs="Times New Roman"/>
          <w:sz w:val="24"/>
          <w:szCs w:val="24"/>
          <w:lang w:val="en-US"/>
        </w:rPr>
        <w:lastRenderedPageBreak/>
        <w:t>acting as organs of the FRY, or could be equated with those organs – this question having already been answered in the negative. What must be determined is whether FRY organs – incontestably having that status under the FRY’s internal law – originated the genocide by issuing instructions to the perpetrators or exercising direction or control, and whether, as a result, the conduct of organs of the Respondent, having been the cause of the commission of acts in breach of its international obligations, constituted a violation of those obligations.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398. On this subject the applicable rule, which is one of customary law of international responsibility, is laid down in Article 8 of the ILC Articles on State Responsibility as follows: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w:t>
      </w:r>
      <w:r w:rsidRPr="00B431DD">
        <w:rPr>
          <w:rFonts w:ascii="Times New Roman" w:eastAsia="Times New Roman" w:hAnsi="Times New Roman" w:cs="Times New Roman"/>
          <w:i/>
          <w:iCs/>
          <w:sz w:val="24"/>
          <w:szCs w:val="24"/>
          <w:lang w:val="en-US"/>
        </w:rPr>
        <w:t>Article 8</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i/>
          <w:iCs/>
          <w:sz w:val="24"/>
          <w:szCs w:val="24"/>
          <w:lang w:val="en-US"/>
        </w:rPr>
        <w:t>Conduct directed or controlled by a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conduct of a person or group of persons shall be considered an act of a State under international law if the person or group of persons is in fact acting on the instructions of, or under the direction or control of, that State in carrying out the conduct.”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399. This provision must be understood in the light of the Court’s jurisprudence on the subject, particularly that of the 1986 Judgment in the case concerning </w:t>
      </w:r>
      <w:r w:rsidRPr="00BE407E">
        <w:rPr>
          <w:rFonts w:ascii="Times New Roman" w:eastAsia="Times New Roman" w:hAnsi="Times New Roman" w:cs="Times New Roman"/>
          <w:i/>
          <w:iCs/>
          <w:sz w:val="24"/>
          <w:szCs w:val="24"/>
          <w:lang w:val="en-US"/>
        </w:rPr>
        <w:t>Military and Paramilitary</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 xml:space="preserve">Activities in and against Nicaragua (Nicaragua </w:t>
      </w:r>
      <w:r w:rsidRPr="00BE407E">
        <w:rPr>
          <w:rFonts w:ascii="Times New Roman" w:eastAsia="Times New Roman" w:hAnsi="Times New Roman" w:cs="Times New Roman"/>
          <w:sz w:val="24"/>
          <w:szCs w:val="24"/>
          <w:lang w:val="en-US"/>
        </w:rPr>
        <w:t xml:space="preserve">v. </w:t>
      </w:r>
      <w:r w:rsidRPr="00BE407E">
        <w:rPr>
          <w:rFonts w:ascii="Times New Roman" w:eastAsia="Times New Roman" w:hAnsi="Times New Roman" w:cs="Times New Roman"/>
          <w:i/>
          <w:iCs/>
          <w:sz w:val="24"/>
          <w:szCs w:val="24"/>
          <w:lang w:val="en-US"/>
        </w:rPr>
        <w:t xml:space="preserve">United States of America) </w:t>
      </w:r>
      <w:r w:rsidRPr="00BE407E">
        <w:rPr>
          <w:rFonts w:ascii="Times New Roman" w:eastAsia="Times New Roman" w:hAnsi="Times New Roman" w:cs="Times New Roman"/>
          <w:sz w:val="24"/>
          <w:szCs w:val="24"/>
          <w:lang w:val="en-US"/>
        </w:rPr>
        <w:t xml:space="preserve">referred to above (paragraph 391). In that Judgment the Court, as noted above, after having rejected the argument that the </w:t>
      </w:r>
      <w:r w:rsidRPr="00BE407E">
        <w:rPr>
          <w:rFonts w:ascii="Times New Roman" w:eastAsia="Times New Roman" w:hAnsi="Times New Roman" w:cs="Times New Roman"/>
          <w:i/>
          <w:iCs/>
          <w:sz w:val="24"/>
          <w:szCs w:val="24"/>
          <w:lang w:val="en-US"/>
        </w:rPr>
        <w:t xml:space="preserve">contras </w:t>
      </w:r>
      <w:r w:rsidRPr="00BE407E">
        <w:rPr>
          <w:rFonts w:ascii="Times New Roman" w:eastAsia="Times New Roman" w:hAnsi="Times New Roman" w:cs="Times New Roman"/>
          <w:sz w:val="24"/>
          <w:szCs w:val="24"/>
          <w:lang w:val="en-US"/>
        </w:rPr>
        <w:t>were to be equated with organs of the United States because they were “completely dependent” on it, added that the responsibility of the Respondent could still arise if it were proved that it had itself “directed or enforced the perpetration of the acts contrary to human rights and humanitarian law alleged by the applicant State” (</w:t>
      </w:r>
      <w:r w:rsidRPr="00BE407E">
        <w:rPr>
          <w:rFonts w:ascii="Times New Roman" w:eastAsia="Times New Roman" w:hAnsi="Times New Roman" w:cs="Times New Roman"/>
          <w:i/>
          <w:iCs/>
          <w:sz w:val="24"/>
          <w:szCs w:val="24"/>
          <w:lang w:val="en-US"/>
        </w:rPr>
        <w:t>I.C.J. Reports 1986</w:t>
      </w:r>
      <w:r w:rsidRPr="00BE407E">
        <w:rPr>
          <w:rFonts w:ascii="Times New Roman" w:eastAsia="Times New Roman" w:hAnsi="Times New Roman" w:cs="Times New Roman"/>
          <w:sz w:val="24"/>
          <w:szCs w:val="24"/>
          <w:lang w:val="en-US"/>
        </w:rPr>
        <w:t>, p. 64, para. 115); this led to the following significant conclusion: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“For this conduct to give rise to legal responsibility of the United States, it would in principle have to be proved that that State had effective control of the military or paramilitary operations in the course of which the alleged violations were committed.” (</w:t>
      </w:r>
      <w:r w:rsidRPr="00B431DD">
        <w:rPr>
          <w:rFonts w:ascii="Times New Roman" w:eastAsia="Times New Roman" w:hAnsi="Times New Roman" w:cs="Times New Roman"/>
          <w:i/>
          <w:iCs/>
          <w:sz w:val="24"/>
          <w:szCs w:val="24"/>
          <w:lang w:val="en-US"/>
        </w:rPr>
        <w:t>Ibid.</w:t>
      </w:r>
      <w:r w:rsidRPr="00B431DD">
        <w:rPr>
          <w:rFonts w:ascii="Times New Roman" w:eastAsia="Times New Roman" w:hAnsi="Times New Roman" w:cs="Times New Roman"/>
          <w:sz w:val="24"/>
          <w:szCs w:val="24"/>
          <w:lang w:val="en-US"/>
        </w:rPr>
        <w:t>, p. 65.)</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400. The test thus formulated differs in two respects from the test – described above – to determine whether a person or entity may be equated with a State organ even if not having that status under internal law. First, in this context it is not necessary to show that the persons who performed the acts alleged to have violated international law were in general in a relationship of “complete dependence” on the respondent State; it has to be proved that they acted in accordance with that State’s instructions or under its “effective control”. It must however be shown that this “effective control” was exercised, or that the State’s instructions were given, in respect of each operation in which the alleged violations occurred, not generally in respect of the overall actions taken by the persons or groups of persons having committed the violations.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401. The Applicant has, it is true, contended that the crime of genocide has a particular nature, in that it may be composed of a considerable number of specific acts separate, to a greater or lesser extent, in time and space. According to the Applicant, this particular nature would justify, among other consequences, assessing the “effective control” of the State allegedly responsible, not in relation to each of these specific acts, but in relation to the whole body of operations carried out by the direct perpetrators of the genocide. The Court is however of the view that the particular characteristics of genocide do not justify the Court in departing from the criterion elaborated in the Judgment in the case concerning </w:t>
      </w:r>
      <w:r w:rsidRPr="00BE407E">
        <w:rPr>
          <w:rFonts w:ascii="Times New Roman" w:eastAsia="Times New Roman" w:hAnsi="Times New Roman" w:cs="Times New Roman"/>
          <w:i/>
          <w:iCs/>
          <w:sz w:val="24"/>
          <w:szCs w:val="24"/>
          <w:lang w:val="en-US"/>
        </w:rPr>
        <w:t>Military and Paramilitary Activities in and against Nicaragua</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 xml:space="preserve">v. </w:t>
      </w:r>
      <w:r w:rsidRPr="00BE407E">
        <w:rPr>
          <w:rFonts w:ascii="Times New Roman" w:eastAsia="Times New Roman" w:hAnsi="Times New Roman" w:cs="Times New Roman"/>
          <w:i/>
          <w:iCs/>
          <w:sz w:val="24"/>
          <w:szCs w:val="24"/>
          <w:lang w:val="en-US"/>
        </w:rPr>
        <w:t xml:space="preserve">United States of America) </w:t>
      </w:r>
      <w:r w:rsidRPr="00BE407E">
        <w:rPr>
          <w:rFonts w:ascii="Times New Roman" w:eastAsia="Times New Roman" w:hAnsi="Times New Roman" w:cs="Times New Roman"/>
          <w:sz w:val="24"/>
          <w:szCs w:val="24"/>
          <w:lang w:val="en-US"/>
        </w:rPr>
        <w:t xml:space="preserve">(see paragraph 399 above). The rules for attributing alleged internationally wrongful conduct to a State do not vary with the nature of the wrongful </w:t>
      </w:r>
      <w:r w:rsidRPr="00BE407E">
        <w:rPr>
          <w:rFonts w:ascii="Times New Roman" w:eastAsia="Times New Roman" w:hAnsi="Times New Roman" w:cs="Times New Roman"/>
          <w:sz w:val="24"/>
          <w:szCs w:val="24"/>
          <w:lang w:val="en-US"/>
        </w:rPr>
        <w:lastRenderedPageBreak/>
        <w:t xml:space="preserve">act in question in the absence of a clearly expressed </w:t>
      </w:r>
      <w:r w:rsidRPr="00BE407E">
        <w:rPr>
          <w:rFonts w:ascii="Times New Roman" w:eastAsia="Times New Roman" w:hAnsi="Times New Roman" w:cs="Times New Roman"/>
          <w:i/>
          <w:iCs/>
          <w:sz w:val="24"/>
          <w:szCs w:val="24"/>
          <w:lang w:val="en-US"/>
        </w:rPr>
        <w:t>lex specialis</w:t>
      </w:r>
      <w:r w:rsidRPr="00BE407E">
        <w:rPr>
          <w:rFonts w:ascii="Times New Roman" w:eastAsia="Times New Roman" w:hAnsi="Times New Roman" w:cs="Times New Roman"/>
          <w:sz w:val="24"/>
          <w:szCs w:val="24"/>
          <w:lang w:val="en-US"/>
        </w:rPr>
        <w:t>. Genocide will be considered as attributable to a State if and to the extent that the physical acts constitutive of genocide that have been committed by organs or persons other than the State’s own agents were carried out, wholly or in part, on the instructions or directions of the State, or under its effective control. This is the state of customary international law, as reflected in the ILC Articles on State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402. The Court notes however that the Applicant has further questioned the validity of applying, in the present case, the criterion adopted in the </w:t>
      </w:r>
      <w:r w:rsidRPr="00BE407E">
        <w:rPr>
          <w:rFonts w:ascii="Times New Roman" w:eastAsia="Times New Roman" w:hAnsi="Times New Roman" w:cs="Times New Roman"/>
          <w:i/>
          <w:iCs/>
          <w:sz w:val="24"/>
          <w:szCs w:val="24"/>
          <w:lang w:val="en-US"/>
        </w:rPr>
        <w:t>Military and Paramilitary Activities</w:t>
      </w:r>
      <w:r w:rsidRPr="00BE407E">
        <w:rPr>
          <w:rFonts w:ascii="Times New Roman" w:eastAsia="Times New Roman" w:hAnsi="Times New Roman" w:cs="Times New Roman"/>
          <w:sz w:val="24"/>
          <w:szCs w:val="24"/>
          <w:lang w:val="en-US"/>
        </w:rPr>
        <w:t xml:space="preserve"> Judgment. It has drawn attention to the Judgment of the ICTY Appeals Chamber in the </w:t>
      </w:r>
      <w:r w:rsidRPr="00BE407E">
        <w:rPr>
          <w:rFonts w:ascii="Times New Roman" w:eastAsia="Times New Roman" w:hAnsi="Times New Roman" w:cs="Times New Roman"/>
          <w:i/>
          <w:iCs/>
          <w:sz w:val="24"/>
          <w:szCs w:val="24"/>
          <w:lang w:val="en-US"/>
        </w:rPr>
        <w:t xml:space="preserve">Tadić </w:t>
      </w:r>
      <w:r w:rsidRPr="00BE407E">
        <w:rPr>
          <w:rFonts w:ascii="Times New Roman" w:eastAsia="Times New Roman" w:hAnsi="Times New Roman" w:cs="Times New Roman"/>
          <w:sz w:val="24"/>
          <w:szCs w:val="24"/>
          <w:lang w:val="en-US"/>
        </w:rPr>
        <w:t xml:space="preserve">case (IT-94-1-A, Judgment, 15 July 1999). In that case the Chamber did not follow the jurisprudence of the Court in the </w:t>
      </w:r>
      <w:r w:rsidRPr="00BE407E">
        <w:rPr>
          <w:rFonts w:ascii="Times New Roman" w:eastAsia="Times New Roman" w:hAnsi="Times New Roman" w:cs="Times New Roman"/>
          <w:i/>
          <w:iCs/>
          <w:sz w:val="24"/>
          <w:szCs w:val="24"/>
          <w:lang w:val="en-US"/>
        </w:rPr>
        <w:t xml:space="preserve">Military and Paramilitary Activities </w:t>
      </w:r>
      <w:r w:rsidRPr="00BE407E">
        <w:rPr>
          <w:rFonts w:ascii="Times New Roman" w:eastAsia="Times New Roman" w:hAnsi="Times New Roman" w:cs="Times New Roman"/>
          <w:sz w:val="24"/>
          <w:szCs w:val="24"/>
          <w:lang w:val="en-US"/>
        </w:rPr>
        <w:t xml:space="preserve">case: it held that the appropriate criterion, applicable in its view both to the characterization of the armed conflict in Bosnia and Herzegovina as international, and to imputing the acts committed by Bosnian Serbs to the FRY under the law of State responsibility, was that of the “overall control” exercised over the Bosnian Serbs by the FRY; and further that that criterion was satisfied in the case (on this point,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para. 145). In other words, the Appeals Chamber took the view that acts committed by Bosnian Serbs could give rise to international responsibility of the FRY on the basis of the overall control exercised by the FRY over the Republika Srpska and the VRS, without there being any need to prove that each operation during which acts were committed in breach of international law was carried out on the FRY’s instructions, or under its effective control.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403. The Court has given careful consideration to the Appeals Chamber’s reasoning in support of the foregoing conclusion, but finds itself unable to subscribe to the Chamber’s view. First, the Court observes that the ICTY was not called upon in the </w:t>
      </w:r>
      <w:r w:rsidRPr="00BE407E">
        <w:rPr>
          <w:rFonts w:ascii="Times New Roman" w:eastAsia="Times New Roman" w:hAnsi="Times New Roman" w:cs="Times New Roman"/>
          <w:i/>
          <w:iCs/>
          <w:sz w:val="24"/>
          <w:szCs w:val="24"/>
          <w:lang w:val="en-US"/>
        </w:rPr>
        <w:t xml:space="preserve">Tadić </w:t>
      </w:r>
      <w:r w:rsidRPr="00BE407E">
        <w:rPr>
          <w:rFonts w:ascii="Times New Roman" w:eastAsia="Times New Roman" w:hAnsi="Times New Roman" w:cs="Times New Roman"/>
          <w:sz w:val="24"/>
          <w:szCs w:val="24"/>
          <w:lang w:val="en-US"/>
        </w:rPr>
        <w:t>case, nor is it in general called upon, to rule on questions of State responsibility, since its jurisdiction is criminal and extends over persons only. Thus, in that Judgment the Tribunal addressed an issue which was not indispensable for the exercise of its jurisdiction. As stated above, the Court attaches the utmost importance to the factual and legal findings made by the ICTY in ruling on the criminal liability of the accused before it and, in the present case, the Court takes fullest account of the ICTY’s trial and appellate judgments dealing with the events underlying the dispute. The situation is not the same for positions adopted by the ICTY on issues of general international law which do not lie within the specific purview of its jurisdiction and, moreover, the resolution of which is not always necessary for deciding the criminal cases before it.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404. This is the case of the doctrine laid down in the </w:t>
      </w:r>
      <w:r w:rsidRPr="00BE407E">
        <w:rPr>
          <w:rFonts w:ascii="Times New Roman" w:eastAsia="Times New Roman" w:hAnsi="Times New Roman" w:cs="Times New Roman"/>
          <w:i/>
          <w:iCs/>
          <w:sz w:val="24"/>
          <w:szCs w:val="24"/>
          <w:lang w:val="en-US"/>
        </w:rPr>
        <w:t xml:space="preserve">Tadić </w:t>
      </w:r>
      <w:r w:rsidRPr="00BE407E">
        <w:rPr>
          <w:rFonts w:ascii="Times New Roman" w:eastAsia="Times New Roman" w:hAnsi="Times New Roman" w:cs="Times New Roman"/>
          <w:sz w:val="24"/>
          <w:szCs w:val="24"/>
          <w:lang w:val="en-US"/>
        </w:rPr>
        <w:t>Judgment. Insofar as the “overall control” test is employed to determine whether or not an armed conflict is international, which was the sole question which the Appeals Chamber was called upon to decide, it may well be that the test is applicable and suitable; the Court does not however think it appropriate to take a position on the point in the present case, as there is no need to resolve it for purposes of the present Judgment. On the other hand, the ICTY presented the “overall control” test as equally applicable under the law of State responsibility for the purpose of determining – as the Court is required to do in the present case – when a State is responsible for acts committed by paramilitary units, armed forces which are not among its official organs. In this context, the argument in favour of that test is unpersuasive.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405. It should first be observed that logic does not require the same test to be adopted in resolving the two issues, which are very different in nature: the degree and nature of a State’s involvement in an armed conflict on another State’s territory which is required for the conflict to be characterized as international, can very well, and without logical </w:t>
      </w:r>
      <w:r w:rsidRPr="00BE407E">
        <w:rPr>
          <w:rFonts w:ascii="Times New Roman" w:eastAsia="Times New Roman" w:hAnsi="Times New Roman" w:cs="Times New Roman"/>
          <w:sz w:val="24"/>
          <w:szCs w:val="24"/>
          <w:lang w:val="en-US"/>
        </w:rPr>
        <w:lastRenderedPageBreak/>
        <w:t>inconsistency, differ from the degree and nature of involvement required to give rise to that State’s responsibility for a specific act committed in the course of the conflict.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406. It must next be noted that the “overall control” test has the major drawback of broadening the scope of State responsibility well beyond the fundamental principle governing the law of international responsibility: a State is responsible only for its own conduct, that is to say the conduct of persons acting, on whatever basis, on its behalf. That is true of acts carried out by its official organs, and also by persons or entities which are not formally recognized as official organs under internal law but which must nevertheless be equated with State organs because they are in a relationship of complete dependence on the State. Apart from these cases, a State’s responsibility can be incurred for acts committed by persons or groups of persons – neither State organs nor to be equated with such organs – only if, assuming those acts to be internationally wrongful, they are attributable to it under the rule of customary international law reflected in Article 8 cited above (paragraph 398). This is so where an organ of the State gave the instructions or provided the direction pursuant to which the perpetrators of the wrongful act acted or where it exercised effective control over the action during which the wrong was committed. In this regard the “overall control” test is unsuitable, for it stretches too far, almost to breaking point, the connection which must exist between the conduct of a State’s organs and its international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407. Thus it is on the basis of its settled jurisprudence that the Court will determine whether the Respondent has incurred responsibility under the rule of customary international law set out in Article 8 of the ILC Articles on State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408. The Respondent has emphasized that in the final judgments of the Chambers of the ICTY relating to genocide in Srebrenica, none of its leaders have been found to have been implicated. The Applicant does not challenge that reading, but makes the point that that issue has not been before the ICTY for decision. The Court observes that the ICTY has indeed not up to the present been directly concerned in final judgments with the question whether those leaders might bear responsibility in that respect. The Court notes the fact that the report of the United Nations Secretary-General does not establish any direct involvement by President Milošević with the massacre. The Court has already recorded the contacts between Milošević and the United Nations on 10 and 11 July … On 14 July, as recorded in the Secretary-General’s Report,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European Union negotiator, Mr. Bildt, travelled to Belgrade to meet with President Milošević. The meeting took place at Dobanovci, the hunting lodge outside Belgrade, where Mr. Bildt had met President and General Mladić one week earlier. According to Mr. Bildt’s public account of that second meeting, he pressed the President to arrange immediate access for UNHCR to assist the people of Srebrenica, and for ICRC to start to register those who were being treated by the BSA as prisoners of war. He also insisted that the Netherlands soldiers be allowed to leave at will. Mr. Bildt added that the international community would not tolerate an attack on Goražde, and that a ‘green light’ would have to be secured for free and unimpeded access to the enclaves. He also demanded that the road between Kiseljak and Sarajevo (‘Route Swan’) be opened to all non-military transport. President Milošević apparently acceded to the various dema nds, but also claimed that he did not have control over the matter. Milošević had also apparently explained, earlier in the meeting, that the whole incident had been provoked by escalating Muslim attacks from the enclave, in violation of the 1993 demilitarization agreement.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A few hours into the meeting, General Mladić arrived at Dobanovci. Mr. Bildt noted that General Mladić readily agreed to most of the demands on Srebrenica, but remained opposed to some of the arrangements pertaining to the other enclaves, Sarajevo in </w:t>
      </w:r>
      <w:r w:rsidRPr="00B431DD">
        <w:rPr>
          <w:rFonts w:ascii="Times New Roman" w:eastAsia="Times New Roman" w:hAnsi="Times New Roman" w:cs="Times New Roman"/>
          <w:sz w:val="24"/>
          <w:szCs w:val="24"/>
          <w:lang w:val="en-US"/>
        </w:rPr>
        <w:lastRenderedPageBreak/>
        <w:t>particular. Eventually, with President Milošević’s intervention, it appeared that an agreement in principle had been reached. It was decided that another meeting would be held the next day in order to confirm the arrangements. Mr. Bildt had already arranged with Mr. Stoltenberg and Mr. Akashi [the Special Representative of the Secretary-General] that they would join him in Belgrade. He also requested that the UNPROFOR Commander also come to Belgrade in order to finalize some of the military details with Mladić.” (A/54/549, paras. 372–373.)</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409. By 19 July, on the basis of the Belgrade meeting, Mr. Akashi was hopeful that both President Milošević and General Mladić might show some flexibility. The UNPROFOR Commander met with Mladić on 19 July and throughout the meeting kept in touch with Mr. Bildt who was holding parallel negotiations with President Milošević in Belgrade. Mladić gave his version of the events of the preceding days (his troops had “‘finished [it] in a correct way’”; some “‘unfortunate small incidents’ had occurred”). The UNPROFOR Commander and Mladić then signed an agreement which provided for</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“ICRC access to all ‘reception centres’ where the men and boys of Srebrenica were being held, by the next day;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UNHCR and humanitarian aid convoys to be given access to Srebrenica;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evacuation of wounded from Potočari, as well as the hospital in Bratunac;</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return of Dutchbat weapons and equipment taken by the BSA;</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The transfer of Dutchbat out of the enclave commencing on the afternoon of 21 July, following the evacuation of the remaining women, children and elderly who wished to leave.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Subsequent to the signing of this agreement, the Special Representative wrote to President Milošević, reminding him of the agreement, that had not yet been honoured, to allow ICRC access to Srebrenica. The Special Representative later also telephoned President Milošević to reiterate the same point.” (</w:t>
      </w:r>
      <w:r w:rsidRPr="00B431DD">
        <w:rPr>
          <w:rFonts w:ascii="Times New Roman" w:eastAsia="Times New Roman" w:hAnsi="Times New Roman" w:cs="Times New Roman"/>
          <w:i/>
          <w:iCs/>
          <w:sz w:val="24"/>
          <w:szCs w:val="24"/>
          <w:lang w:val="en-US"/>
        </w:rPr>
        <w:t>Ibid.</w:t>
      </w:r>
      <w:r w:rsidRPr="00B431DD">
        <w:rPr>
          <w:rFonts w:ascii="Times New Roman" w:eastAsia="Times New Roman" w:hAnsi="Times New Roman" w:cs="Times New Roman"/>
          <w:sz w:val="24"/>
          <w:szCs w:val="24"/>
          <w:lang w:val="en-US"/>
        </w:rPr>
        <w:t>, para. 392.)</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410. The Court was referred to other evidence supporting or denying the Respondent’s effective control over, participation in, involvement in, or influence over the events in and around Srebrenica in July 1995. The Respondent quotes two substantial reports prepared seven years after the events, both of which are in the public domain, and readily accessible. The first, </w:t>
      </w:r>
      <w:r w:rsidRPr="00BE407E">
        <w:rPr>
          <w:rFonts w:ascii="Times New Roman" w:eastAsia="Times New Roman" w:hAnsi="Times New Roman" w:cs="Times New Roman"/>
          <w:i/>
          <w:iCs/>
          <w:sz w:val="24"/>
          <w:szCs w:val="24"/>
          <w:lang w:val="en-US"/>
        </w:rPr>
        <w:t>Srebrenica – a “safe” area</w:t>
      </w:r>
      <w:r w:rsidRPr="00BE407E">
        <w:rPr>
          <w:rFonts w:ascii="Times New Roman" w:eastAsia="Times New Roman" w:hAnsi="Times New Roman" w:cs="Times New Roman"/>
          <w:sz w:val="24"/>
          <w:szCs w:val="24"/>
          <w:lang w:val="en-US"/>
        </w:rPr>
        <w:t>, published in 2002 by the Netherlands Institute for War Documentation was prepared over a lengthy period by an expert team. The Respondent has drawn attention to the fact that this report contains no suggestion that the FRY leadership was involved in planning the attack or inciting the killing of non-Serbs; nor any hard evidence of assistance by the Yugoslav army to the armed forces of the Republika Srpska before the attack; nor any suggestion that the Belgrade Government had advance knowledge of the attack. The Respondent also quotes this passage from point 10 of the Epilogue to the Report relating to the “mass slaughter” and “the executions” following the fall of Srebrenica: “There is no evidence to suggest any political or military liaison with Belgrade, and in the case of this mass murder such a liaison is highly improbable.” The Respondent further observes that the Applicant’s only response to this submission is to point out that “the report, by its own admission, is not exhaustive”, and that this Court has been referred to evidence not used by the authors.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411. The Court observes, in respect of the Respondent’s submissions, that the authors of the Report do conclude that Belgrade was aware of the intended attack on Srebrenica. They record that the Dutch Military Intelligence Service and another Western intelligence service concluded that the July 1995 operations were co-ordinated with Belgrade (Part III, Chap. 7, Sect. 7). More significantly for present purposes, however, the authors state that “there is no evidence to suggest participation in the preparations </w:t>
      </w:r>
      <w:r w:rsidRPr="00BE407E">
        <w:rPr>
          <w:rFonts w:ascii="Times New Roman" w:eastAsia="Times New Roman" w:hAnsi="Times New Roman" w:cs="Times New Roman"/>
          <w:sz w:val="24"/>
          <w:szCs w:val="24"/>
          <w:lang w:val="en-US"/>
        </w:rPr>
        <w:lastRenderedPageBreak/>
        <w:t>for executions on the part of Yugoslav military personnel or the security agency (RDB). In fact there is some evidence to support the opposite view …” (Part IV, Chap. 2, Sect. 20). That supports the passage from point 10 of the Epilogue quoted by the Respondent, which was preceded by the following sentence: “Everything points to a central decision by the General Staff of the VRS.”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412. The second report is </w:t>
      </w:r>
      <w:r w:rsidRPr="00BE407E">
        <w:rPr>
          <w:rFonts w:ascii="Times New Roman" w:eastAsia="Times New Roman" w:hAnsi="Times New Roman" w:cs="Times New Roman"/>
          <w:i/>
          <w:iCs/>
          <w:sz w:val="24"/>
          <w:szCs w:val="24"/>
          <w:lang w:val="en-US"/>
        </w:rPr>
        <w:t>Balkan Battlegrounds</w:t>
      </w:r>
      <w:r w:rsidRPr="00BE407E">
        <w:rPr>
          <w:rFonts w:ascii="Times New Roman" w:eastAsia="Times New Roman" w:hAnsi="Times New Roman" w:cs="Times New Roman"/>
          <w:sz w:val="24"/>
          <w:szCs w:val="24"/>
          <w:lang w:val="en-US"/>
        </w:rPr>
        <w:t>, prepared by the United States Central Intelligence Agency, also published in 2002. The first volume under the heading “The Possibility of Yugoslav involvement” arrives at the following conclusion: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“No basis has been established to implicate Belgrade’s military or security forces in the post-Srebrenica atrocities. While there are indications that the VJ or RDB [the Serbian State Security Department] may have contributed elements to the Srebrenica battle, there is no similar evidence that Belgrade-directed forces were involved in any of the subsequent massacres. Eyewitness accounts by survivors may be imperfect recollections of events, and details may have been overlooked. Narrations and other available evidence suggest that only Bosnian Serb troops were employed in the atrocities and executions that followed the military conquest of Srebrenica.” (</w:t>
      </w:r>
      <w:r w:rsidRPr="00B431DD">
        <w:rPr>
          <w:rFonts w:ascii="Times New Roman" w:eastAsia="Times New Roman" w:hAnsi="Times New Roman" w:cs="Times New Roman"/>
          <w:i/>
          <w:iCs/>
          <w:sz w:val="24"/>
          <w:szCs w:val="24"/>
          <w:lang w:val="en-US"/>
        </w:rPr>
        <w:t>Balkan Battlegrounds</w:t>
      </w:r>
      <w:r w:rsidRPr="00B431DD">
        <w:rPr>
          <w:rFonts w:ascii="Times New Roman" w:eastAsia="Times New Roman" w:hAnsi="Times New Roman" w:cs="Times New Roman"/>
          <w:sz w:val="24"/>
          <w:szCs w:val="24"/>
          <w:lang w:val="en-US"/>
        </w:rPr>
        <w:t>, p. 353.)</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 response of the Applicant was to quote an earlier passage which refers to reports which “suggest” that VJ troops and possibly elements of the Serbian State Security Department may have been engaged in the battle in Srebrenica – as indeed the second sentence of the passage quoted by the Respondent indicates. It is a cautious passage, and significantly gives no indication of any involvement by the Respondent in the post-conflict atrocities which are the subject of genocide-related convictions. Counsel for the Respondent also quoted from the evidence of the Deputy Commander of Dutchbat, given in the </w:t>
      </w:r>
      <w:r w:rsidRPr="00BE407E">
        <w:rPr>
          <w:rFonts w:ascii="Times New Roman" w:eastAsia="Times New Roman" w:hAnsi="Times New Roman" w:cs="Times New Roman"/>
          <w:i/>
          <w:iCs/>
          <w:sz w:val="24"/>
          <w:szCs w:val="24"/>
          <w:lang w:val="en-US"/>
        </w:rPr>
        <w:t xml:space="preserve">Milošević </w:t>
      </w:r>
      <w:r w:rsidRPr="00BE407E">
        <w:rPr>
          <w:rFonts w:ascii="Times New Roman" w:eastAsia="Times New Roman" w:hAnsi="Times New Roman" w:cs="Times New Roman"/>
          <w:sz w:val="24"/>
          <w:szCs w:val="24"/>
          <w:lang w:val="en-US"/>
        </w:rPr>
        <w:t>trial, in which the accused put to the officer the point quoted earlier from the Epilogue to the Netherlands report. The officer responded: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“At least for me, I did not have any evidence that it was launched in co-operation with Belgrade. And again, I read all kinds of reports and opinions and papers where all kinds of scenarios were analysed, and so forth. Again, I do not have any proof that the action, being the attack on the enclave, was launched in co-operation with Belgrade.”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 other evidence on which the Applicant relied relates to the influence, rather than the control, that President Milošević had or did not have over the authorities in Pale. It mainly consists of the evidence given at the </w:t>
      </w:r>
      <w:r w:rsidRPr="00BE407E">
        <w:rPr>
          <w:rFonts w:ascii="Times New Roman" w:eastAsia="Times New Roman" w:hAnsi="Times New Roman" w:cs="Times New Roman"/>
          <w:i/>
          <w:iCs/>
          <w:sz w:val="24"/>
          <w:szCs w:val="24"/>
          <w:lang w:val="en-US"/>
        </w:rPr>
        <w:t xml:space="preserve">Milošević </w:t>
      </w:r>
      <w:r w:rsidRPr="00BE407E">
        <w:rPr>
          <w:rFonts w:ascii="Times New Roman" w:eastAsia="Times New Roman" w:hAnsi="Times New Roman" w:cs="Times New Roman"/>
          <w:sz w:val="24"/>
          <w:szCs w:val="24"/>
          <w:lang w:val="en-US"/>
        </w:rPr>
        <w:t>trial by Lord Owen and General Wesley Clark and also Lord Owen’s publications. It does not establish a factual basis for finding the Respondent responsible on a basis of direction or control.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(5) Conclusion as to responsibility for events at Srebrenica under Article III, paragraph </w:t>
      </w:r>
      <w:r w:rsidRPr="00BE407E">
        <w:rPr>
          <w:rFonts w:ascii="Times New Roman" w:eastAsia="Times New Roman" w:hAnsi="Times New Roman" w:cs="Times New Roman"/>
          <w:i/>
          <w:iCs/>
          <w:sz w:val="24"/>
          <w:szCs w:val="24"/>
          <w:lang w:val="en-US"/>
        </w:rPr>
        <w:t>(a)</w:t>
      </w:r>
      <w:r w:rsidRPr="00BE407E">
        <w:rPr>
          <w:rFonts w:ascii="Times New Roman" w:eastAsia="Times New Roman" w:hAnsi="Times New Roman" w:cs="Times New Roman"/>
          <w:sz w:val="24"/>
          <w:szCs w:val="24"/>
          <w:lang w:val="en-US"/>
        </w:rPr>
        <w:t>, of the Genocide Convention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413. In the light of the information available to it, the Court finds, as indicated above, that it has not been established that the massacres at Srebrenica were committed by persons or entities ranking as organs of the Respondent (see paragraph 395 above). It finds also that it has not been established that those massacres were committed on the instructions, or under the direction of organs of the Respondent State, nor that the Respondent exercised effective control over the operations in the course of which those massacres, which, as indicated in paragraph 297 above, constituted the crime of genocide, were perpetrated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414. Finally, the Court observes that none of the situations, other than those referred to in Articles 4 and 8 of the ILC’s Articles on State Responsibility, in which specific conduct may be attributed to a State, matches the circumstances of the present case in regard to the possibility of attributing the genocide at Srebrenica to the Respondent. The Court does not see itself required to decide at this stage whether the ILC’s Articles </w:t>
      </w:r>
      <w:r w:rsidRPr="00BE407E">
        <w:rPr>
          <w:rFonts w:ascii="Times New Roman" w:eastAsia="Times New Roman" w:hAnsi="Times New Roman" w:cs="Times New Roman"/>
          <w:sz w:val="24"/>
          <w:szCs w:val="24"/>
          <w:lang w:val="en-US"/>
        </w:rPr>
        <w:lastRenderedPageBreak/>
        <w:t>dealing with attribution, apart from Articles 4 and 8, express present customary international law, it being clear that none of them apply in this case. The acts constituting genocide were not committed by persons or entities which, while not being organs of the FRY, were empowered by it to exercise elements of the governmental authority (Art. 5), nor by organs placed at the Respondent’s disposal by another State (Art. 6), nor by persons in fact exercising elements of the governmental authority in the absence or default of the official authorities of the Respondent (Art. 9); finally, the Respondent has not acknowledged and adopted the conduct of the perpetrators of the acts of genocide as its own (Art. 11).</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415. The Court concludes from the foregoing that the acts of those who committed genocide at Srebrenica cannot be attributed to the Respondent under the rules of international law of State responsibility: thus, the international responsibility of the Respondent is not engaged on this basis.</w:t>
      </w:r>
      <w:r>
        <w:rPr>
          <w:rFonts w:ascii="Times New Roman" w:eastAsia="Times New Roman" w:hAnsi="Times New Roman" w:cs="Times New Roman"/>
          <w:noProof/>
          <w:sz w:val="24"/>
          <w:szCs w:val="24"/>
        </w:rPr>
        <w:drawing>
          <wp:inline distT="0" distB="0" distL="0" distR="0">
            <wp:extent cx="151130" cy="142875"/>
            <wp:effectExtent l="19050" t="0" r="1270" b="0"/>
            <wp:docPr id="2656" name="Imagen 26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416. The Court now comes to the second of the questions set out in paragraph 379 above, namely, that relating to the Respondent’s possible responsibility on the ground of one of the acts related to genocide enumerated in Article III of the Convention. These are: conspiracy to commit genocide (Art. III, para. </w:t>
      </w:r>
      <w:r w:rsidRPr="00BE407E">
        <w:rPr>
          <w:rFonts w:ascii="Times New Roman" w:eastAsia="Times New Roman" w:hAnsi="Times New Roman" w:cs="Times New Roman"/>
          <w:i/>
          <w:iCs/>
          <w:sz w:val="24"/>
          <w:szCs w:val="24"/>
          <w:lang w:val="en-US"/>
        </w:rPr>
        <w:t>(b)</w:t>
      </w:r>
      <w:r w:rsidRPr="00BE407E">
        <w:rPr>
          <w:rFonts w:ascii="Times New Roman" w:eastAsia="Times New Roman" w:hAnsi="Times New Roman" w:cs="Times New Roman"/>
          <w:sz w:val="24"/>
          <w:szCs w:val="24"/>
          <w:lang w:val="en-US"/>
        </w:rPr>
        <w:t xml:space="preserve">), direct and public incitement to commit genocide (Art. III, para. </w:t>
      </w:r>
      <w:r w:rsidRPr="00BE407E">
        <w:rPr>
          <w:rFonts w:ascii="Times New Roman" w:eastAsia="Times New Roman" w:hAnsi="Times New Roman" w:cs="Times New Roman"/>
          <w:i/>
          <w:iCs/>
          <w:sz w:val="24"/>
          <w:szCs w:val="24"/>
          <w:lang w:val="en-US"/>
        </w:rPr>
        <w:t>(c)</w:t>
      </w:r>
      <w:r w:rsidRPr="00BE407E">
        <w:rPr>
          <w:rFonts w:ascii="Times New Roman" w:eastAsia="Times New Roman" w:hAnsi="Times New Roman" w:cs="Times New Roman"/>
          <w:sz w:val="24"/>
          <w:szCs w:val="24"/>
          <w:lang w:val="en-US"/>
        </w:rPr>
        <w:t xml:space="preserve">), attempt to commit genocide (Art. III, para. </w:t>
      </w:r>
      <w:r w:rsidRPr="00BE407E">
        <w:rPr>
          <w:rFonts w:ascii="Times New Roman" w:eastAsia="Times New Roman" w:hAnsi="Times New Roman" w:cs="Times New Roman"/>
          <w:i/>
          <w:iCs/>
          <w:sz w:val="24"/>
          <w:szCs w:val="24"/>
          <w:lang w:val="en-US"/>
        </w:rPr>
        <w:t>(d)</w:t>
      </w:r>
      <w:r w:rsidRPr="00BE407E">
        <w:rPr>
          <w:rFonts w:ascii="Times New Roman" w:eastAsia="Times New Roman" w:hAnsi="Times New Roman" w:cs="Times New Roman"/>
          <w:sz w:val="24"/>
          <w:szCs w:val="24"/>
          <w:lang w:val="en-US"/>
        </w:rPr>
        <w:t xml:space="preserve">) – though no claim is made under this head in the Applicant’s final submissions in the present case – and complicity in genocide (Art. III, para.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For the reasons already stated … , the Court must make a finding on this matter inasmuch as it has replied in the negative to the previous question, that of the Respondent’s responsibility in the commission of the genocide itself.</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417. It is clear from an examination of the facts of the case that subparagraphs </w:t>
      </w:r>
      <w:r w:rsidRPr="00BE407E">
        <w:rPr>
          <w:rFonts w:ascii="Times New Roman" w:eastAsia="Times New Roman" w:hAnsi="Times New Roman" w:cs="Times New Roman"/>
          <w:i/>
          <w:iCs/>
          <w:sz w:val="24"/>
          <w:szCs w:val="24"/>
          <w:lang w:val="en-US"/>
        </w:rPr>
        <w:t xml:space="preserve">(b) </w:t>
      </w:r>
      <w:r w:rsidRPr="00BE407E">
        <w:rPr>
          <w:rFonts w:ascii="Times New Roman" w:eastAsia="Times New Roman" w:hAnsi="Times New Roman" w:cs="Times New Roman"/>
          <w:sz w:val="24"/>
          <w:szCs w:val="24"/>
          <w:lang w:val="en-US"/>
        </w:rPr>
        <w:t xml:space="preserve">and </w:t>
      </w:r>
      <w:r w:rsidRPr="00BE407E">
        <w:rPr>
          <w:rFonts w:ascii="Times New Roman" w:eastAsia="Times New Roman" w:hAnsi="Times New Roman" w:cs="Times New Roman"/>
          <w:i/>
          <w:iCs/>
          <w:sz w:val="24"/>
          <w:szCs w:val="24"/>
          <w:lang w:val="en-US"/>
        </w:rPr>
        <w:t xml:space="preserve">(c) </w:t>
      </w:r>
      <w:r w:rsidRPr="00BE407E">
        <w:rPr>
          <w:rFonts w:ascii="Times New Roman" w:eastAsia="Times New Roman" w:hAnsi="Times New Roman" w:cs="Times New Roman"/>
          <w:sz w:val="24"/>
          <w:szCs w:val="24"/>
          <w:lang w:val="en-US"/>
        </w:rPr>
        <w:t xml:space="preserve">of Article III are irrelevant in the present case. It has not been proved that organs of the FRY, or persons acting on the instructions or under the effective control of that State, committed acts that could be characterized as “[c]onspiracy to commit genocide”(Art. III, para. </w:t>
      </w:r>
      <w:r w:rsidRPr="00BE407E">
        <w:rPr>
          <w:rFonts w:ascii="Times New Roman" w:eastAsia="Times New Roman" w:hAnsi="Times New Roman" w:cs="Times New Roman"/>
          <w:i/>
          <w:iCs/>
          <w:sz w:val="24"/>
          <w:szCs w:val="24"/>
          <w:lang w:val="en-US"/>
        </w:rPr>
        <w:t>(b)</w:t>
      </w:r>
      <w:r w:rsidRPr="00BE407E">
        <w:rPr>
          <w:rFonts w:ascii="Times New Roman" w:eastAsia="Times New Roman" w:hAnsi="Times New Roman" w:cs="Times New Roman"/>
          <w:sz w:val="24"/>
          <w:szCs w:val="24"/>
          <w:lang w:val="en-US"/>
        </w:rPr>
        <w:t xml:space="preserve">), or as “[d]irect and public incitement to commit genocide” (Art. III, para. </w:t>
      </w:r>
      <w:r w:rsidRPr="00BE407E">
        <w:rPr>
          <w:rFonts w:ascii="Times New Roman" w:eastAsia="Times New Roman" w:hAnsi="Times New Roman" w:cs="Times New Roman"/>
          <w:i/>
          <w:iCs/>
          <w:sz w:val="24"/>
          <w:szCs w:val="24"/>
          <w:lang w:val="en-US"/>
        </w:rPr>
        <w:t>(c)</w:t>
      </w:r>
      <w:r w:rsidRPr="00BE407E">
        <w:rPr>
          <w:rFonts w:ascii="Times New Roman" w:eastAsia="Times New Roman" w:hAnsi="Times New Roman" w:cs="Times New Roman"/>
          <w:sz w:val="24"/>
          <w:szCs w:val="24"/>
          <w:lang w:val="en-US"/>
        </w:rPr>
        <w:t xml:space="preserve">), if one considers, as is appropriate, only the events in Srebrenica. As regards paragraph </w:t>
      </w:r>
      <w:r w:rsidRPr="00BE407E">
        <w:rPr>
          <w:rFonts w:ascii="Times New Roman" w:eastAsia="Times New Roman" w:hAnsi="Times New Roman" w:cs="Times New Roman"/>
          <w:i/>
          <w:iCs/>
          <w:sz w:val="24"/>
          <w:szCs w:val="24"/>
          <w:lang w:val="en-US"/>
        </w:rPr>
        <w:t>(b)</w:t>
      </w:r>
      <w:r w:rsidRPr="00BE407E">
        <w:rPr>
          <w:rFonts w:ascii="Times New Roman" w:eastAsia="Times New Roman" w:hAnsi="Times New Roman" w:cs="Times New Roman"/>
          <w:sz w:val="24"/>
          <w:szCs w:val="24"/>
          <w:lang w:val="en-US"/>
        </w:rPr>
        <w:t xml:space="preserve">, what was said above regarding the attribution to the Respondent of acts of genocide, namely that the massacres were perpetrated by persons and groups of persons (the VRS in particular) who did not have the character of organs of the Respondent, and did not act on the instructions or under the effective control of the Respondent, is sufficient to exclude the latter’s responsibility in this regard. As regards subparagraph </w:t>
      </w:r>
      <w:r w:rsidRPr="00BE407E">
        <w:rPr>
          <w:rFonts w:ascii="Times New Roman" w:eastAsia="Times New Roman" w:hAnsi="Times New Roman" w:cs="Times New Roman"/>
          <w:i/>
          <w:iCs/>
          <w:sz w:val="24"/>
          <w:szCs w:val="24"/>
          <w:lang w:val="en-US"/>
        </w:rPr>
        <w:t>(c)</w:t>
      </w:r>
      <w:r w:rsidRPr="00BE407E">
        <w:rPr>
          <w:rFonts w:ascii="Times New Roman" w:eastAsia="Times New Roman" w:hAnsi="Times New Roman" w:cs="Times New Roman"/>
          <w:sz w:val="24"/>
          <w:szCs w:val="24"/>
          <w:lang w:val="en-US"/>
        </w:rPr>
        <w:t>, none of the information brought to the attention of the Court is sufficient to establish that organs of the Respondent, or persons acting on its instructions or under its effective control, directly and publicly incited the commission of the genocide in Srebrenica; nor is it proven, for that matter, that such organs or persons incited the commission of acts of genocide anywhere else on the territory of Bosnia and Herzegovina. In this respect, the Court must only accept precise and incontrovertible evidence, of which there is clearly none.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418. A more delicate question is whether it can be accepted that acts which could be characterized as “complicity in genocide”, within the meaning of Article III, paragraph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can be attributed to organs of the Respondent or to persons acting under its instructions or under its effective control. This question calls for some preliminary comment.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419. First, the question of “complicity” is to be distinguished from the question, already considered and answered in the negative, whether the perpetrators of the acts of genocide committed in Srebrenica acted on the instructions of or under the direction or effective control of the organs of the FRY. It is true that in certain national systems of </w:t>
      </w:r>
      <w:r w:rsidRPr="00BE407E">
        <w:rPr>
          <w:rFonts w:ascii="Times New Roman" w:eastAsia="Times New Roman" w:hAnsi="Times New Roman" w:cs="Times New Roman"/>
          <w:sz w:val="24"/>
          <w:szCs w:val="24"/>
          <w:lang w:val="en-US"/>
        </w:rPr>
        <w:lastRenderedPageBreak/>
        <w:t xml:space="preserve">criminal law, giving instructions or orders to persons to commit a criminal act is considered as the mark of complicity in the commission of that act. However, in the particular context of the application of the law of international responsibility in the domain of genocide, if it were established that a genocidal act had been committed on the instructions or under the direction of a State, the necessary conclusion would be that the genocide was attributable to the State, which would be directly responsible for it, pursuant to the rule referred to above (paragraph 398), and no question of complicity would arise. But, as already stated, that is not the situation in the present case. However there is no doubt that “complicity”, in the sense of Article III, paragraph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of the Convention, includes the provision of means to enable or facilitate the commission of the crime; it is thus on this aspect that the Court must focus. In this respect, it is noteworthy that, although “complicity”, as such, is not a notion which exists in the current terminology of the law of international responsibility, it is similar to a category found among the customary rules constituting the law of State responsibility, that of the “aid or assistance” furnished by one State for the commission of a wrongful act by another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420. In this connection, reference should be made to Article 16 of the ILC’s Articles on State Responsibility, reflecting a customary rule, which reads as follows: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i/>
          <w:iCs/>
          <w:sz w:val="24"/>
          <w:szCs w:val="24"/>
          <w:lang w:val="en-US"/>
        </w:rPr>
        <w:t>“Article 16</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i/>
          <w:iCs/>
          <w:sz w:val="24"/>
          <w:szCs w:val="24"/>
          <w:lang w:val="en-US"/>
        </w:rPr>
        <w:t>Aid or assistance in the commission of an internationally wrongful act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 State which aids or assists another State in the commission of an internationally wrongful act by the latter is internationally responsible for doing so if:</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 That State does so with knowledge of the circumstances of the internationally wrongful act; and</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 The act would be internationally wrongful if committed by that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Although this provision, because it concerns a situation characterized by a relationship between two States, is not directly relevant to the present case, it nevertheless merits consideration. The Court sees no reason to make any distinction of substance between “complicity in genocide”, within the meaning of Article III, paragraph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xml:space="preserve">, of the Convention, and the “aid or assistance” of a State in the commission of a wrongful act by another State within the meaning of the aforementioned Article 16 – setting aside the hypothesis of the issue of instructions or directions or the exercise of effective control, the eff ects of which, in the law of international responsibility, extend beyond complicity. In other words, to ascertain whether the Respondent is responsible for “complicity in genocide” within the meaning of Article III, paragraph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which is what the Court now has to do, it must examine whether organs of the respondent State, or persons acting on its instructions or under its direction or effective control, furnished “aid or assistance” in the commission of the genocide in Srebrenica, in a sense not significantly different from that of those concepts in the general law of international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421. Before the Court turns to an examination of the facts, one further comment is required. It concerns the link between the specific intent </w:t>
      </w:r>
      <w:r w:rsidRPr="00BE407E">
        <w:rPr>
          <w:rFonts w:ascii="Times New Roman" w:eastAsia="Times New Roman" w:hAnsi="Times New Roman" w:cs="Times New Roman"/>
          <w:i/>
          <w:iCs/>
          <w:sz w:val="24"/>
          <w:szCs w:val="24"/>
          <w:lang w:val="en-US"/>
        </w:rPr>
        <w:t xml:space="preserve">(dolus specialis) </w:t>
      </w:r>
      <w:r w:rsidRPr="00BE407E">
        <w:rPr>
          <w:rFonts w:ascii="Times New Roman" w:eastAsia="Times New Roman" w:hAnsi="Times New Roman" w:cs="Times New Roman"/>
          <w:sz w:val="24"/>
          <w:szCs w:val="24"/>
          <w:lang w:val="en-US"/>
        </w:rPr>
        <w:t xml:space="preserve">which characterizes the crime of genocide and the motives which inspire the actions of an accomplice (meaning a person providing aid or assistance to the direct perpetrators of the crime): the question arises whether complicity presupposes that the accomplice shares the specific intent </w:t>
      </w:r>
      <w:r w:rsidRPr="00BE407E">
        <w:rPr>
          <w:rFonts w:ascii="Times New Roman" w:eastAsia="Times New Roman" w:hAnsi="Times New Roman" w:cs="Times New Roman"/>
          <w:i/>
          <w:iCs/>
          <w:sz w:val="24"/>
          <w:szCs w:val="24"/>
          <w:lang w:val="en-US"/>
        </w:rPr>
        <w:t xml:space="preserve">(dolus specialis) </w:t>
      </w:r>
      <w:r w:rsidRPr="00BE407E">
        <w:rPr>
          <w:rFonts w:ascii="Times New Roman" w:eastAsia="Times New Roman" w:hAnsi="Times New Roman" w:cs="Times New Roman"/>
          <w:sz w:val="24"/>
          <w:szCs w:val="24"/>
          <w:lang w:val="en-US"/>
        </w:rPr>
        <w:t xml:space="preserve">of the principal perpetrator. But whatever the reply to this question, there is no doubt that the conduct of an organ or a person furnishing aid or assistance to a perpetrator of the crime of genocide cannot be treated as complicity in genocide unless at the least that organ or person acted knowingly, that is to say, in particular, was aware of the specific intent </w:t>
      </w:r>
      <w:r w:rsidRPr="00BE407E">
        <w:rPr>
          <w:rFonts w:ascii="Times New Roman" w:eastAsia="Times New Roman" w:hAnsi="Times New Roman" w:cs="Times New Roman"/>
          <w:i/>
          <w:iCs/>
          <w:sz w:val="24"/>
          <w:szCs w:val="24"/>
          <w:lang w:val="en-US"/>
        </w:rPr>
        <w:t xml:space="preserve">(dolus specialis) </w:t>
      </w:r>
      <w:r w:rsidRPr="00BE407E">
        <w:rPr>
          <w:rFonts w:ascii="Times New Roman" w:eastAsia="Times New Roman" w:hAnsi="Times New Roman" w:cs="Times New Roman"/>
          <w:sz w:val="24"/>
          <w:szCs w:val="24"/>
          <w:lang w:val="en-US"/>
        </w:rPr>
        <w:t xml:space="preserve">of the principal </w:t>
      </w:r>
      <w:r w:rsidRPr="00BE407E">
        <w:rPr>
          <w:rFonts w:ascii="Times New Roman" w:eastAsia="Times New Roman" w:hAnsi="Times New Roman" w:cs="Times New Roman"/>
          <w:sz w:val="24"/>
          <w:szCs w:val="24"/>
          <w:lang w:val="en-US"/>
        </w:rPr>
        <w:lastRenderedPageBreak/>
        <w:t>perpetrator. If that condition is not fulfilled, that is sufficient to exclude categorization as complicity. The Court will thus first consider whether this latter condition is met in the present case. It is only if it replies to that question of fact in the affirmative that it will need to determine the legal point referred to above.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422. The Court is not convinced by the evidence furnished by the Applicant that the above conditions were met. Undoubtedly, the quite substantial aid of a political, military and financial nature provided by the FRY to the Republika Srpska and the VRS, beginning long before the tragic events of Srebrenica, continued during those events. There is thus little doubt that the atrocities in Srebrenica were committed, at least in part, with the resources which the perpetrators of those acts possessed as a result of the general policy of aid and assistance pursued towards them by the FRY. However, the sole task of the Court is to establish the legal responsibility of the Respondent, a responsibility which is subject to very specific conditions. One of those conditions is not fulfilled, because it is not established beyond any doubt in the argument between the Parties whether the authorities of the FRY supplied – and continued to supply – the VRS leaders who decided upon and carried out those acts of genocide with their aid and assistance, at a time when those authorities were clearly aware that genocide was about to take place or was under way; in other words that not only were massacres about to be carried out or already under way, but that their perpetrators had the specific intent characterizing genocide, namely, the intent to destroy, in whole or in part, a human group, as such.</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423. A point which is clearly decisive in this connection is that it was not conclusively shown that the decision to eliminate physically the adult male population of the Muslim community from Srebrenica was brought to the attention of the Belgrade authorities when it was taken; the Court has found (paragraph 295 above) that that decision was taken shortly before it was actually carried out, a process which took a very short time (essentially between 13 and 16 July 1995), despite the exceptionally high number of victims. It has therefore not been conclusively established that, at the crucial time, the FRY supplied aid to the perpetrators of the genocide in full awareness that the aid supplied would be used to commit genocide.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424. The Court concludes from the above that the international responsibility of the Respondent is not engaged for acts of complicity in genocide mentioned in Article III, paragraph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of the Convention. In the light of this finding, and of the findings above relating to the other paragraphs of Article III, the international responsibility of the Respondent is not engaged under Article III as a whole.</w:t>
      </w:r>
      <w:r>
        <w:rPr>
          <w:rFonts w:ascii="Times New Roman" w:eastAsia="Times New Roman" w:hAnsi="Times New Roman" w:cs="Times New Roman"/>
          <w:noProof/>
          <w:sz w:val="24"/>
          <w:szCs w:val="24"/>
        </w:rPr>
        <w:drawing>
          <wp:inline distT="0" distB="0" distL="0" distR="0">
            <wp:extent cx="151130" cy="142875"/>
            <wp:effectExtent l="19050" t="0" r="1270" b="0"/>
            <wp:docPr id="2657" name="Imagen 26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425. The Court now turns to the third and last of the questions set out in paragraph 379 above: has the respondent State complied with its obligations to prevent and punish genocide under Article I of the Convention? Despite the clear links between the duty to prevent genocide and the duty to punish its perpetrators, these are, in the view of the Court, two distinct yet connected obligations, each of which must be considered in turn.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426. It is true that, simply by its wording, Article I of the Convention brings out the close link between prevention and punishment: “The Contracting Parties confirm that genocide, whether committed in time of peace or in time of war, is a crime under international law which they undertake to prevent and to punish.” It is also true that one of the most effective ways of preventing criminal acts, in general, is to provide penalties for persons committing such acts, and to impose those penalties effectively on those who commit the acts one is trying to prevent. Lastly, it is true that, although in the subsequent Articles, the Convention includes fairly detailed provisions concerning the duty to punish (Articles III to VII), it reverts to the obligation of prevention, stated as a principle in Article I, only in Article VIII:</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“Any Contracting Party may call upon the competent organs of the United Nations to take such action under the Charter of the United Nations as they consider appropriate for the prevention and suppression of acts of genocide or any of the other acts enumerated in article III.”</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427. However, it is not the case that the obligation to prevent has no separate legal existence of its own; that it is, as it were, absorbed by the obligation to punish, which is therefore the only duty the performance of which may be subject to review by the Court. The obligation on each contracting State to prevent genocide is both normative and compelling. It is not merged in the duty to punish, nor can it be regarded as simply a component of that duty. It has its own scope, which extends beyond the particular case envisaged in Article VIII, namely reference to the competent organs of the United Nations, for them to take such action as they deem appropriate. Even if and when these organs have been called upon, this does not mean that the States parties to the Convention are relieved of the obligation to take such action as they can to prevent genocide from occurring, while respecting the United Nations Charter and any decisions that may have been taken by its competent organs. This is the reason why the Court will first consider the manner in which the Respondent has performed its obligation to prevent before examining the situation as regards the obligation to punish.</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 The obligation to prevent genocide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428. As regards the obligation to prevent genocide, the Court thinks it necessary to begin with the following introductory remarks and clarifications, amplifying the observations already made above.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429. First, the Genocide Convention is not the only international instrument providing for an obligation on the States parties to it to take certain steps to prevent the acts it seeks to prohibit. Many other instruments include a similar obligation, in various forms: see, for example, the Convention against Torture and Other Cruel, Inhuman or Degrading Treatment or Punishment of 10 December 1984 (Article 2); the Convention on the Prevention and Punishment of Crimes against Internationally Protected Persons, Including Diplomatic Agents, of 14 December 1973 (Art. 4); the Convention on the Safety of United Nations and Associated Personnel of 9 December 1994 (Art. 11); the International Convention on the Suppression of Terrorist Bombings of 15 December 1997 (Art. 15). The content of the duty to prevent varies from one instrument to another, according to the wording of the relevant provisions, and depending on the nature of the acts to be prevented. The decision of the Court does not, in this case, purport to establish a general jurisprudence applicable to all cases where a treaty instrument, or other binding legal norm, includes an obligation for States to prevent certain acts. Still less does the decision of the Court purport to find whether, apart from the texts applicable to specific fields, there is a general obligation on States to prevent the commission by other persons or entities of acts contrary to certain norms of general international law. The Court will therefore confine itself to determining the specific scope of the duty to prevent in the Genocide Convention, and to the extent that such a determination is necessary to the decision to be given on the dispute before it. This will, of course, not absolve it of the need to refer, if need be, to the rules of law whose scope extends beyond the specific field covered by the Convention.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430. Secondly, it is clear that the obligation in question is one of conduct and not one of result, in the sense that a State cannot be under an obligation to succeed, whatever the circumstances, in preventing the commission of genocide: the obligation of States parties is rather to employ all means reasonably available to them, so as to prevent genocide so far as possible. A State does not incur responsibility simply because the desired result is not achieved; responsibility is however incurred if the State manifestly </w:t>
      </w:r>
      <w:r w:rsidRPr="00BE407E">
        <w:rPr>
          <w:rFonts w:ascii="Times New Roman" w:eastAsia="Times New Roman" w:hAnsi="Times New Roman" w:cs="Times New Roman"/>
          <w:sz w:val="24"/>
          <w:szCs w:val="24"/>
          <w:lang w:val="en-US"/>
        </w:rPr>
        <w:lastRenderedPageBreak/>
        <w:t xml:space="preserve">failed to take all measures to prevent genocide which were within its power, and which might have contributed to preventing the genocide. In this area the notion of “due diligence”, which calls for an assessment </w:t>
      </w:r>
      <w:r w:rsidRPr="00BE407E">
        <w:rPr>
          <w:rFonts w:ascii="Times New Roman" w:eastAsia="Times New Roman" w:hAnsi="Times New Roman" w:cs="Times New Roman"/>
          <w:i/>
          <w:iCs/>
          <w:sz w:val="24"/>
          <w:szCs w:val="24"/>
          <w:lang w:val="en-US"/>
        </w:rPr>
        <w:t>in concreto</w:t>
      </w:r>
      <w:r w:rsidRPr="00BE407E">
        <w:rPr>
          <w:rFonts w:ascii="Times New Roman" w:eastAsia="Times New Roman" w:hAnsi="Times New Roman" w:cs="Times New Roman"/>
          <w:sz w:val="24"/>
          <w:szCs w:val="24"/>
          <w:lang w:val="en-US"/>
        </w:rPr>
        <w:t>, is of critical importance. Various parameters operate when assessing whether a State has duly discharged the obligation concerned. The first, which varies greatly from one State to another, is clearly the capacity to influence effectively the action of persons likely to commit, or already committing, genocide. This capacity itself depends, among other things, on the geographical distance of the State concerned from the scene of the events, and on the strength of the political links, as well as links of all other kinds, between the authorities of that State and the main actors in the events. The State’s capacity to influence must also be assessed by legal criteria, since it is clear that every State may only act within the limits permitted by international law; seen thus, a State’s capacity to influence may vary depending on its particular legal position vis-à-vis the situations and persons facing the danger, or the reality, of genocide. On the other hand, it is irrelevant whether the State whose responsibility is in issue claims, or even proves, that even if it had employed all means reasonably at its disposal, they would not have sufficed to prevent the commission of genocide. As well as being generally difficult to prove, this is irrelevant to the breach of the obligation of conduct in question, the more so since the possibility remains that the combined efforts of several States, each complying with its obligation to prevent, might have achieved the result – averting the commission of genocide – which the efforts of only one State were insufficient to produce.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431. Thirdly, a State can be held responsible for breaching the obligation to prevent genocide only if genocide was actually committed. It is at the time when commission of the prohibited act (genocide or any of the other acts listed in Article III of the Convention) begins that the breach of an obligation of prevention occurs. In this respect, the Court refers to a general rule of the law of State responsibility, stated by the ILC in Article 14, paragraph 3, of its Articles on State Responsibility: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 … … … … … … … … … … … … … … … … … …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3. The breach of an international obligation requiring a State to prevent a given event occurs when the event occurs and extends over the entire period during which the event continues and remains not in conformity with that obligation.”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This obviously does not mean that the obligation to prevent genocide only comes into being when perpetration of genocide commences; that would be absurd, since the whole point of the obligation is to prevent, or attempt to prevent, the occurrence of the act. In fact, a State’s obligation to prevent, and the corresponding duty to act, arise at the instant that the State learns of, or should normally have learned of, the existence of a serious risk that genocide will be committed. From that moment onwards, if the State has available to it means likely to have a deterrent effect on those suspected of preparing genocide, or reasonably suspected of harbouring specific intent </w:t>
      </w:r>
      <w:r w:rsidRPr="00BE407E">
        <w:rPr>
          <w:rFonts w:ascii="Times New Roman" w:eastAsia="Times New Roman" w:hAnsi="Times New Roman" w:cs="Times New Roman"/>
          <w:i/>
          <w:iCs/>
          <w:sz w:val="24"/>
          <w:szCs w:val="24"/>
          <w:lang w:val="en-US"/>
        </w:rPr>
        <w:t>(dolus</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specialis)</w:t>
      </w:r>
      <w:r w:rsidRPr="00BE407E">
        <w:rPr>
          <w:rFonts w:ascii="Times New Roman" w:eastAsia="Times New Roman" w:hAnsi="Times New Roman" w:cs="Times New Roman"/>
          <w:sz w:val="24"/>
          <w:szCs w:val="24"/>
          <w:lang w:val="en-US"/>
        </w:rPr>
        <w:t xml:space="preserve">, it is under a duty to make such use of these means as the circumstances permit. However, if neither genocide nor any of the other acts listed in Article III of the Convention are ultimately carried out, then a State that omitted to act when it could have done so cannot be held responsible </w:t>
      </w:r>
      <w:r w:rsidRPr="00BE407E">
        <w:rPr>
          <w:rFonts w:ascii="Times New Roman" w:eastAsia="Times New Roman" w:hAnsi="Times New Roman" w:cs="Times New Roman"/>
          <w:i/>
          <w:iCs/>
          <w:sz w:val="24"/>
          <w:szCs w:val="24"/>
          <w:lang w:val="en-US"/>
        </w:rPr>
        <w:t>a posteriori</w:t>
      </w:r>
      <w:r w:rsidRPr="00BE407E">
        <w:rPr>
          <w:rFonts w:ascii="Times New Roman" w:eastAsia="Times New Roman" w:hAnsi="Times New Roman" w:cs="Times New Roman"/>
          <w:sz w:val="24"/>
          <w:szCs w:val="24"/>
          <w:lang w:val="en-US"/>
        </w:rPr>
        <w:t>, since the event did not happen which, under the rule set out above, must occur for there to be a violation of the obligation to prevent. In consequence, in the present case the Court will have to consider the Respondent’s conduct, in the light of its duty to prevent, solely in connection with the massacres at Srebrenica, because these are the only acts in respect of which the Court has concluded in this case that genocide was committed.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432. Fourth and finally, the Court believes it especially important to lay stress on the differences between the requirements to be met before a State can be held to have </w:t>
      </w:r>
      <w:r w:rsidRPr="00BE407E">
        <w:rPr>
          <w:rFonts w:ascii="Times New Roman" w:eastAsia="Times New Roman" w:hAnsi="Times New Roman" w:cs="Times New Roman"/>
          <w:sz w:val="24"/>
          <w:szCs w:val="24"/>
          <w:lang w:val="en-US"/>
        </w:rPr>
        <w:lastRenderedPageBreak/>
        <w:t xml:space="preserve">violated the obligation to prevent genocide – within the meaning of Article I of the Convention – and those to be satisfied in order for a State to be held responsible for “complicity in genocide” – within the meaning of Article III, paragraph </w:t>
      </w:r>
      <w:r w:rsidRPr="00BE407E">
        <w:rPr>
          <w:rFonts w:ascii="Times New Roman" w:eastAsia="Times New Roman" w:hAnsi="Times New Roman" w:cs="Times New Roman"/>
          <w:i/>
          <w:iCs/>
          <w:sz w:val="24"/>
          <w:szCs w:val="24"/>
          <w:lang w:val="en-US"/>
        </w:rPr>
        <w:t>(e)</w:t>
      </w:r>
      <w:r w:rsidRPr="00BE407E">
        <w:rPr>
          <w:rFonts w:ascii="Times New Roman" w:eastAsia="Times New Roman" w:hAnsi="Times New Roman" w:cs="Times New Roman"/>
          <w:sz w:val="24"/>
          <w:szCs w:val="24"/>
          <w:lang w:val="en-US"/>
        </w:rPr>
        <w:t xml:space="preserve"> – as previously discussed. There are two main differences; they are so significant as to make it impossible to treat the two types of violation in the same way. In the first place, as noted above, complicity always requires that some positive action has been taken to furnish aid or assistance to the perpetrators of the genocide, while a violation of the obligation to prevent results from mere failure to adopt and implement suitable measures to prevent genocide from being committed. In other words, while complicity results from commission, violation of the obligation to prevent results from omission; this is merely the reflection of the notion that the ban on genocide and the other acts listed in Article III, including complicity, places States under a negative obligation, the obligation not to commit the prohibited acts, while the duty to prevent places States under positive obligations, to do their best to ensure that such acts do not occur. In the second place, as also noted above, there cannot be a finding of complicity against a State unless at the least its organs were aware that genocide was about to be committed or was under way, and if the aid and assistance supplied, from the moment they became so aware onwards, to the perpetrators of the criminal acts or to those who were on the point of committing them, enabled or facilitated the commission of the acts. In other words, an acco mplice must have given support in perpetrating the genocide with full knowledge of the facts. By contrast, a State may be found to have violated its obligation to prevent even though it had no certainty, at the time when it should have acted, but failed to do so, that genocide was about to be committed or was under way; for it to incur responsibility on this basis it is enough that the State was aware, or should normally have been aware, of the serious danger that acts of genocide would be committed. As will be seen below, this latter difference could prove decisive in the present case in determining the responsibility incurred by the Respondent.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433. In light of the foregoing, the Court will now consider the facts of the case. For the reasons stated above (paragraph 431), it will confine itself to the FRY’s conduct vis-à-vis the Srebrenica massacres.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434. The Court would first note that, during the period under consideration, the FRY was in a position of influence, over the Bosnian Serbs who devised and implemented the genocide in Srebrenica, unlike that of any of the other States parties to the Genocide Convention owing to the strength of the political, military and financial links between the FRY on the one hand and the Republika Srpska and the VRS on the other, which, though somewhat weaker than in the preceding period, nonetheless remained very close.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435. Secondly, the Court cannot but note that, on the relevant date, the FRY was bound by very specific obligations by virtue of the two Orders indicating provisional measures delivered by the Court in 1993. In particular, in its Order of 8 April 1993, the Court stated, </w:t>
      </w:r>
      <w:r w:rsidRPr="00BE407E">
        <w:rPr>
          <w:rFonts w:ascii="Times New Roman" w:eastAsia="Times New Roman" w:hAnsi="Times New Roman" w:cs="Times New Roman"/>
          <w:i/>
          <w:iCs/>
          <w:sz w:val="24"/>
          <w:szCs w:val="24"/>
          <w:lang w:val="en-US"/>
        </w:rPr>
        <w:t>inter alia</w:t>
      </w:r>
      <w:r w:rsidRPr="00BE407E">
        <w:rPr>
          <w:rFonts w:ascii="Times New Roman" w:eastAsia="Times New Roman" w:hAnsi="Times New Roman" w:cs="Times New Roman"/>
          <w:sz w:val="24"/>
          <w:szCs w:val="24"/>
          <w:lang w:val="en-US"/>
        </w:rPr>
        <w:t>, that although not able, at that early stage in the proceedings, to make “definitive findings of fact or of imputability” (</w:t>
      </w:r>
      <w:r w:rsidRPr="00BE407E">
        <w:rPr>
          <w:rFonts w:ascii="Times New Roman" w:eastAsia="Times New Roman" w:hAnsi="Times New Roman" w:cs="Times New Roman"/>
          <w:i/>
          <w:iCs/>
          <w:sz w:val="24"/>
          <w:szCs w:val="24"/>
          <w:lang w:val="en-US"/>
        </w:rPr>
        <w:t>I.C.J. Reports 1993</w:t>
      </w:r>
      <w:r w:rsidRPr="00BE407E">
        <w:rPr>
          <w:rFonts w:ascii="Times New Roman" w:eastAsia="Times New Roman" w:hAnsi="Times New Roman" w:cs="Times New Roman"/>
          <w:sz w:val="24"/>
          <w:szCs w:val="24"/>
          <w:lang w:val="en-US"/>
        </w:rPr>
        <w:t>, p. 22, para. 44) the FRY was required to ensure: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“that any military, paramilitary or irregular armed units which may be directed or supported by it, as well as any organizations and persons which may be subject to its control, direction or influence, do not commit any acts of genocide, of conspiracy to commit genocide, of direct and public incitement to commit genocide, or of complicity in genocide …” (</w:t>
      </w:r>
      <w:r w:rsidRPr="00B431DD">
        <w:rPr>
          <w:rFonts w:ascii="Times New Roman" w:eastAsia="Times New Roman" w:hAnsi="Times New Roman" w:cs="Times New Roman"/>
          <w:i/>
          <w:iCs/>
          <w:sz w:val="24"/>
          <w:szCs w:val="24"/>
          <w:lang w:val="en-US"/>
        </w:rPr>
        <w:t>ibid.</w:t>
      </w:r>
      <w:r w:rsidRPr="00B431DD">
        <w:rPr>
          <w:rFonts w:ascii="Times New Roman" w:eastAsia="Times New Roman" w:hAnsi="Times New Roman" w:cs="Times New Roman"/>
          <w:sz w:val="24"/>
          <w:szCs w:val="24"/>
          <w:lang w:val="en-US"/>
        </w:rPr>
        <w:t>, p. 24, para. 52 A.(2)).</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The Court’s use, in the above passage, of the term “influence” is particularly revealing of the fact that the Order concerned not only the persons or entities whose conduct was attributable to the FRY, but also all those with whom the Respondent maintained close </w:t>
      </w:r>
      <w:r w:rsidRPr="00BE407E">
        <w:rPr>
          <w:rFonts w:ascii="Times New Roman" w:eastAsia="Times New Roman" w:hAnsi="Times New Roman" w:cs="Times New Roman"/>
          <w:sz w:val="24"/>
          <w:szCs w:val="24"/>
          <w:lang w:val="en-US"/>
        </w:rPr>
        <w:lastRenderedPageBreak/>
        <w:t>links and on which it could exert a certain influence. Although in principle the two issues are separate, and the second will be examined below, it is not possible, when considering the way the Respondent discharged its obligation of prevention under the Convention, to fail to take account of the obligation incumbent upon it, albeit on a different basis, to implement the provisional measures indicated by the Court.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436. Thirdly, the Court recalls that although it has not found that the information available to the Belgrade authorities indicated, as a matter of certainty, that genocide was imminent (which is why complicity in genocide was not upheld above: paragraph 424), they could hardly have been unaware of the serious risk of it once the VRS forces had decided to occupy the Srebrenica enclave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438. In view of their undeniable influence and of the information, voicing serious concern, in their possession, the Yugoslav federal authorities should, in the view of the Court, have made the best efforts within their power to try and prevent the tragic events then taking shape, whose scale, though it could not have been foreseen with certainty, might at least have been surmised. The FRY leadership, and President Milošević above all, were fully aware of the climate of deep-seated hatred which reigned between the Bosnian Serbs and the Muslims in the Srebrenica region. As the Court has noted in paragraph 423 above, it has not been shown that the decision to eliminate physically the whole of the adult male population of the Muslim community of Srebrenica was brought to the attention of the Belgrade authorities. Nevertheless, given all the international concern about what looked likely to happen at Srebrenica, given Milošević’s own observations to Mladić, which made it clear that the dangers were known and that these dangers seemed to be of an order that could suggest intent to commit genocide, unless brought under control, it must have been clear that there was a serious risk of genocide in Srebrenica. Yet the Respondent has not shown that it took any initiative to prevent what happened, or any action on its part to avert the atrocities which were committed. It must therefore be concluded that the organs of the Respondent did nothing to prevent the Srebrenica massacres, claiming that they were powerless to do so, which hardly tallies with their known influence over the VRS. As indicated above, for a State to be held responsible for breaching its obligation of prevention, it does not need to be proven that the State concerned definitely had the power to prevent the genocide; it is sufficient that it had the means to do so and that it manifestly refrained from using them. Such is the case here. In view of the foregoing, the Court concludes that the Respondent violated its obligation to prevent the Srebrenica genocide in such a manner as to engage its international responsibility.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 The obligation to punish genocide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439. The Court now turns to the question of the Respondent’s compliance with its obligation to punish the crime of genocide stemming from Article I and the other relevant provisions of the Convention.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440. In its fifth final submission, Bosnia and Herzegovina requests the Court to adjudge and declare: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“5. That Serbia and Montenegro has violated and is violating its obligations under the Convention on the Prevention and Punishment of the Crime of Genocide for having failed and for failing to punish acts of genocide or any other act prohibited by the Convention on the Prevention and Punishment of the Crime of Genocide, and for having failed and for failing to transfer individuals accused of genocide or any other act prohibited by the Convention to the International Criminal Tribunal for the former Yugoslavia and to fully co-operate with this Tribunal.”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lastRenderedPageBreak/>
        <w:t>441. This submission implicitly refers to Article VI of the Convention, according to which:</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“Persons charged with genocide or any of the other acts enumerated in article III shall be tried by a competent tribunal of the State in the territory of which the act was committed, or by such international penal tribunal as may have jurisdiction with respect to those Contracting Parties which shall have accepted its jurisdiction.”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442. The Court would first recall that the genocide in Srebrenica, the commission of which it has established above, was not carried out in the Respondent’s territory. It concludes from this that the Respondent cannot be charged with not having tried before its own courts those accused of having participated in the Srebrenica genocide, either as principal perpetrators or as accomplices, or of having committed one of the other acts mentioned in Article III of the Convention in connection with the Srebrenica genocide. Even if Serbian domestic law granted jurisdiction to its criminal courts to try those accused, and even supposing such proceedings were compatible with Serbia’s other international obligations, </w:t>
      </w:r>
      <w:r w:rsidRPr="00BE407E">
        <w:rPr>
          <w:rFonts w:ascii="Times New Roman" w:eastAsia="Times New Roman" w:hAnsi="Times New Roman" w:cs="Times New Roman"/>
          <w:i/>
          <w:iCs/>
          <w:sz w:val="24"/>
          <w:szCs w:val="24"/>
          <w:lang w:val="en-US"/>
        </w:rPr>
        <w:t xml:space="preserve">inter alia </w:t>
      </w:r>
      <w:r w:rsidRPr="00BE407E">
        <w:rPr>
          <w:rFonts w:ascii="Times New Roman" w:eastAsia="Times New Roman" w:hAnsi="Times New Roman" w:cs="Times New Roman"/>
          <w:sz w:val="24"/>
          <w:szCs w:val="24"/>
          <w:lang w:val="en-US"/>
        </w:rPr>
        <w:t>its obligation to co-operate with the ICTY, to which the Court will revert below, an obligation to try the perpetrators of the Srebrenica massacre in Serbia’s domestic courts cannot be deduced from Article VI. Article VI only obliges the Contracting Parties to institute and exercise territorial criminal jurisdiction; while it certainly does not prohibit States, with respect to genocide, from conferring jurisdiction on their criminal courts based on criteria other than where the crime was committed which are compatible with international law, in particular the nationality of the accused, it does not oblige them to do so.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443. It is thus to the obligation for States parties to co-operate with the “international penal tribunal” mentioned in the above provision that the Court must now turn its attention. For it is certain that once such a court has been established, Article VI obliges the Contracting Parties “which shall have accepted its jurisdiction” to co-operate with it, which implies that they will arrest persons accused of genocide who are in their territory – even if the crime of which they are accused was committed outside it – and, failing prosecution of them in the parties’ own courts, that they will hand them over for trial by the competent international tribunal.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444. In order to determine whether the Respondent has fulfilled its obligations in this respect, the Court must first answer two preliminary questions: does the ICTY constitute an “international penal tribunal” within the meaning of Article VI? And must the Respondent be regarded as having “accepted the jurisdiction” of the tribunal within the meaning of that provision?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445. As regards the first question, the Court considers that the reply must definitely be in the affirmative. The notion of an “international penal tribunal” within the meaning of Article VI must at least cover all international criminal courts created after the adoption of the Convention (at which date no such court existed) of potentially universal scope, and competent to try the perpetrators of genocide or any of the other acts enumerated in Article III. The nature of the legal instrument by which such a court is established is without importance in this respect. When drafting the Genocide Convention, its authors probably thought that such a court would be created by treaty: a clear pointer to this lies in the reference to “those Contracting Parties which shall have accepted [the] jurisdiction” of the international penal tribunal. Yet, it would be contrary to the object of the provision to interpret the notion of “international penal tribunal” restrictively in order to exclude from it a court which, as in the case of the ICTY, was created pursuant to a United Nations Security Council resolution adopted under Chapter VII of the Charter. The Court has found nothing to suggest that such a possibility was considered by the authors of the Convention, but no intention of seeking to exclude it can be </w:t>
      </w:r>
      <w:r w:rsidRPr="00BE407E">
        <w:rPr>
          <w:rFonts w:ascii="Times New Roman" w:eastAsia="Times New Roman" w:hAnsi="Times New Roman" w:cs="Times New Roman"/>
          <w:sz w:val="24"/>
          <w:szCs w:val="24"/>
          <w:lang w:val="en-US"/>
        </w:rPr>
        <w:lastRenderedPageBreak/>
        <w:t>imputed to them.</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446. The question whether the Respondent must be regarded as having “accepted the jurisdiction” of the ICTY within the meaning of Article VI must consequently be formulated as follows: is the Respondent obliged to accept the jurisdiction of the ICTY, and to co-operate with the Tribunal by virtue of the Security Council resolution which established it, or of some other rule of international law? If so, it would have to be concluded that, for the Respondent, co-operation with the ICTY constitutes both an obligation stemming from the resolution concerned and from the United Nations Charter, or from another norm of international law obliging the Respondent to co-operate, and an obligation arising from its status as a party to the Genocide Convention, this last clearly being the only one of direct relevance in the present case.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447. For the purposes of the present case, the Court only has to determine whether the FRY was under an obligation to co-operate with the ICTY, and if so, on what basis, from when the Srebrenica genocide was committed in July 1995. To that end, suffice it to note that the FRY was under an obligation to co-operate with the ICTY from 14 December 1995 at the latest, the date of the signing and entry into force of the Dayton Agreement between Bosnia and Herzegovina, Croatia and the FRY. Annex 1A of that treaty, made binding on the parties by virtue of its Article II, provides that they must fully co-operate, notably with the ICTY. Thus, from 14 December 1995 at the latest, and at least on the basis of the Dayton Agreement, the FRY must be regarded as having “accepted [the] jurisdiction” of the ICTY within the meaning of Article VI of the Convention. This fact is sufficient for the Court in its consideration of the present case, since its task is to rule upon the Respondent’s compliance with the obligation resulting from Article VI of the Convention in relation to the Srebrenica genocide, from when it was perpetrated to the present day, and since the Applicant has not invoked any failure to respect the obligation to co-operate alleged to have occurred specifically between July and December 1995. Similarly, the Court is not required to decide whether, between 1995 and 2000, the FRY’s obligation to co-operate had any legal basis besides the Dayton Agreement. Needless to say, the admission of the FRY to the United Nations in 2000 provided a further basis for its obligation to co-operate: but while the legal basis concerned was thereby confirmed, that did not change the scope of the obligation. There is therefore no need, for the purposes of assessing how the Respondent has complied with its obligation under Article VI of the Convention, to distinguish between the period before and the period after its admission as a Member of the United Nations, at any event from 14 December 1995 onwards.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448. Turning now to the facts of the case, the question the Court must answer is whether the Respondent has fully co-operated with the ICTY, in particular by arresting and handing over to the Tribunal any persons accused of genocide as a result of the Srebrenica genocide and finding themselves on its territory. In this connection, the Court would first observe that, during the oral proceedings, the Respondent asserted that the duty to co-operate had been complied with following the régime change in Belgrade in the year 2000, thus implicitly admitting that such had not been the case during the preceding period. The conduct of the organs of the FRY before the regime change however engages the Respondent’s international responsibility just as much as it does that of its State authorities from that date. Further, the Court cannot but attach a certain weight to the plentiful, and mutually corroborative, information suggesting that General Mladić, indicted by the ICTY for genocide, as one of those principally responsible for the Srebrenica massacres, was on the territory of the Respondent at least on several occasions and for substantial periods during the last few years and is still there now, without the Serb authorities doing what they could and can reasonably do to ascertain </w:t>
      </w:r>
      <w:r w:rsidRPr="00BE407E">
        <w:rPr>
          <w:rFonts w:ascii="Times New Roman" w:eastAsia="Times New Roman" w:hAnsi="Times New Roman" w:cs="Times New Roman"/>
          <w:sz w:val="24"/>
          <w:szCs w:val="24"/>
          <w:lang w:val="en-US"/>
        </w:rPr>
        <w:lastRenderedPageBreak/>
        <w:t>exactly where he is living and arrest him. In particular, counsel for the Applicant referred during the hearings to recent statements made by the Respondent’s Minister for Foreign Affairs, reproduced in the national press in April 2006, and according to which the intelligence services of that State knew where Mladić was living in Serbia, but refrained from informing the authorities competent to order his arrest because certain members of those services had allegedly remained loyal to the fugitive. The authenticity and accuracy of those statements has not been disputed by the Respondent at any time.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449. It therefore appears to the Court sufficiently established that the Respondent failed in its duty to co-operate fully with the ICTY. This failure constitutes a violation by the Respondent of its duties as a party to the Dayton Agreement, and as a Member of the United Nations, and accordingly a violation of its obligations under Article VI of the Genocide Convention. The Court is of course without jurisdiction in the present case to declare that the Respondent has breached any obligations other than those under the Convention. But as the Court has jurisdiction to declare a breach of Article VI insofar as it obliges States to co-operate with the “international penal tribunal”, the Court may find for that purpose that the requirements for the existence of such a breach have been met. One of those requirements is that the State whose responsibility is in issue must have “accepted [the] jurisdiction” of that “international penal tribunal”; the Court thus finds that the Respondent was under a duty to co-operate with the tribunal concerned pursuant to international instruments other than the Convention, and failed in that duty. On this point, the Applicant’s submissions relating to the violation by the Respondent of Articles I and VI of the Convention must therefore be upheld.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450. It follows from the foregoing considerations that the Respondent failed to comply both with its obligation to prevent and its obligation to punish genocide deriving from the Convention, and that its international responsibility is thereby engaged.</w:t>
      </w:r>
      <w:r>
        <w:rPr>
          <w:rFonts w:ascii="Times New Roman" w:eastAsia="Times New Roman" w:hAnsi="Times New Roman" w:cs="Times New Roman"/>
          <w:noProof/>
          <w:sz w:val="24"/>
          <w:szCs w:val="24"/>
        </w:rPr>
        <w:drawing>
          <wp:inline distT="0" distB="0" distL="0" distR="0">
            <wp:extent cx="151130" cy="142875"/>
            <wp:effectExtent l="19050" t="0" r="1270" b="0"/>
            <wp:docPr id="2658" name="Imagen 26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 by thirteen votes to two,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Finds </w:t>
      </w:r>
      <w:r w:rsidRPr="00BE407E">
        <w:rPr>
          <w:rFonts w:ascii="Times New Roman" w:eastAsia="Times New Roman" w:hAnsi="Times New Roman" w:cs="Times New Roman"/>
          <w:sz w:val="24"/>
          <w:szCs w:val="24"/>
          <w:lang w:val="en-US"/>
        </w:rPr>
        <w:t>that Serbia has not committed genocide, through its organs or persons whose acts engage its responsibility under customary international law, in violation of its obligations under the Convention on the Prevention and Punishment of the Crime of Genocide;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(3) by thirteen votes to two,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Finds </w:t>
      </w:r>
      <w:r w:rsidRPr="00BE407E">
        <w:rPr>
          <w:rFonts w:ascii="Times New Roman" w:eastAsia="Times New Roman" w:hAnsi="Times New Roman" w:cs="Times New Roman"/>
          <w:sz w:val="24"/>
          <w:szCs w:val="24"/>
          <w:lang w:val="en-US"/>
        </w:rPr>
        <w:t>that Serbia has not conspired to commit genocide, nor incited the commission of genocide, in violation of its obligations under the Convention on the Prevention and Punishment of the Crime of Genocide;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 by eleven votes to four,</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Finds </w:t>
      </w:r>
      <w:r w:rsidRPr="00BE407E">
        <w:rPr>
          <w:rFonts w:ascii="Times New Roman" w:eastAsia="Times New Roman" w:hAnsi="Times New Roman" w:cs="Times New Roman"/>
          <w:sz w:val="24"/>
          <w:szCs w:val="24"/>
          <w:lang w:val="en-US"/>
        </w:rPr>
        <w:t>that Serbia has not been complicit in genocide, in violation of its obligations under the Convention on the Prevention and Punishment of the Crime of Genocide;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 by twelve votes to three,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Finds </w:t>
      </w:r>
      <w:r w:rsidRPr="00BE407E">
        <w:rPr>
          <w:rFonts w:ascii="Times New Roman" w:eastAsia="Times New Roman" w:hAnsi="Times New Roman" w:cs="Times New Roman"/>
          <w:sz w:val="24"/>
          <w:szCs w:val="24"/>
          <w:lang w:val="en-US"/>
        </w:rPr>
        <w:t>that Serbia has violated the obligation to prevent genocide, under the Convention on the Prevention and Punishment of the Crime of Genocide, in respect of the genocide that occurred in Srebrenica in July 1995;</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(6) by fourteen votes to one,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Finds </w:t>
      </w:r>
      <w:r w:rsidRPr="00BE407E">
        <w:rPr>
          <w:rFonts w:ascii="Times New Roman" w:eastAsia="Times New Roman" w:hAnsi="Times New Roman" w:cs="Times New Roman"/>
          <w:sz w:val="24"/>
          <w:szCs w:val="24"/>
          <w:lang w:val="en-US"/>
        </w:rPr>
        <w:t xml:space="preserve">that Serbia has violated its obligations under the Convention on the Prevention and Punishment of the Crime of Genocide by having failed to transfer Ratko Mladić, indicted for genocide and complicity in genocide, for trial by the International Criminal Tribunal for the former Yugoslavia, and thus having failed fully to co-operate with that </w:t>
      </w:r>
      <w:r w:rsidRPr="00BE407E">
        <w:rPr>
          <w:rFonts w:ascii="Times New Roman" w:eastAsia="Times New Roman" w:hAnsi="Times New Roman" w:cs="Times New Roman"/>
          <w:sz w:val="24"/>
          <w:szCs w:val="24"/>
          <w:lang w:val="en-US"/>
        </w:rPr>
        <w:lastRenderedPageBreak/>
        <w:t>Tribunal;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(8) by fourteen votes to one,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Decides </w:t>
      </w:r>
      <w:r w:rsidRPr="00BE407E">
        <w:rPr>
          <w:rFonts w:ascii="Times New Roman" w:eastAsia="Times New Roman" w:hAnsi="Times New Roman" w:cs="Times New Roman"/>
          <w:sz w:val="24"/>
          <w:szCs w:val="24"/>
          <w:lang w:val="en-US"/>
        </w:rPr>
        <w:t>that Serbia shall immediately take effective steps to ensure full compliance with its obligation under the Convention on the Prevention and Punishment of the Crime of Genocide to punish acts of genocide as defined by Article II of the Convention, or any of the other acts proscribed by Article III of the Convention, and to transfer individuals accused of genocide or any of those other acts for trial by the International Criminal Tribunal for the former Yugoslavia, and to co-operate fully with that Tribunal.</w:t>
      </w:r>
      <w:r>
        <w:rPr>
          <w:rFonts w:ascii="Times New Roman" w:eastAsia="Times New Roman" w:hAnsi="Times New Roman" w:cs="Times New Roman"/>
          <w:noProof/>
          <w:sz w:val="24"/>
          <w:szCs w:val="24"/>
        </w:rPr>
        <w:drawing>
          <wp:inline distT="0" distB="0" distL="0" distR="0">
            <wp:extent cx="151130" cy="142875"/>
            <wp:effectExtent l="19050" t="0" r="1270" b="0"/>
            <wp:docPr id="2659" name="Imagen 26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International Criminal Tribunal for the former Yugoslavia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judgment in the </w:t>
      </w:r>
      <w:r w:rsidRPr="00BE407E">
        <w:rPr>
          <w:rFonts w:ascii="Times New Roman" w:eastAsia="Times New Roman" w:hAnsi="Times New Roman" w:cs="Times New Roman"/>
          <w:i/>
          <w:iCs/>
          <w:sz w:val="24"/>
          <w:szCs w:val="24"/>
          <w:lang w:val="en-US"/>
        </w:rPr>
        <w:t>Furundžija case</w:t>
      </w:r>
      <w:r w:rsidRPr="00BE407E">
        <w:rPr>
          <w:rFonts w:ascii="Times New Roman" w:eastAsia="Times New Roman" w:hAnsi="Times New Roman" w:cs="Times New Roman"/>
          <w:sz w:val="24"/>
          <w:szCs w:val="24"/>
          <w:lang w:val="en-US"/>
        </w:rPr>
        <w:t xml:space="preserve"> in 1998, the ICTY Trial Chamber held: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Under current international humanitarian law, in addition to individual criminal liability, State responsibility may ensue as a result of State officials engaging in torture or failing to prevent torture or to punish torturers. If carried out as an extensive practice of State officials, torture amounts to a serious breach on a widespread scale of an international obligation of essential importance for safeguarding the human being, thus constituting a particularly grave wrongful act generating State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2660" name="Imagen 26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its judgment on appeal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case</w:t>
      </w:r>
      <w:r w:rsidRPr="00BE407E">
        <w:rPr>
          <w:rFonts w:ascii="Times New Roman" w:eastAsia="Times New Roman" w:hAnsi="Times New Roman" w:cs="Times New Roman"/>
          <w:sz w:val="24"/>
          <w:szCs w:val="24"/>
          <w:lang w:val="en-US"/>
        </w:rPr>
        <w:t xml:space="preserve"> in 1999, the ICTY Appeals Chamber discussed the issue of State responsibility for the actions of irregular troops in great detail, not in order to reach any conclusion concerning the actual responsibility of any State, but in order to determine whether the conflict in Bosnia and Herzegovina was international and, therefore, whether the 1949 Geneva Convention IV applied. During its discussion on the topic, the Appeals Chamber had to determine the type of relationship that had to exist between the irregular troops and the State in question for the latter to be considered responsible for the acts of the former. The Appeals Chamber was of the view that: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137. … international rules do not always require the same degree of control over armed groups or private individuals for the purpose of determining whether an individual not having the status of a State official under internal legislation can be regarded as a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organ of the State. The extent of the requisite State control varies. Where the question at issue is whether a </w:t>
      </w:r>
      <w:r w:rsidRPr="00BE407E">
        <w:rPr>
          <w:rFonts w:ascii="Times New Roman" w:eastAsia="Times New Roman" w:hAnsi="Times New Roman" w:cs="Times New Roman"/>
          <w:i/>
          <w:iCs/>
          <w:sz w:val="24"/>
          <w:szCs w:val="24"/>
          <w:lang w:val="en-US"/>
        </w:rPr>
        <w:t>single</w:t>
      </w:r>
      <w:r w:rsidRPr="00BE407E">
        <w:rPr>
          <w:rFonts w:ascii="Times New Roman" w:eastAsia="Times New Roman" w:hAnsi="Times New Roman" w:cs="Times New Roman"/>
          <w:sz w:val="24"/>
          <w:szCs w:val="24"/>
          <w:lang w:val="en-US"/>
        </w:rPr>
        <w:t xml:space="preserve"> private individual or a </w:t>
      </w:r>
      <w:r w:rsidRPr="00BE407E">
        <w:rPr>
          <w:rFonts w:ascii="Times New Roman" w:eastAsia="Times New Roman" w:hAnsi="Times New Roman" w:cs="Times New Roman"/>
          <w:i/>
          <w:iCs/>
          <w:sz w:val="24"/>
          <w:szCs w:val="24"/>
          <w:lang w:val="en-US"/>
        </w:rPr>
        <w:t>group that is not militarily organised</w:t>
      </w:r>
      <w:r w:rsidRPr="00BE407E">
        <w:rPr>
          <w:rFonts w:ascii="Times New Roman" w:eastAsia="Times New Roman" w:hAnsi="Times New Roman" w:cs="Times New Roman"/>
          <w:sz w:val="24"/>
          <w:szCs w:val="24"/>
          <w:lang w:val="en-US"/>
        </w:rPr>
        <w:t xml:space="preserve"> has acted as a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State organ when performing a specific act, it is necessary to ascertain whether specific instructions concerning the commission of that particular act had been issued by that State to the individual or group in question; alternatively, it must be established whether the unlawful act had been publicly endorsed or approved </w:t>
      </w:r>
      <w:r w:rsidRPr="00BE407E">
        <w:rPr>
          <w:rFonts w:ascii="Times New Roman" w:eastAsia="Times New Roman" w:hAnsi="Times New Roman" w:cs="Times New Roman"/>
          <w:i/>
          <w:iCs/>
          <w:sz w:val="24"/>
          <w:szCs w:val="24"/>
          <w:lang w:val="en-US"/>
        </w:rPr>
        <w:t>ex post facto</w:t>
      </w:r>
      <w:r w:rsidRPr="00BE407E">
        <w:rPr>
          <w:rFonts w:ascii="Times New Roman" w:eastAsia="Times New Roman" w:hAnsi="Times New Roman" w:cs="Times New Roman"/>
          <w:sz w:val="24"/>
          <w:szCs w:val="24"/>
          <w:lang w:val="en-US"/>
        </w:rPr>
        <w:t xml:space="preserve"> by the State at issue. By contrast, control by a State over subordinate </w:t>
      </w:r>
      <w:r w:rsidRPr="00BE407E">
        <w:rPr>
          <w:rFonts w:ascii="Times New Roman" w:eastAsia="Times New Roman" w:hAnsi="Times New Roman" w:cs="Times New Roman"/>
          <w:i/>
          <w:iCs/>
          <w:sz w:val="24"/>
          <w:szCs w:val="24"/>
          <w:lang w:val="en-US"/>
        </w:rPr>
        <w:t>armed forces or militias or paramilitary units</w:t>
      </w:r>
      <w:r w:rsidRPr="00BE407E">
        <w:rPr>
          <w:rFonts w:ascii="Times New Roman" w:eastAsia="Times New Roman" w:hAnsi="Times New Roman" w:cs="Times New Roman"/>
          <w:sz w:val="24"/>
          <w:szCs w:val="24"/>
          <w:lang w:val="en-US"/>
        </w:rPr>
        <w:t xml:space="preserve"> may be of an overall character (and must comprise more than the mere provision of financial assistance or military equipment or training). This requirement, however, does not go so far as to include the issuing of specific orders by the State, or its direction of each individual operation. Under international law it is by no means necessary that the controlling authorities should plan all the operations of the units dependent on them, choose their targets, or give specific instructions concerning the conduct of military operations and any alleged violations of international humanitarian law. The control required by international law may be deemed to exist when a State (or, in the context of an armed conflict, the Party to the conflict) </w:t>
      </w:r>
      <w:r w:rsidRPr="00BE407E">
        <w:rPr>
          <w:rFonts w:ascii="Times New Roman" w:eastAsia="Times New Roman" w:hAnsi="Times New Roman" w:cs="Times New Roman"/>
          <w:i/>
          <w:iCs/>
          <w:sz w:val="24"/>
          <w:szCs w:val="24"/>
          <w:lang w:val="en-US"/>
        </w:rPr>
        <w:t>has a role in organising, coordinating or planning the military actions</w:t>
      </w:r>
      <w:r w:rsidRPr="00BE407E">
        <w:rPr>
          <w:rFonts w:ascii="Times New Roman" w:eastAsia="Times New Roman" w:hAnsi="Times New Roman" w:cs="Times New Roman"/>
          <w:sz w:val="24"/>
          <w:szCs w:val="24"/>
          <w:lang w:val="en-US"/>
        </w:rPr>
        <w:t xml:space="preserve"> of the military group, in addition to financing, training and equipping or providing operational support to that group. Acts performed by the group or members thereof may be regarded as acts of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State organs regardless of any specific </w:t>
      </w:r>
      <w:r w:rsidRPr="00BE407E">
        <w:rPr>
          <w:rFonts w:ascii="Times New Roman" w:eastAsia="Times New Roman" w:hAnsi="Times New Roman" w:cs="Times New Roman"/>
          <w:sz w:val="24"/>
          <w:szCs w:val="24"/>
          <w:lang w:val="en-US"/>
        </w:rPr>
        <w:lastRenderedPageBreak/>
        <w:t>instruction by the controlling State concerning the commission of each of those acts.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138. Of course, if, as in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the controlling State is </w:t>
      </w:r>
      <w:r w:rsidRPr="00BE407E">
        <w:rPr>
          <w:rFonts w:ascii="Times New Roman" w:eastAsia="Times New Roman" w:hAnsi="Times New Roman" w:cs="Times New Roman"/>
          <w:i/>
          <w:iCs/>
          <w:sz w:val="24"/>
          <w:szCs w:val="24"/>
          <w:lang w:val="en-US"/>
        </w:rPr>
        <w:t>not the territorial State</w:t>
      </w:r>
      <w:r w:rsidRPr="00BE407E">
        <w:rPr>
          <w:rFonts w:ascii="Times New Roman" w:eastAsia="Times New Roman" w:hAnsi="Times New Roman" w:cs="Times New Roman"/>
          <w:sz w:val="24"/>
          <w:szCs w:val="24"/>
          <w:lang w:val="en-US"/>
        </w:rPr>
        <w:t xml:space="preserve"> where the armed clashes occur or where at any rate the armed units perform their acts, more extensive and compelling evidence is required to show that the State is genuinely in control of the units or groups not merely by financing and equipping them, but also by generally directing or helping plan their actions.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139. The same substantial evidence is required when, although the State in question is the territorial State where armed clashes occur, the general situation is one of turmoil, civil strife and weakened State authority.</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140. Where the controlling State in question is an adjacent State with territorial ambitions on the State where the conflict is taking place, and the controlling State is attempting to achieve its territorial enlargement through the armed forces which it controls, it may be easier to establish the threshold.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141. It should be added that international law does not provide only for a test of overall control applying to armed groups and that of specific instructions (or subsequent public approval), applying to single individuals or militarily unorganised groups. The Appeals Chamber holds the view that international law also embraces a third test. This test is the assimilation of individuals to State organs on account of their actual behaviour within the structure of a State (and regardless of any possible requirement of State instructions)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145. In the light of the above discussion, the following conclusion may be safely reached. In the case at issue, given that the Bosnian Serb armed forces constituted a “military organization”, the control of the FRY authorities over these armed forces required by international law for considering the armed conflict to be international was overall control going beyond the mere financing and equipping of such forces and involving also participation in the planning and supervision of military operations. By contrast, international rules do not require that such control should extend to the issuance of specific orders or instructions relating to single military actions, whether or not such actions were contrary to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2661" name="Imagen 26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[emphasis in original]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its judgment in the </w:t>
      </w:r>
      <w:r w:rsidRPr="00BE407E">
        <w:rPr>
          <w:rFonts w:ascii="Times New Roman" w:eastAsia="Times New Roman" w:hAnsi="Times New Roman" w:cs="Times New Roman"/>
          <w:i/>
          <w:iCs/>
          <w:sz w:val="24"/>
          <w:szCs w:val="24"/>
          <w:lang w:val="en-US"/>
        </w:rPr>
        <w:t>Blaškić case</w:t>
      </w:r>
      <w:r w:rsidRPr="00BE407E">
        <w:rPr>
          <w:rFonts w:ascii="Times New Roman" w:eastAsia="Times New Roman" w:hAnsi="Times New Roman" w:cs="Times New Roman"/>
          <w:sz w:val="24"/>
          <w:szCs w:val="24"/>
          <w:lang w:val="en-US"/>
        </w:rPr>
        <w:t xml:space="preserve"> in 2000, the ICTY Trial Chamber, referring to the </w:t>
      </w:r>
      <w:r w:rsidRPr="00BE407E">
        <w:rPr>
          <w:rFonts w:ascii="Times New Roman" w:eastAsia="Times New Roman" w:hAnsi="Times New Roman" w:cs="Times New Roman"/>
          <w:i/>
          <w:iCs/>
          <w:sz w:val="24"/>
          <w:szCs w:val="24"/>
          <w:lang w:val="en-US"/>
        </w:rPr>
        <w:t>Tadić case</w:t>
      </w:r>
      <w:r w:rsidRPr="00BE407E">
        <w:rPr>
          <w:rFonts w:ascii="Times New Roman" w:eastAsia="Times New Roman" w:hAnsi="Times New Roman" w:cs="Times New Roman"/>
          <w:sz w:val="24"/>
          <w:szCs w:val="24"/>
          <w:lang w:val="en-US"/>
        </w:rPr>
        <w:t xml:space="preserve"> (Judgment on Appeal),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95. Aside from the direct intervention by HV [Army of the Republic of Croatia] forces, the Trial Chamber observes that Croatia exercised indirect control over the HVO [Croatian Defence Council, Bosnia and Herzegovina] and HZHB [Croatian Community of Bosnia and Herzegovina].</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96. … Some degree of control exercised by a Party to a conflict over the perpetrators of the breaches is needed for them to be held criminally responsible on the basis of Article 2 of the Statute. The question of determining the degree of control required then arises.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99. The Appeals Chamber clearly laid out the three control criteria which allow the acts of individuals or groups to be ascribed to a foreign State, circumstances which transform what at first sight is an internal armed conflict into an international one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100. The matter is one of possibly imputing the acts of the HVO to the Republic of Croatia which would then confer an international nature upon the conflict played out in the Lasva Valley. It is the third criterion which applies in this instance. This criterion allows the degree of State control required by international law to be determined in order to be able to ascribe to a foreign State the acts of armed forces, militia and paramilitary units (hereinafter “organised groups”). The Appeals Chamber characterised it as a criterion of overall control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101. … The factors which permit the existence of overall control to be proved may vary depending on the circumstances.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102. In this instance, the direct intervention of the HV in Bosnia and in the CBOZ [Central Bosnia Operative Zone] has already been demonstrated above. Mention may be made of several other indications of Croatia’s involvement in the conflict which rebut the Defence argument that the HV did indeed direct HVO operations, but only between March and June 1992 before the HVO became organised and prior to the outbreak of the conflict in central Bosnia between the Croatian and Muslim forces. The Trial Chamber concurs that the involvement of the HV and Croatia may appear more clear-cut at the start of the period under consideration but deems that it persisted throughout the conflict.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103. This involvement does not seem to be the result only of the particular circumstances prevailing at the time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112. Croatia was … directly involved in the control of the HVO forces which were created on 8 April by the HZHB presidency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114. The Defence furthermore did not challenge the fact that the HVO shared personnel, often from BH [Bosnia and Herzegovina], with the HV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118. The Bosnian Croat leaders followed the directions given by Zagreb or, at least, co-ordinated their decisions with the Croatian government. Co-ordination was manifest at various levels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119. … The evidence demonstrates that there were regular meetings with President Tudjman and that the Bosnian Croat leaders, appointed by Croatia or with its consent, continued to direct the HZHB and the HVO well after June 1992.</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120. Apart from providing manpower, Croatia also lent substantial material assistance to the HVO in the form of financial and logistical support … Croatia supplied the HVO with large quantities of arms and materiel in 1992, 1993 and 1994 … Equipment was also supplied to the ABiH [Army of Bosnia and Herzegovina] but this ceased in 1993 during the conflict between the HVO and the ABiH. HVO troops were trained in Croatia.</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122. In the light of all the foregoing and, in particular, the Croatian territorial ambitions in respect of Bosnia-Herzegovina detailed above, the Trial Chamber finds that Croatia, and more specifically former President Tudjman, was hoping to partition Bosnia and exercised such a degree of control over the Bosnian Croats and especially the HVO that it is justified to speak of overall control. Contrary to what the Defence asserted, the Trial Chamber concluded that the close ties between Croatia and the Bosnian Croats did not cease with the establishment of the HVO.</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123. Croatia’s indirect intervention would therefore permit the conclusion that the conflict was international.</w:t>
      </w:r>
      <w:r>
        <w:rPr>
          <w:rFonts w:ascii="Times New Roman" w:eastAsia="Times New Roman" w:hAnsi="Times New Roman" w:cs="Times New Roman"/>
          <w:noProof/>
          <w:sz w:val="24"/>
          <w:szCs w:val="24"/>
        </w:rPr>
        <w:drawing>
          <wp:inline distT="0" distB="0" distL="0" distR="0">
            <wp:extent cx="151130" cy="142875"/>
            <wp:effectExtent l="19050" t="0" r="1270" b="0"/>
            <wp:docPr id="2662" name="Imagen 26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its judgment on appeal in the </w:t>
      </w:r>
      <w:r w:rsidRPr="00BE407E">
        <w:rPr>
          <w:rFonts w:ascii="Times New Roman" w:eastAsia="Times New Roman" w:hAnsi="Times New Roman" w:cs="Times New Roman"/>
          <w:i/>
          <w:iCs/>
          <w:sz w:val="24"/>
          <w:szCs w:val="24"/>
          <w:lang w:val="en-US"/>
        </w:rPr>
        <w:t>Aleksovski case</w:t>
      </w:r>
      <w:r w:rsidRPr="00BE407E">
        <w:rPr>
          <w:rFonts w:ascii="Times New Roman" w:eastAsia="Times New Roman" w:hAnsi="Times New Roman" w:cs="Times New Roman"/>
          <w:sz w:val="24"/>
          <w:szCs w:val="24"/>
          <w:lang w:val="en-US"/>
        </w:rPr>
        <w:t xml:space="preserve"> in 2000, the ICTY Appeals Chamber, referring to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and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cases,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137. In the </w:t>
      </w:r>
      <w:r w:rsidRPr="00BE407E">
        <w:rPr>
          <w:rFonts w:ascii="Times New Roman" w:eastAsia="Times New Roman" w:hAnsi="Times New Roman" w:cs="Times New Roman"/>
          <w:i/>
          <w:iCs/>
          <w:sz w:val="24"/>
          <w:szCs w:val="24"/>
          <w:lang w:val="en-US"/>
        </w:rPr>
        <w:t>Aleksovski</w:t>
      </w:r>
      <w:r w:rsidRPr="00BE407E">
        <w:rPr>
          <w:rFonts w:ascii="Times New Roman" w:eastAsia="Times New Roman" w:hAnsi="Times New Roman" w:cs="Times New Roman"/>
          <w:sz w:val="24"/>
          <w:szCs w:val="24"/>
          <w:lang w:val="en-US"/>
        </w:rPr>
        <w:t xml:space="preserve"> case, the question was whether the HVO [Croatian Defence Council, Bosnia and Herzegovina] forces, while not being official agents of the Croatian government, could be said to be acting as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agents of the Croatian State. In seeking to answer this question, the Majority Opinion made the following reference to the decision of the Appeals Chamber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Jurisdiction Decision:</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 xml:space="preserve">The Appeals Chamber in the </w:t>
      </w:r>
      <w:r w:rsidRPr="00B431DD">
        <w:rPr>
          <w:rFonts w:ascii="Times New Roman" w:eastAsia="Times New Roman" w:hAnsi="Times New Roman" w:cs="Times New Roman"/>
          <w:i/>
          <w:iCs/>
          <w:sz w:val="24"/>
          <w:szCs w:val="24"/>
          <w:lang w:val="en-US"/>
        </w:rPr>
        <w:t>Tadić Interlocutory Decision</w:t>
      </w:r>
      <w:r w:rsidRPr="00B431DD">
        <w:rPr>
          <w:rFonts w:ascii="Times New Roman" w:eastAsia="Times New Roman" w:hAnsi="Times New Roman" w:cs="Times New Roman"/>
          <w:sz w:val="24"/>
          <w:szCs w:val="24"/>
          <w:lang w:val="en-US"/>
        </w:rPr>
        <w:t xml:space="preserve"> did not specify the requisite degree of intervention by a foreign State in the territory of another State to internationalise an armed conflict. However, it did provide some guidance on the matter by indicating that the clashes between the Government of Bosnia and Herzegovina and the Bosnian Serb forces should be considered as internal, unless a “direct involvement” of the JNA [Yugoslav People’s Army] could be proved, in which case the conflict should be considered to be an international one.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Further indication of the majority’s reasoning is garnered from the following paragraph:</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A State can act in international law directly through governmental authorities and officials, or indirectly through individuals or organisations who, while not being official agents of the government, receive from it some power or assignment to perform acts on its behalf such that they become </w:t>
      </w:r>
      <w:r w:rsidRPr="00B431DD">
        <w:rPr>
          <w:rFonts w:ascii="Times New Roman" w:eastAsia="Times New Roman" w:hAnsi="Times New Roman" w:cs="Times New Roman"/>
          <w:i/>
          <w:iCs/>
          <w:sz w:val="24"/>
          <w:szCs w:val="24"/>
          <w:lang w:val="en-US"/>
        </w:rPr>
        <w:t>de facto</w:t>
      </w:r>
      <w:r w:rsidRPr="00B431DD">
        <w:rPr>
          <w:rFonts w:ascii="Times New Roman" w:eastAsia="Times New Roman" w:hAnsi="Times New Roman" w:cs="Times New Roman"/>
          <w:sz w:val="24"/>
          <w:szCs w:val="24"/>
          <w:lang w:val="en-US"/>
        </w:rPr>
        <w:t xml:space="preserve"> agents.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138. The phrase “receive from it some power or assignment to perform acts on its behalf such that they become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agents,” does, in the opinion of the Appeals Chamber, indicate that the position of the majority was that some kind of instruction was required in order for the requisite relationship between the Bosnian Croats and the Croatian State to be established. This is what the Prosecution refers to as the “specific instructions” test.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139. The Majority Opinion then referred to the ICJ decision in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in this way:</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According to the International Court of Justice (“the ICJ”), where the relationship of a rebel force to a foreign State is one of such dependence on the one side and control on the other that it would be appropriate to equate the rebel force, for legal purposes, with an organ of that State, or as acting on behalf of that State, then in such a case the conflict can be seen to be an international one, even if it is </w:t>
      </w:r>
      <w:r w:rsidRPr="00B431DD">
        <w:rPr>
          <w:rFonts w:ascii="Times New Roman" w:eastAsia="Times New Roman" w:hAnsi="Times New Roman" w:cs="Times New Roman"/>
          <w:i/>
          <w:iCs/>
          <w:sz w:val="24"/>
          <w:szCs w:val="24"/>
          <w:lang w:val="en-US"/>
        </w:rPr>
        <w:t>prima facie</w:t>
      </w:r>
      <w:r w:rsidRPr="00B431DD">
        <w:rPr>
          <w:rFonts w:ascii="Times New Roman" w:eastAsia="Times New Roman" w:hAnsi="Times New Roman" w:cs="Times New Roman"/>
          <w:sz w:val="24"/>
          <w:szCs w:val="24"/>
          <w:lang w:val="en-US"/>
        </w:rPr>
        <w:t xml:space="preserve"> internal and there is no direct involvement of the armed forces of the State.</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It made further reference to the reliance placed by the majority Judgement of Judge Stephen and Judge Vohrah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case (first instance), “on the high standard expounded by the ICJ in the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case in the sense that the international responsibility of a State can arise only if control is exercised (“directed and enforced”) with respect to specific military or paramilitary operations.”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140. In dealing with the relationship between the HV [Army of the Republic of Croatia] and HVO forces, the majority commented on a particular aspect of the evidence of the expert witness: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The expert witness presented an order from the </w:t>
      </w:r>
      <w:r w:rsidRPr="00B431DD">
        <w:rPr>
          <w:rFonts w:ascii="Times New Roman" w:eastAsia="Times New Roman" w:hAnsi="Times New Roman" w:cs="Times New Roman"/>
          <w:sz w:val="24"/>
          <w:szCs w:val="24"/>
          <w:u w:val="single"/>
          <w:lang w:val="en-US"/>
        </w:rPr>
        <w:t>HVO</w:t>
      </w:r>
      <w:r w:rsidRPr="00B431DD">
        <w:rPr>
          <w:rFonts w:ascii="Times New Roman" w:eastAsia="Times New Roman" w:hAnsi="Times New Roman" w:cs="Times New Roman"/>
          <w:sz w:val="24"/>
          <w:szCs w:val="24"/>
          <w:lang w:val="en-US"/>
        </w:rPr>
        <w:t xml:space="preserve"> (not the HV) – this distinction is very important – to their soldiers to remove the HV insignias (November–December 1992) because of potential problems to Croatia. While there is a document dated May 1993 which allowed the transfer/promotion of soldiers from the HVO to the HV, this does not in itself prove the dependency of the HVO on the HV.</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141. The Appeals Chamber makes two observations about this paragraph. First, the fact that the Majority Opinion goes out of its way to mention that the order came from the HVO, and not the HV, and that the distinction was very important, highlights the weight the Trial Chamber attached to an order or instruction of the controlling State as a prerequisite for the attribution of acts of members of a military group to a State. Secondly, to the extent that the Majority Opinion uses dependency as a criterion, it is not consistent with the decision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Judgement.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142. Significantly, the Majority Opinion concludes by finding that “the Prosecution failed to discharge its burden of proving that, during the time-period and in the place of the indictment, the HVO was in fact acting under the overall control of the HV in carrying out the armed conflict against Bosnia and Herzegovina.”</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143. The Appeals Chamber finds that, notwithstanding the express reference to “overall </w:t>
      </w:r>
      <w:r w:rsidRPr="00BE407E">
        <w:rPr>
          <w:rFonts w:ascii="Times New Roman" w:eastAsia="Times New Roman" w:hAnsi="Times New Roman" w:cs="Times New Roman"/>
          <w:sz w:val="24"/>
          <w:szCs w:val="24"/>
          <w:lang w:val="en-US"/>
        </w:rPr>
        <w:lastRenderedPageBreak/>
        <w:t xml:space="preserve">control”, the </w:t>
      </w:r>
      <w:r w:rsidRPr="00BE407E">
        <w:rPr>
          <w:rFonts w:ascii="Times New Roman" w:eastAsia="Times New Roman" w:hAnsi="Times New Roman" w:cs="Times New Roman"/>
          <w:i/>
          <w:iCs/>
          <w:sz w:val="24"/>
          <w:szCs w:val="24"/>
          <w:lang w:val="en-US"/>
        </w:rPr>
        <w:t>Aleksovski</w:t>
      </w:r>
      <w:r w:rsidRPr="00BE407E">
        <w:rPr>
          <w:rFonts w:ascii="Times New Roman" w:eastAsia="Times New Roman" w:hAnsi="Times New Roman" w:cs="Times New Roman"/>
          <w:sz w:val="24"/>
          <w:szCs w:val="24"/>
          <w:lang w:val="en-US"/>
        </w:rPr>
        <w:t xml:space="preserve"> Judgement did not in fact apply the test of overall control. Instead, the passages cited show that the majority gave prominence to the need for specific instructions or orders as a prerequisite for attributing the acts of the HVO to the State of Croatia, a showing that is not required under the test of overall control.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144. The test set forth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Judgement of “overall control” and what is required to meet it constitutes a different standard from the “specific instructions” test employed by the majority in </w:t>
      </w:r>
      <w:r w:rsidRPr="00BE407E">
        <w:rPr>
          <w:rFonts w:ascii="Times New Roman" w:eastAsia="Times New Roman" w:hAnsi="Times New Roman" w:cs="Times New Roman"/>
          <w:i/>
          <w:iCs/>
          <w:sz w:val="24"/>
          <w:szCs w:val="24"/>
          <w:lang w:val="en-US"/>
        </w:rPr>
        <w:t>Aleksovski</w:t>
      </w:r>
      <w:r w:rsidRPr="00BE407E">
        <w:rPr>
          <w:rFonts w:ascii="Times New Roman" w:eastAsia="Times New Roman" w:hAnsi="Times New Roman" w:cs="Times New Roman"/>
          <w:sz w:val="24"/>
          <w:szCs w:val="24"/>
          <w:lang w:val="en-US"/>
        </w:rPr>
        <w:t xml:space="preserve">, or the reference to “direct involvement”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Jurisdiction Decision.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145. The “overall control” test calls for an assessment of all the elements of control taken as a whole, and a determination to be made on that basis as to whether there was the required degree of control. Bearing in mind that the Appeals Chamber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Judgement arrived at this test against the background of the “effective control” test set out by the decision of the ICJ in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and the “specific instructions” test used by the Trial Chamber in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the Appeals Chamber considers it appropriate to say that the standard established by the “overall control” test is not as rigorous as those tests.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146. To the extent that it provides for greater protection of civilian victims of armed conflicts, this different and less rigorous standard is wholly consistent with the fundamental purpose of Geneva Convention IV, which is to ensure “protection of civilians to the maximum extent possible.”</w:t>
      </w:r>
      <w:r>
        <w:rPr>
          <w:rFonts w:ascii="Times New Roman" w:eastAsia="Times New Roman" w:hAnsi="Times New Roman" w:cs="Times New Roman"/>
          <w:noProof/>
          <w:sz w:val="24"/>
          <w:szCs w:val="24"/>
        </w:rPr>
        <w:drawing>
          <wp:inline distT="0" distB="0" distL="0" distR="0">
            <wp:extent cx="151130" cy="142875"/>
            <wp:effectExtent l="19050" t="0" r="1270" b="0"/>
            <wp:docPr id="2663" name="Imagen 26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In its judgment on appeal in the </w:t>
      </w:r>
      <w:r w:rsidRPr="00BE407E">
        <w:rPr>
          <w:rFonts w:ascii="Times New Roman" w:eastAsia="Times New Roman" w:hAnsi="Times New Roman" w:cs="Times New Roman"/>
          <w:i/>
          <w:iCs/>
          <w:sz w:val="24"/>
          <w:szCs w:val="24"/>
          <w:lang w:val="en-US"/>
        </w:rPr>
        <w:t>Mucić case</w:t>
      </w:r>
      <w:r w:rsidRPr="00BE407E">
        <w:rPr>
          <w:rFonts w:ascii="Times New Roman" w:eastAsia="Times New Roman" w:hAnsi="Times New Roman" w:cs="Times New Roman"/>
          <w:sz w:val="24"/>
          <w:szCs w:val="24"/>
          <w:lang w:val="en-US"/>
        </w:rPr>
        <w:t xml:space="preserve"> in 2001, the ICTY Appeals Chamber, referring to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Aleksovski</w:t>
      </w:r>
      <w:r w:rsidRPr="00BE407E">
        <w:rPr>
          <w:rFonts w:ascii="Times New Roman" w:eastAsia="Times New Roman" w:hAnsi="Times New Roman" w:cs="Times New Roman"/>
          <w:sz w:val="24"/>
          <w:szCs w:val="24"/>
          <w:lang w:val="en-US"/>
        </w:rPr>
        <w:t xml:space="preserve"> and </w:t>
      </w:r>
      <w:r w:rsidRPr="00BE407E">
        <w:rPr>
          <w:rFonts w:ascii="Times New Roman" w:eastAsia="Times New Roman" w:hAnsi="Times New Roman" w:cs="Times New Roman"/>
          <w:i/>
          <w:iCs/>
          <w:sz w:val="24"/>
          <w:szCs w:val="24"/>
          <w:lang w:val="en-US"/>
        </w:rPr>
        <w:t xml:space="preserve">Nicaragua </w:t>
      </w:r>
      <w:r w:rsidRPr="00BE407E">
        <w:rPr>
          <w:rFonts w:ascii="Times New Roman" w:eastAsia="Times New Roman" w:hAnsi="Times New Roman" w:cs="Times New Roman"/>
          <w:sz w:val="24"/>
          <w:szCs w:val="24"/>
          <w:lang w:val="en-US"/>
        </w:rPr>
        <w:t>cases,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13. The Appeals Chamber saw the question of internationality as turning on the issue of whether the Bosnian Serb forces “could be considered as </w:t>
      </w:r>
      <w:r w:rsidRPr="00BE407E">
        <w:rPr>
          <w:rFonts w:ascii="Times New Roman" w:eastAsia="Times New Roman" w:hAnsi="Times New Roman" w:cs="Times New Roman"/>
          <w:i/>
          <w:iCs/>
          <w:sz w:val="24"/>
          <w:szCs w:val="24"/>
          <w:lang w:val="en-US"/>
        </w:rPr>
        <w:t>de iure</w:t>
      </w:r>
      <w:r w:rsidRPr="00BE407E">
        <w:rPr>
          <w:rFonts w:ascii="Times New Roman" w:eastAsia="Times New Roman" w:hAnsi="Times New Roman" w:cs="Times New Roman"/>
          <w:sz w:val="24"/>
          <w:szCs w:val="24"/>
          <w:lang w:val="en-US"/>
        </w:rPr>
        <w:t xml:space="preserve"> or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organs of a foreign power, namely the FRY”. The important question was “</w:t>
      </w:r>
      <w:r w:rsidRPr="00BE407E">
        <w:rPr>
          <w:rFonts w:ascii="Times New Roman" w:eastAsia="Times New Roman" w:hAnsi="Times New Roman" w:cs="Times New Roman"/>
          <w:i/>
          <w:iCs/>
          <w:sz w:val="24"/>
          <w:szCs w:val="24"/>
          <w:lang w:val="en-US"/>
        </w:rPr>
        <w:t>what degree of authority or control</w:t>
      </w:r>
      <w:r w:rsidRPr="00BE407E">
        <w:rPr>
          <w:rFonts w:ascii="Times New Roman" w:eastAsia="Times New Roman" w:hAnsi="Times New Roman" w:cs="Times New Roman"/>
          <w:sz w:val="24"/>
          <w:szCs w:val="24"/>
          <w:lang w:val="en-US"/>
        </w:rPr>
        <w:t xml:space="preserve"> must be wielded by a foreign State over armed forces fighting on its behalf in order to render international an armed conflict which is </w:t>
      </w:r>
      <w:r w:rsidRPr="00BE407E">
        <w:rPr>
          <w:rFonts w:ascii="Times New Roman" w:eastAsia="Times New Roman" w:hAnsi="Times New Roman" w:cs="Times New Roman"/>
          <w:i/>
          <w:iCs/>
          <w:sz w:val="24"/>
          <w:szCs w:val="24"/>
          <w:lang w:val="en-US"/>
        </w:rPr>
        <w:t>prima facie</w:t>
      </w:r>
      <w:r w:rsidRPr="00BE407E">
        <w:rPr>
          <w:rFonts w:ascii="Times New Roman" w:eastAsia="Times New Roman" w:hAnsi="Times New Roman" w:cs="Times New Roman"/>
          <w:sz w:val="24"/>
          <w:szCs w:val="24"/>
          <w:lang w:val="en-US"/>
        </w:rPr>
        <w:t xml:space="preserve"> internal”. The Chamber considered, after a review of various cases including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that international law does not always require the same degree of control over armed groups or private individuals for the purpose of determining whether they can be regarded as a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organ of the State. The Appeals Chamber found that there were three different standards of control under which an entity could be considered a </w:t>
      </w:r>
      <w:r w:rsidRPr="00BE407E">
        <w:rPr>
          <w:rFonts w:ascii="Times New Roman" w:eastAsia="Times New Roman" w:hAnsi="Times New Roman" w:cs="Times New Roman"/>
          <w:i/>
          <w:iCs/>
          <w:sz w:val="24"/>
          <w:szCs w:val="24"/>
          <w:lang w:val="en-US"/>
        </w:rPr>
        <w:t>de facto</w:t>
      </w:r>
      <w:r w:rsidRPr="00BE407E">
        <w:rPr>
          <w:rFonts w:ascii="Times New Roman" w:eastAsia="Times New Roman" w:hAnsi="Times New Roman" w:cs="Times New Roman"/>
          <w:sz w:val="24"/>
          <w:szCs w:val="24"/>
          <w:lang w:val="en-US"/>
        </w:rPr>
        <w:t xml:space="preserve"> organ of the State, each differing according to the nature of the entity. Using this framework, the Appeals Chamber determined that the situation with which it was concerned fell into the second category it identified, which was that of the acts of armed forces or militias or paramilitary units.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14. The Appeals Chamber determined that the legal test which applies to this category was the “overall control” test:</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 order to attribute the acts of a military or paramilitary group to a State, it must be proved that the State wields </w:t>
      </w:r>
      <w:r w:rsidRPr="00B431DD">
        <w:rPr>
          <w:rFonts w:ascii="Times New Roman" w:eastAsia="Times New Roman" w:hAnsi="Times New Roman" w:cs="Times New Roman"/>
          <w:i/>
          <w:iCs/>
          <w:sz w:val="24"/>
          <w:szCs w:val="24"/>
          <w:lang w:val="en-US"/>
        </w:rPr>
        <w:t>overall control</w:t>
      </w:r>
      <w:r w:rsidRPr="00B431DD">
        <w:rPr>
          <w:rFonts w:ascii="Times New Roman" w:eastAsia="Times New Roman" w:hAnsi="Times New Roman" w:cs="Times New Roman"/>
          <w:sz w:val="24"/>
          <w:szCs w:val="24"/>
          <w:lang w:val="en-US"/>
        </w:rPr>
        <w:t xml:space="preserve"> over the group, not only by equipping and financing the group, but also by co-ordinating or helping in the general planning of its military activity. […] However, it is not necessary that, in addition, the State should also issue, either to the head or to members of the group, instructions for the commission of specific acts contrary to international law.</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15. Overall control was defined as consisting of more than “the mere provision of financial assistance or military equipment or training”. Further, the Appeals Chamber adopted a flexible definition of this test, which allows it to take into consideration the diversity of situations on the field in present-day conflicts: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This requirement, however, does not go so far as to include the issuing of specific orders by the State, or its direction of each individual operation. Under international law it is by no means necessary that the controlling authorities should plan all the operations </w:t>
      </w:r>
      <w:r w:rsidRPr="00B431DD">
        <w:rPr>
          <w:rFonts w:ascii="Times New Roman" w:eastAsia="Times New Roman" w:hAnsi="Times New Roman" w:cs="Times New Roman"/>
          <w:sz w:val="24"/>
          <w:szCs w:val="24"/>
          <w:lang w:val="en-US"/>
        </w:rPr>
        <w:lastRenderedPageBreak/>
        <w:t xml:space="preserve">of the units dependent on them, choose their targets, or give specific instructions concerning the conduct of military operations and any alleged violations of international humanitarian law. The control required by international law may be deemed to exist when a State (or in the context of an armed conflict, the Party to the conflict) </w:t>
      </w:r>
      <w:r w:rsidRPr="00B431DD">
        <w:rPr>
          <w:rFonts w:ascii="Times New Roman" w:eastAsia="Times New Roman" w:hAnsi="Times New Roman" w:cs="Times New Roman"/>
          <w:i/>
          <w:iCs/>
          <w:sz w:val="24"/>
          <w:szCs w:val="24"/>
          <w:lang w:val="en-US"/>
        </w:rPr>
        <w:t>has a role in organising, coordinating or planning the military actions</w:t>
      </w:r>
      <w:r w:rsidRPr="00B431DD">
        <w:rPr>
          <w:rFonts w:ascii="Times New Roman" w:eastAsia="Times New Roman" w:hAnsi="Times New Roman" w:cs="Times New Roman"/>
          <w:sz w:val="24"/>
          <w:szCs w:val="24"/>
          <w:lang w:val="en-US"/>
        </w:rPr>
        <w:t xml:space="preserve"> of the military group, in addition to financing, training and equipping or providing operational support to that group. Acts performed by the group or members thereof may be regarded as acts of </w:t>
      </w:r>
      <w:r w:rsidRPr="00B431DD">
        <w:rPr>
          <w:rFonts w:ascii="Times New Roman" w:eastAsia="Times New Roman" w:hAnsi="Times New Roman" w:cs="Times New Roman"/>
          <w:i/>
          <w:iCs/>
          <w:sz w:val="24"/>
          <w:szCs w:val="24"/>
          <w:lang w:val="en-US"/>
        </w:rPr>
        <w:t>de facto</w:t>
      </w:r>
      <w:r w:rsidRPr="00B431DD">
        <w:rPr>
          <w:rFonts w:ascii="Times New Roman" w:eastAsia="Times New Roman" w:hAnsi="Times New Roman" w:cs="Times New Roman"/>
          <w:sz w:val="24"/>
          <w:szCs w:val="24"/>
          <w:lang w:val="en-US"/>
        </w:rPr>
        <w:t xml:space="preserve"> State organs regardless of any specific instruction by the controlling State concerning the commission of each of those acts.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16. The Appeals Chamber in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considered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in depth, and based on two grounds, held that the “effective control” test enunciated by the ICJ was not persuasive.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17. Firstly, the Appeals Chamber found that the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“effective control” test did not seem to be consonant with the “very logic of the entire system of international law on State responsibility”, which is “not based on rigid and uniform criteria”. In the Appeals Chamber’s view, “the whole body of international law on State responsibility is based on a realistic concept of accountability, which disregards legal formalities”. Thus, regardless of whether or not specific instructions were issued, the international responsibility of the State may be engaged.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18. Secondly, the Appeals Chamber considered that the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test is at variance with judicial and State practice. Relying on a number of cases from claims tribunals, national and international courts, and State practice, the Chamber found that, although the “effective control” test was upheld by the practice in relation to individuals or unorganised groups of individuals acting on behalf of States, it was not the case in respect of military or paramilitary groups.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19. The Appeals Chamber found that the armed forces of the Republika Srpska were to be regarded as acting under the overall control of, and on behalf of, the FRY, sharing the same objectives and strategy, thereby rendering the armed conflict international.</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20. The Appeals Chamber, after considering in depth the merits of the </w:t>
      </w:r>
      <w:r w:rsidRPr="00BE407E">
        <w:rPr>
          <w:rFonts w:ascii="Times New Roman" w:eastAsia="Times New Roman" w:hAnsi="Times New Roman" w:cs="Times New Roman"/>
          <w:i/>
          <w:iCs/>
          <w:sz w:val="24"/>
          <w:szCs w:val="24"/>
          <w:lang w:val="en-US"/>
        </w:rPr>
        <w:t>Nicaragua</w:t>
      </w:r>
      <w:r w:rsidRPr="00BE407E">
        <w:rPr>
          <w:rFonts w:ascii="Times New Roman" w:eastAsia="Times New Roman" w:hAnsi="Times New Roman" w:cs="Times New Roman"/>
          <w:sz w:val="24"/>
          <w:szCs w:val="24"/>
          <w:lang w:val="en-US"/>
        </w:rPr>
        <w:t xml:space="preserve"> test, thus rejected the “effective control” test, in favour of the less strict “overall control” test. This may be indicative of a trend simply to rely on the international law on the use of force, </w:t>
      </w:r>
      <w:r w:rsidRPr="00BE407E">
        <w:rPr>
          <w:rFonts w:ascii="Times New Roman" w:eastAsia="Times New Roman" w:hAnsi="Times New Roman" w:cs="Times New Roman"/>
          <w:i/>
          <w:iCs/>
          <w:sz w:val="24"/>
          <w:szCs w:val="24"/>
          <w:lang w:val="en-US"/>
        </w:rPr>
        <w:t>jus ad bellum</w:t>
      </w:r>
      <w:r w:rsidRPr="00BE407E">
        <w:rPr>
          <w:rFonts w:ascii="Times New Roman" w:eastAsia="Times New Roman" w:hAnsi="Times New Roman" w:cs="Times New Roman"/>
          <w:sz w:val="24"/>
          <w:szCs w:val="24"/>
          <w:lang w:val="en-US"/>
        </w:rPr>
        <w:t xml:space="preserve">, when characterising the conflict. The situation in which a State, the FRY, resorted to the indirect use of force against another State, Bosnia and Herzegovina, by supporting one of the parties involved in the conflict, the Bosnian Serb forces, may indeed be also characterised as a proxy war of an international character. In this context, the “overall control” test is utilised to ascertain the foreign intervention, and consequently, to conclude that a conflict which was </w:t>
      </w:r>
      <w:r w:rsidRPr="00BE407E">
        <w:rPr>
          <w:rFonts w:ascii="Times New Roman" w:eastAsia="Times New Roman" w:hAnsi="Times New Roman" w:cs="Times New Roman"/>
          <w:i/>
          <w:iCs/>
          <w:sz w:val="24"/>
          <w:szCs w:val="24"/>
          <w:lang w:val="en-US"/>
        </w:rPr>
        <w:t>prima facie</w:t>
      </w:r>
      <w:r w:rsidRPr="00BE407E">
        <w:rPr>
          <w:rFonts w:ascii="Times New Roman" w:eastAsia="Times New Roman" w:hAnsi="Times New Roman" w:cs="Times New Roman"/>
          <w:sz w:val="24"/>
          <w:szCs w:val="24"/>
          <w:lang w:val="en-US"/>
        </w:rPr>
        <w:t xml:space="preserve"> internal is internationalised.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26. Applying the principle enunciated in the </w:t>
      </w:r>
      <w:r w:rsidRPr="00BE407E">
        <w:rPr>
          <w:rFonts w:ascii="Times New Roman" w:eastAsia="Times New Roman" w:hAnsi="Times New Roman" w:cs="Times New Roman"/>
          <w:i/>
          <w:iCs/>
          <w:sz w:val="24"/>
          <w:szCs w:val="24"/>
          <w:lang w:val="en-US"/>
        </w:rPr>
        <w:t>Aleksovski</w:t>
      </w:r>
      <w:r w:rsidRPr="00BE407E">
        <w:rPr>
          <w:rFonts w:ascii="Times New Roman" w:eastAsia="Times New Roman" w:hAnsi="Times New Roman" w:cs="Times New Roman"/>
          <w:sz w:val="24"/>
          <w:szCs w:val="24"/>
          <w:lang w:val="en-US"/>
        </w:rPr>
        <w:t xml:space="preserve"> Appeal Judgement, this Appeals Chamber is unable to conclude that the decision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was arrived at on the basis of the application of a wrong legal principle, or arrived at </w:t>
      </w:r>
      <w:r w:rsidRPr="00BE407E">
        <w:rPr>
          <w:rFonts w:ascii="Times New Roman" w:eastAsia="Times New Roman" w:hAnsi="Times New Roman" w:cs="Times New Roman"/>
          <w:i/>
          <w:iCs/>
          <w:sz w:val="24"/>
          <w:szCs w:val="24"/>
          <w:lang w:val="en-US"/>
        </w:rPr>
        <w:t>per incuriam</w:t>
      </w:r>
      <w:r w:rsidRPr="00BE407E">
        <w:rPr>
          <w:rFonts w:ascii="Times New Roman" w:eastAsia="Times New Roman" w:hAnsi="Times New Roman" w:cs="Times New Roman"/>
          <w:sz w:val="24"/>
          <w:szCs w:val="24"/>
          <w:lang w:val="en-US"/>
        </w:rPr>
        <w:t xml:space="preserve">. After careful consideration of the arguments put forward by the appellants, this Appeals Chamber is unable to find cogent reasons in the interests of justice to depart from the law as identified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Appeal Judgement. The “overall control” test set forth in the </w:t>
      </w:r>
      <w:r w:rsidRPr="00BE407E">
        <w:rPr>
          <w:rFonts w:ascii="Times New Roman" w:eastAsia="Times New Roman" w:hAnsi="Times New Roman" w:cs="Times New Roman"/>
          <w:i/>
          <w:iCs/>
          <w:sz w:val="24"/>
          <w:szCs w:val="24"/>
          <w:lang w:val="en-US"/>
        </w:rPr>
        <w:t>Tadić</w:t>
      </w:r>
      <w:r w:rsidRPr="00BE407E">
        <w:rPr>
          <w:rFonts w:ascii="Times New Roman" w:eastAsia="Times New Roman" w:hAnsi="Times New Roman" w:cs="Times New Roman"/>
          <w:sz w:val="24"/>
          <w:szCs w:val="24"/>
          <w:lang w:val="en-US"/>
        </w:rPr>
        <w:t xml:space="preserve"> Appeal Judgement is thus the applicable criteria for determining the existence of an international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2664" name="Imagen 26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[emphasis in original]</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African Commission for Human and Peoples’ Rights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1995, in </w:t>
      </w:r>
      <w:r w:rsidRPr="00BE407E">
        <w:rPr>
          <w:rFonts w:ascii="Times New Roman" w:eastAsia="Times New Roman" w:hAnsi="Times New Roman" w:cs="Times New Roman"/>
          <w:i/>
          <w:iCs/>
          <w:sz w:val="24"/>
          <w:szCs w:val="24"/>
          <w:lang w:val="en-US"/>
        </w:rPr>
        <w:t>Commission Nationale des Droits de l’Homme et des Libertés v. Chad</w:t>
      </w:r>
      <w:r w:rsidRPr="00BE407E">
        <w:rPr>
          <w:rFonts w:ascii="Times New Roman" w:eastAsia="Times New Roman" w:hAnsi="Times New Roman" w:cs="Times New Roman"/>
          <w:sz w:val="24"/>
          <w:szCs w:val="24"/>
          <w:lang w:val="en-US"/>
        </w:rPr>
        <w:t>, the African Commission for Human and Peoples’ Rights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 xml:space="preserve">21. The African Charter, unlike other human rights instruments, does not allow for </w:t>
      </w:r>
      <w:r w:rsidRPr="00BE407E">
        <w:rPr>
          <w:rFonts w:ascii="Times New Roman" w:eastAsia="Times New Roman" w:hAnsi="Times New Roman" w:cs="Times New Roman"/>
          <w:sz w:val="24"/>
          <w:szCs w:val="24"/>
          <w:lang w:val="en-US"/>
        </w:rPr>
        <w:lastRenderedPageBreak/>
        <w:t>states parties to derogate from their treaty obligations during emergency situations. Thus, even a civil war in Chad cannot be used as an excuse by the State violating or permitting violations of rights in the African Charter.</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22. In the present case, Chad has failed to provide security and stability in the country, thereby allowing serious and massive violations of human rights. The national armed forces are participants in the civil war and there have been several instances in which the Government has failed to intervene to prevent the assassination and killing of specific individuals. Even where it cannot be proved that violations were committed by government agents, the government had a responsibility to secure the safety and the liberty of its citizens, and to conduct investigations into murders. Chad therefore is responsible for the violations of the African Charter.</w:t>
      </w:r>
      <w:r>
        <w:rPr>
          <w:rFonts w:ascii="Times New Roman" w:eastAsia="Times New Roman" w:hAnsi="Times New Roman" w:cs="Times New Roman"/>
          <w:noProof/>
          <w:sz w:val="24"/>
          <w:szCs w:val="24"/>
        </w:rPr>
        <w:drawing>
          <wp:inline distT="0" distB="0" distL="0" distR="0">
            <wp:extent cx="151130" cy="142875"/>
            <wp:effectExtent l="19050" t="0" r="1270" b="0"/>
            <wp:docPr id="2665" name="Imagen 26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European Commission of Human Rights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 1993, in a decision concerning the imputability to Turkey of acts committed in the northern part of Cyprus, the European Commission of Human Rights, with respect to the arrest of the applicants, held: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96. As regards overall control of the arrest operation by Turkey, the Commission recalls that, in its decision on admissibility … it was held that the application of the [1950 European Convention on Human Rights] extends beyond national frontiers of the Contracting States and includes acts of State organs abroad. The term “jurisdiction” in Article 1 is not equivalent to or limited to the national territory … Authorized agents of a State, including armed forces, not only remain under its jurisdiction when abroad but also bring any other persons “within the jurisdiction” of that State to the extent that they exercise authority over such persons.</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97. The Commission notes that the Turkish armed forces have entered Cyprus and that they operate under the direction of the Turkish Government and under established rules governing the structure and command of these armed forces. It follows that these armed forces are authorised agents of Turkey and that they bring any other persons in Cyprus “within the jurisdiction” of Turkey, in the sense of Article 1 of the [1950 European Convention on Human Rights], to the extent that they exercise control over such persons. Therefore, in so far as these armed forces, by their acts or omissions, affect such persons’ rights or freedoms under the Convention, the responsibility of Turkey is engaged.</w:t>
      </w:r>
      <w:r>
        <w:rPr>
          <w:rFonts w:ascii="Times New Roman" w:eastAsia="Times New Roman" w:hAnsi="Times New Roman" w:cs="Times New Roman"/>
          <w:noProof/>
          <w:sz w:val="24"/>
          <w:szCs w:val="24"/>
        </w:rPr>
        <w:drawing>
          <wp:inline distT="0" distB="0" distL="0" distR="0">
            <wp:extent cx="151130" cy="142875"/>
            <wp:effectExtent l="19050" t="0" r="1270" b="0"/>
            <wp:docPr id="2666" name="Imagen 26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xml:space="preserv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169. The Commission considers that the factual situation is different as regards the subsequent detention of the applicants and the proceedings against them. The Commission has found no indication of control exercised by Turkish authorities over the prison administration or the administration of justice by Turkish Cypriot authorities in the applicants’ case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170. The Commission, … finding no indication of direct involvement of Turkish authorities in the applicants’ detention, and the proceedings against them, after their arrest …, sees no basis under the Convention for imputing these acts to Turkey.</w:t>
      </w:r>
      <w:r>
        <w:rPr>
          <w:rFonts w:ascii="Times New Roman" w:eastAsia="Times New Roman" w:hAnsi="Times New Roman" w:cs="Times New Roman"/>
          <w:noProof/>
          <w:sz w:val="24"/>
          <w:szCs w:val="24"/>
        </w:rPr>
        <w:drawing>
          <wp:inline distT="0" distB="0" distL="0" distR="0">
            <wp:extent cx="151130" cy="142875"/>
            <wp:effectExtent l="19050" t="0" r="1270" b="0"/>
            <wp:docPr id="2667" name="Imagen 26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Inter-American Court of Human Rights</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1988, in the </w:t>
      </w:r>
      <w:r w:rsidRPr="00BE407E">
        <w:rPr>
          <w:rFonts w:ascii="Times New Roman" w:eastAsia="Times New Roman" w:hAnsi="Times New Roman" w:cs="Times New Roman"/>
          <w:i/>
          <w:iCs/>
          <w:sz w:val="24"/>
          <w:szCs w:val="24"/>
          <w:lang w:val="en-US"/>
        </w:rPr>
        <w:t>Velásquez Rodríguez case</w:t>
      </w:r>
      <w:r w:rsidRPr="00BE407E">
        <w:rPr>
          <w:rFonts w:ascii="Times New Roman" w:eastAsia="Times New Roman" w:hAnsi="Times New Roman" w:cs="Times New Roman"/>
          <w:sz w:val="24"/>
          <w:szCs w:val="24"/>
          <w:lang w:val="en-US"/>
        </w:rPr>
        <w:t>, the Inter-American Court of Human Rights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176. The State is obligated to investigate every situation involving a violation of the rights protected by the Convention. If the State apparatus acts in such a way that the violation goes unpunished and the victim’s full enjoyment of such rights is not restored as soon as possible, the State has failed to comply with its duty to ensure the free and full exercise of those rights to the persons within its jurisdiction. The same is true when the State allows private persons or groups to act freely and with impunity to the detriment of the rights recognized by the Convention.</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lastRenderedPageBreak/>
        <w:t>177. In certain circumstances, it may be difficult to investigate acts that violate an individual’s rights. The duty to investigate, like the duty to prevent, is not breached merely because the investigation does not produce a satisfactory result. Nevertheless, it must be undertaken in a serious manner and not as a mere formality preordained to be ineffective. An investigation must have an objective and be assumed by the State as its own legal duty, not as a step taken by private interests that depends upon the initiative of the victim or his family or upon their offer of proof, without an effective search for the truth by the government. This is true regardless of what agent is eventually found responsible for the violation. Where the acts of private parties that violate the Convention are not seriously investigated, those parties are aided in a sense by the government, thereby making the State responsible on the international plane.</w:t>
      </w:r>
      <w:r>
        <w:rPr>
          <w:rFonts w:ascii="Times New Roman" w:eastAsia="Times New Roman" w:hAnsi="Times New Roman" w:cs="Times New Roman"/>
          <w:noProof/>
          <w:sz w:val="24"/>
          <w:szCs w:val="24"/>
        </w:rPr>
        <w:drawing>
          <wp:inline distT="0" distB="0" distL="0" distR="0">
            <wp:extent cx="151130" cy="142875"/>
            <wp:effectExtent l="19050" t="0" r="1270" b="0"/>
            <wp:docPr id="2668" name="Imagen 26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 xml:space="preserve">Inter-American Commission on Human Rights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In its decision in the </w:t>
      </w:r>
      <w:r w:rsidRPr="00BE407E">
        <w:rPr>
          <w:rFonts w:ascii="Times New Roman" w:eastAsia="Times New Roman" w:hAnsi="Times New Roman" w:cs="Times New Roman"/>
          <w:i/>
          <w:iCs/>
          <w:sz w:val="24"/>
          <w:szCs w:val="24"/>
          <w:lang w:val="en-US"/>
        </w:rPr>
        <w:t>Case of the Riofrío massacre (Colombia)</w:t>
      </w:r>
      <w:r w:rsidRPr="00BE407E">
        <w:rPr>
          <w:rFonts w:ascii="Times New Roman" w:eastAsia="Times New Roman" w:hAnsi="Times New Roman" w:cs="Times New Roman"/>
          <w:sz w:val="24"/>
          <w:szCs w:val="24"/>
          <w:lang w:val="en-US"/>
        </w:rPr>
        <w:t xml:space="preserve"> in 2001, the Inter-American Commission on Human Rights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48. … It must be ascertained whether the acts of the individuals implicated in the incident in violating such fundamental rights as the rights to life and humane treatment are attributable to the State of Colombia and therefore call into question its responsibility in accordance with international law. In this regard, the Inter-American Court has noted that it is sufficient to show that the infringement of the rights recognized in the Convention has been supported or tolerated by the government.</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49. First, it should be said that, as noted by the [Inter-American Commission on Human Rights] in its Third Report on the Human Rights Situation in Colombia, the State has played a leading role in developing the paramilitary or self-defense groups, that it allowed them to act legitimately with the protection of the law during the 1970s and 1980s, and that it is generally responsible for their existence and for strengthening them.</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50. These groups sponsored or accepted by branches of the armed forces were created mainly to combat armed groups of dissidents. As a result of their counterinsurgency purposes, the paramilitaries established links with the Colombian army that became stronger over a period of more than twenty years. Eventually, on May 25, 1989, the Supreme Court of Justice declared Decree 3398 unconstitutional, thereby removing all legal support for their ties to national defense. In the wake of this action, the State passed a number of laws to criminalize the activities of these groups and of those that supported them. Despite these measures, the State did little to dismantle the structure it had created and promoted, particularly in the case of groups that carried out counterinsurgency activities and, in fact, the ties remained in place at different levels, which in some instances requested or permitted paramilitary groups to carry out certain illegal acts on the understanding that they would not be investigated, prosecuted, or punished. The toleration of these groups by certain branches of the army has been denounced by agencies within the State itself.</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51. As a result of this situation, the Commission has established, for the purposes of determining the international responsibility of the State in accordance with the American Convention, that in cases in which members of paramilitary groups and the army carry out joint operations with the knowledge of superior officers, the members of the paramilitary groups act as agents of the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52. In the present case, according to analysis of the facts mentioned above, there is evidence to show that agents of the State helped to coordinate the massacre, to carry it out, and, as discovered by domestic courts, to cover it up. Therefore, the only conclusion is that the State is liable for the violations of the American Convention resulting from the acts of commission or omission by its own agents and by private individuals involved in the execution of the victims.</w:t>
      </w:r>
      <w:r>
        <w:rPr>
          <w:rFonts w:ascii="Times New Roman" w:eastAsia="Times New Roman" w:hAnsi="Times New Roman" w:cs="Times New Roman"/>
          <w:noProof/>
          <w:sz w:val="24"/>
          <w:szCs w:val="24"/>
        </w:rPr>
        <w:drawing>
          <wp:inline distT="0" distB="0" distL="0" distR="0">
            <wp:extent cx="151130" cy="142875"/>
            <wp:effectExtent l="19050" t="0" r="1270" b="0"/>
            <wp:docPr id="2669" name="Imagen 26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lastRenderedPageBreak/>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81" w:history="1">
        <w:r w:rsidRPr="00BE407E">
          <w:rPr>
            <w:rFonts w:ascii="Times New Roman" w:eastAsia="Times New Roman" w:hAnsi="Times New Roman" w:cs="Times New Roman"/>
            <w:color w:val="0000FF"/>
            <w:sz w:val="24"/>
            <w:szCs w:val="24"/>
            <w:u w:val="single"/>
            <w:lang w:val="en-US"/>
          </w:rPr>
          <w:t>XI. International Red Cross and Red Crescent Movement</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ICRC</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ICRC Commentary on the Additional Protocols notes that the responsibility of the State</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can be imputed not only for acts committed by a person or persons who form part of the armed forces … but also for possible omissions. As regards damages which may be caused by private individuals, i.e., by persons who are not part of the armed forces (nor of any other organ of the State), legal writings and case-law show that the responsibility of the State is involved if it has not taken such preventive or repressive measures as could reasonably be expected to have been taken in the circumstances. In other words, responsibility is incurred if the Party to the conflict has not acted with due diligence to prevent such acts from taking place, or to ensure their repression once they have taken place.</w:t>
      </w:r>
      <w:r>
        <w:rPr>
          <w:rFonts w:ascii="Times New Roman" w:eastAsia="Times New Roman" w:hAnsi="Times New Roman" w:cs="Times New Roman"/>
          <w:noProof/>
          <w:sz w:val="24"/>
          <w:szCs w:val="24"/>
        </w:rPr>
        <w:drawing>
          <wp:inline distT="0" distB="0" distL="0" distR="0">
            <wp:extent cx="151130" cy="142875"/>
            <wp:effectExtent l="19050" t="0" r="1270" b="0"/>
            <wp:docPr id="2670" name="Imagen 26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In 1993, in a report submitted to the UN General Assembly on the protection of the environment in time of armed conflict, the ICRC stated:</w:t>
      </w:r>
      <w:r w:rsidRPr="00B431DD">
        <w:rPr>
          <w:rFonts w:ascii="Times New Roman" w:eastAsia="Times New Roman" w:hAnsi="Times New Roman" w:cs="Times New Roman"/>
          <w:sz w:val="24"/>
          <w:szCs w:val="24"/>
          <w:lang w:val="en-US"/>
        </w:rPr>
        <w:br/>
      </w:r>
      <w:r w:rsidRPr="00BE407E">
        <w:rPr>
          <w:rFonts w:ascii="Times New Roman" w:eastAsia="Times New Roman" w:hAnsi="Times New Roman" w:cs="Times New Roman"/>
          <w:sz w:val="24"/>
          <w:szCs w:val="24"/>
          <w:lang w:val="en-US"/>
        </w:rPr>
        <w:t>The treaties of international humanitarian law provide various mechanisms … for implementing their substantive provisions. Among these mechanisms it is worth mentioning the following:</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 the international responsibility of States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Article 1, common to the four Geneva Conventions and to Protocol I, stipulates that the contracting States are under an obligation “to respect and ensure respect for” those instruments. Beyond that, and on a more general level, a State is responsible for every act or omission attributable to it and amounting to a breach of an international obligation incumbent on it, including in the field of the international protection of the environment. States affected by such a breach are entitled to insist on the implementation of such rules of State responsibility, including cessation of the unlawful conduct, restitution and reparation.</w:t>
      </w:r>
      <w:r>
        <w:rPr>
          <w:rFonts w:ascii="Times New Roman" w:eastAsia="Times New Roman" w:hAnsi="Times New Roman" w:cs="Times New Roman"/>
          <w:noProof/>
          <w:sz w:val="24"/>
          <w:szCs w:val="24"/>
        </w:rPr>
        <w:drawing>
          <wp:inline distT="0" distB="0" distL="0" distR="0">
            <wp:extent cx="151130" cy="142875"/>
            <wp:effectExtent l="19050" t="0" r="1270" b="0"/>
            <wp:docPr id="2671" name="Imagen 26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r w:rsidRPr="00B431DD">
        <w:rPr>
          <w:rFonts w:ascii="Times New Roman" w:eastAsia="Times New Roman" w:hAnsi="Times New Roman" w:cs="Times New Roman"/>
          <w:sz w:val="24"/>
          <w:szCs w:val="24"/>
          <w:lang w:val="en-US"/>
        </w:rPr>
        <w:br/>
        <w:t>In a communication to the press issued in 1993 with respect to the conflict in Bosnia and Herzegovina, the ICRC reminded “all the parties to the conflict that they bear full responsibility for all abuses [of IHL] committed by the forces on the territory under their control”.</w:t>
      </w:r>
      <w:r>
        <w:rPr>
          <w:rFonts w:ascii="Times New Roman" w:eastAsia="Times New Roman" w:hAnsi="Times New Roman" w:cs="Times New Roman"/>
          <w:noProof/>
          <w:sz w:val="24"/>
          <w:szCs w:val="24"/>
        </w:rPr>
        <w:drawing>
          <wp:inline distT="0" distB="0" distL="0" distR="0">
            <wp:extent cx="151130" cy="142875"/>
            <wp:effectExtent l="19050" t="0" r="1270" b="0"/>
            <wp:docPr id="2672" name="Imagen 26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431DD">
        <w:rPr>
          <w:rFonts w:ascii="Times New Roman" w:eastAsia="Times New Roman" w:hAnsi="Times New Roman" w:cs="Times New Roman"/>
          <w:sz w:val="24"/>
          <w:szCs w:val="24"/>
          <w:lang w:val="en-US"/>
        </w:rPr>
        <w:t> </w:t>
      </w:r>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Back to top</w:t>
      </w:r>
    </w:p>
    <w:p w:rsidR="00B431DD" w:rsidRPr="00B431DD" w:rsidRDefault="00B431DD" w:rsidP="00B431DD">
      <w:pPr>
        <w:spacing w:after="0" w:line="240" w:lineRule="auto"/>
        <w:rPr>
          <w:rFonts w:ascii="Times New Roman" w:eastAsia="Times New Roman" w:hAnsi="Times New Roman" w:cs="Times New Roman"/>
          <w:sz w:val="24"/>
          <w:szCs w:val="24"/>
          <w:lang w:val="en-US"/>
        </w:rPr>
      </w:pPr>
      <w:hyperlink r:id="rId82" w:history="1">
        <w:r w:rsidRPr="00B431DD">
          <w:rPr>
            <w:rFonts w:ascii="Times New Roman" w:eastAsia="Times New Roman" w:hAnsi="Times New Roman" w:cs="Times New Roman"/>
            <w:color w:val="0000FF"/>
            <w:sz w:val="24"/>
            <w:szCs w:val="24"/>
            <w:u w:val="single"/>
            <w:lang w:val="en-US"/>
          </w:rPr>
          <w:t>XII. Other</w:t>
        </w:r>
      </w:hyperlink>
    </w:p>
    <w:p w:rsidR="00B431DD" w:rsidRPr="00B431DD" w:rsidRDefault="00B431DD" w:rsidP="00B431DD">
      <w:pPr>
        <w:spacing w:after="0" w:line="240" w:lineRule="auto"/>
        <w:rPr>
          <w:rFonts w:ascii="Times New Roman" w:eastAsia="Times New Roman" w:hAnsi="Times New Roman" w:cs="Times New Roman"/>
          <w:sz w:val="24"/>
          <w:szCs w:val="24"/>
          <w:lang w:val="en-US"/>
        </w:rPr>
      </w:pPr>
      <w:r w:rsidRPr="00B431DD">
        <w:rPr>
          <w:rFonts w:ascii="Times New Roman" w:eastAsia="Times New Roman" w:hAnsi="Times New Roman" w:cs="Times New Roman"/>
          <w:sz w:val="24"/>
          <w:szCs w:val="24"/>
          <w:lang w:val="en-US"/>
        </w:rPr>
        <w:t>International Institute of Humanitarian Law</w:t>
      </w:r>
    </w:p>
    <w:p w:rsidR="004D5C23" w:rsidRPr="00B431DD" w:rsidRDefault="00B431DD" w:rsidP="00B431DD">
      <w:pPr>
        <w:rPr>
          <w:lang w:val="en-US"/>
        </w:rPr>
      </w:pPr>
      <w:r w:rsidRPr="00B431DD">
        <w:rPr>
          <w:rFonts w:ascii="Times New Roman" w:eastAsia="Times New Roman" w:hAnsi="Times New Roman" w:cs="Times New Roman"/>
          <w:sz w:val="24"/>
          <w:szCs w:val="24"/>
          <w:lang w:val="en-US"/>
        </w:rPr>
        <w:t>In 1995, in its comments submitted to the UN Secretary-General on the Turku Declaration of Minimum Humanitarian Standards, the International Institute of Humanitarian Law stated that “it would be important to underline the responsibility for acts which cause suffering”. It suggested that an article be inserted which could read: “Any de jure or de facto authority is responsible for the acts committed by their agents, including acts which adversely affect the basic human rights of any person in emergency situations.</w:t>
      </w:r>
    </w:p>
    <w:p w:rsidR="004D5C23" w:rsidRDefault="004D5C23">
      <w:pPr>
        <w:rPr>
          <w:lang w:val="en-US"/>
        </w:rPr>
      </w:pPr>
    </w:p>
    <w:p w:rsidR="004D5C23" w:rsidRDefault="004D5C23">
      <w:pPr>
        <w:rPr>
          <w:lang w:val="en-US"/>
        </w:rPr>
      </w:pPr>
    </w:p>
    <w:p w:rsidR="004D5C23" w:rsidRDefault="004D5C23">
      <w:pPr>
        <w:rPr>
          <w:lang w:val="en-US"/>
        </w:rPr>
      </w:pPr>
    </w:p>
    <w:p w:rsidR="004D5C23" w:rsidRDefault="004D5C23">
      <w:pPr>
        <w:rPr>
          <w:lang w:val="en-US"/>
        </w:rPr>
      </w:pPr>
    </w:p>
    <w:p w:rsidR="004D5C23" w:rsidRDefault="004D5C23">
      <w:pPr>
        <w:rPr>
          <w:lang w:val="en-US"/>
        </w:rPr>
      </w:pPr>
    </w:p>
    <w:p w:rsidR="00490E70" w:rsidRPr="00530144" w:rsidRDefault="00490E70" w:rsidP="00490E70">
      <w:pPr>
        <w:rPr>
          <w:b/>
          <w:sz w:val="28"/>
          <w:szCs w:val="28"/>
          <w:lang w:val="en-US"/>
        </w:rPr>
      </w:pPr>
      <w:r w:rsidRPr="00530144">
        <w:rPr>
          <w:b/>
          <w:sz w:val="28"/>
          <w:szCs w:val="28"/>
          <w:lang w:val="en-US"/>
        </w:rPr>
        <w:t>Part VI * Reparation</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Reparation</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b/>
          <w:bCs/>
          <w:sz w:val="24"/>
          <w:szCs w:val="24"/>
          <w:lang w:val="en-US"/>
        </w:rPr>
        <w:t>Rule 150. A State responsible for violations of international humanitarian law is required to make full reparation for the loss or injury caused.</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Summary</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State practice establishes this rule as a norm of customary international law applicable in both international and non-international armed conflicts.</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International armed conflicts</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It is a basic rule of international law that reparation is to be made for violations of international law. In the </w:t>
      </w:r>
      <w:r w:rsidRPr="00BE407E">
        <w:rPr>
          <w:rFonts w:ascii="Times New Roman" w:eastAsia="Times New Roman" w:hAnsi="Times New Roman" w:cs="Times New Roman"/>
          <w:i/>
          <w:iCs/>
          <w:sz w:val="24"/>
          <w:szCs w:val="24"/>
          <w:lang w:val="en-US"/>
        </w:rPr>
        <w:t xml:space="preserve">Chorzów Factory case (Merits) </w:t>
      </w:r>
      <w:r w:rsidRPr="00BE407E">
        <w:rPr>
          <w:rFonts w:ascii="Times New Roman" w:eastAsia="Times New Roman" w:hAnsi="Times New Roman" w:cs="Times New Roman"/>
          <w:sz w:val="24"/>
          <w:szCs w:val="24"/>
          <w:lang w:val="en-US"/>
        </w:rPr>
        <w:t xml:space="preserve">in 1928, the Permanent Court of International Justice stated that: </w:t>
      </w:r>
      <w:r w:rsidRPr="00BE407E">
        <w:rPr>
          <w:rFonts w:ascii="Times New Roman" w:eastAsia="Times New Roman" w:hAnsi="Times New Roman" w:cs="Times New Roman"/>
          <w:sz w:val="24"/>
          <w:szCs w:val="24"/>
          <w:lang w:val="en-US"/>
        </w:rPr>
        <w:br/>
        <w:t>It is a principle of international law, and even a general conception of the law, that any breach of an engagement involves an obligation to make reparation … Reparation is the indispensable complement of a failure to apply a convention, and there is no necessity for this to be stated in the convention itself.</w:t>
      </w:r>
      <w:bookmarkStart w:id="289" w:name="refFn_31_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w:t>
      </w:r>
      <w:r w:rsidRPr="00BE407E">
        <w:rPr>
          <w:rFonts w:ascii="Times New Roman" w:eastAsia="Times New Roman" w:hAnsi="Times New Roman" w:cs="Times New Roman"/>
          <w:sz w:val="24"/>
          <w:szCs w:val="24"/>
        </w:rPr>
        <w:fldChar w:fldCharType="end"/>
      </w:r>
      <w:bookmarkEnd w:id="289"/>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 Draft Articles on State Responsibility provide that “the responsible State is under an obligation to make full reparation for the injury caused by the internationally wrongful act”.</w:t>
      </w:r>
      <w:bookmarkStart w:id="290" w:name="refFn_31_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w:t>
      </w:r>
      <w:r w:rsidRPr="00BE407E">
        <w:rPr>
          <w:rFonts w:ascii="Times New Roman" w:eastAsia="Times New Roman" w:hAnsi="Times New Roman" w:cs="Times New Roman"/>
          <w:sz w:val="24"/>
          <w:szCs w:val="24"/>
        </w:rPr>
        <w:fldChar w:fldCharType="end"/>
      </w:r>
      <w:bookmarkEnd w:id="290"/>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 duty to make reparation for violations of international humanitarian law is explicitly referred to in the Second Protocol to the Hague Convention for the Protection of Cultural Property.</w:t>
      </w:r>
      <w:bookmarkStart w:id="291" w:name="refFn_31_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w:t>
      </w:r>
      <w:r w:rsidRPr="00BE407E">
        <w:rPr>
          <w:rFonts w:ascii="Times New Roman" w:eastAsia="Times New Roman" w:hAnsi="Times New Roman" w:cs="Times New Roman"/>
          <w:sz w:val="24"/>
          <w:szCs w:val="24"/>
        </w:rPr>
        <w:fldChar w:fldCharType="end"/>
      </w:r>
      <w:bookmarkEnd w:id="291"/>
      <w:r w:rsidRPr="00BE407E">
        <w:rPr>
          <w:rFonts w:ascii="Times New Roman" w:eastAsia="Times New Roman" w:hAnsi="Times New Roman" w:cs="Times New Roman"/>
          <w:sz w:val="24"/>
          <w:szCs w:val="24"/>
          <w:lang w:val="en-US"/>
        </w:rPr>
        <w:t>  It is also implied in the rule contained in the Geneva Conventions, according to which States cannot absolve themselves or another High Contracting Party of any liability incurred in respect of grave breaches.</w:t>
      </w:r>
      <w:bookmarkStart w:id="292" w:name="refFn_31_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w:t>
      </w:r>
      <w:r w:rsidRPr="00BE407E">
        <w:rPr>
          <w:rFonts w:ascii="Times New Roman" w:eastAsia="Times New Roman" w:hAnsi="Times New Roman" w:cs="Times New Roman"/>
          <w:sz w:val="24"/>
          <w:szCs w:val="24"/>
        </w:rPr>
        <w:fldChar w:fldCharType="end"/>
      </w:r>
      <w:bookmarkEnd w:id="292"/>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Reparation sought by States</w:t>
      </w:r>
      <w:r w:rsidRPr="00BE407E">
        <w:rPr>
          <w:rFonts w:ascii="Times New Roman" w:eastAsia="Times New Roman" w:hAnsi="Times New Roman" w:cs="Times New Roman"/>
          <w:sz w:val="24"/>
          <w:szCs w:val="24"/>
          <w:lang w:val="en-US"/>
        </w:rPr>
        <w:br/>
        <w:t>There exist numerous examples of reparation sought by States for violations of international humanitarian law. With respect to the form of reparation, the Draft Articles on State Responsibility provide that “full reparation for the injury caused by the internationally wrongful act shall take the form of restitution, compensation or satisfaction, either singly or in combination”.</w:t>
      </w:r>
      <w:bookmarkStart w:id="293" w:name="refFn_31_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w:t>
      </w:r>
      <w:r w:rsidRPr="00BE407E">
        <w:rPr>
          <w:rFonts w:ascii="Times New Roman" w:eastAsia="Times New Roman" w:hAnsi="Times New Roman" w:cs="Times New Roman"/>
          <w:sz w:val="24"/>
          <w:szCs w:val="24"/>
        </w:rPr>
        <w:fldChar w:fldCharType="end"/>
      </w:r>
      <w:bookmarkEnd w:id="293"/>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 Restitution.</w:t>
      </w:r>
      <w:r w:rsidRPr="00BE407E">
        <w:rPr>
          <w:rFonts w:ascii="Times New Roman" w:eastAsia="Times New Roman" w:hAnsi="Times New Roman" w:cs="Times New Roman"/>
          <w:sz w:val="24"/>
          <w:szCs w:val="24"/>
          <w:lang w:val="en-US"/>
        </w:rPr>
        <w:t xml:space="preserve"> As explained in Article 35 of the Draft Articles on State Responsibility, the purpose of restitution is to re-establish the situation that existed before the wrongful act was committed. The Article provides that a State responsible for an internationally wrongful act is under an obligation to make restitution provided that this “is not materially impossible” and “does not involve a burden out of all proportion to the benefit deriving from restitution instead of compensation”. The commentary on the Draft Articles explains that restitution can, in its simplest form, involve such conduct as the release of persons wrongly detained or the return of property wrongly seized, but can also be a more complex act, and that restitution comes first among the forms of reparation.</w:t>
      </w:r>
      <w:bookmarkStart w:id="294" w:name="refFn_31_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w:t>
      </w:r>
      <w:r w:rsidRPr="00BE407E">
        <w:rPr>
          <w:rFonts w:ascii="Times New Roman" w:eastAsia="Times New Roman" w:hAnsi="Times New Roman" w:cs="Times New Roman"/>
          <w:sz w:val="24"/>
          <w:szCs w:val="24"/>
        </w:rPr>
        <w:fldChar w:fldCharType="end"/>
      </w:r>
      <w:bookmarkEnd w:id="294"/>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Paragraph 1 of the First Protocol to the Hague Convention for the Protection of Cultural Property provides that States must prevent the exportation of cultural property from occupied territory. Paragraph 3 obliges the occupying State (as well as other States) to return cultural property exported in violation of Paragraph 1 at the close of hostilities to the territory previously occupied (see Rule 41).</w:t>
      </w:r>
      <w:bookmarkStart w:id="295" w:name="refFn_31_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w:t>
      </w:r>
      <w:r w:rsidRPr="00BE407E">
        <w:rPr>
          <w:rFonts w:ascii="Times New Roman" w:eastAsia="Times New Roman" w:hAnsi="Times New Roman" w:cs="Times New Roman"/>
          <w:sz w:val="24"/>
          <w:szCs w:val="24"/>
        </w:rPr>
        <w:fldChar w:fldCharType="end"/>
      </w:r>
      <w:bookmarkEnd w:id="295"/>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A number of agreements relating to the Second World War provided for the restitution of property that had been stolen, seized or confiscated.</w:t>
      </w:r>
      <w:bookmarkStart w:id="296" w:name="refFn_31_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w:t>
      </w:r>
      <w:r w:rsidRPr="00BE407E">
        <w:rPr>
          <w:rFonts w:ascii="Times New Roman" w:eastAsia="Times New Roman" w:hAnsi="Times New Roman" w:cs="Times New Roman"/>
          <w:sz w:val="24"/>
          <w:szCs w:val="24"/>
        </w:rPr>
        <w:fldChar w:fldCharType="end"/>
      </w:r>
      <w:bookmarkEnd w:id="296"/>
      <w:r w:rsidRPr="00BE407E">
        <w:rPr>
          <w:rFonts w:ascii="Times New Roman" w:eastAsia="Times New Roman" w:hAnsi="Times New Roman" w:cs="Times New Roman"/>
          <w:sz w:val="24"/>
          <w:szCs w:val="24"/>
          <w:lang w:val="en-US"/>
        </w:rPr>
        <w:t xml:space="preserve">  In 1970, during a debate in the Special Political Committee of the UN General Assembly on measures carried out </w:t>
      </w:r>
      <w:r w:rsidRPr="00BE407E">
        <w:rPr>
          <w:rFonts w:ascii="Times New Roman" w:eastAsia="Times New Roman" w:hAnsi="Times New Roman" w:cs="Times New Roman"/>
          <w:sz w:val="24"/>
          <w:szCs w:val="24"/>
          <w:lang w:val="en-US"/>
        </w:rPr>
        <w:lastRenderedPageBreak/>
        <w:t>by Israel in the occupied territories, Poland stated that Israel was liable for the restitution of Palestinian property.</w:t>
      </w:r>
      <w:bookmarkStart w:id="297" w:name="refFn_31_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[9]</w:t>
      </w:r>
      <w:r w:rsidRPr="00BE407E">
        <w:rPr>
          <w:rFonts w:ascii="Times New Roman" w:eastAsia="Times New Roman" w:hAnsi="Times New Roman" w:cs="Times New Roman"/>
          <w:sz w:val="24"/>
          <w:szCs w:val="24"/>
        </w:rPr>
        <w:fldChar w:fldCharType="end"/>
      </w:r>
      <w:bookmarkEnd w:id="297"/>
      <w:r w:rsidRPr="00BE407E">
        <w:rPr>
          <w:rFonts w:ascii="Times New Roman" w:eastAsia="Times New Roman" w:hAnsi="Times New Roman" w:cs="Times New Roman"/>
          <w:sz w:val="24"/>
          <w:szCs w:val="24"/>
          <w:lang w:val="en-US"/>
        </w:rPr>
        <w:t>  Hungary’s Military Manual provides that, after a conflict, civilian, cultural and requisitioned objects have to be returned.</w:t>
      </w:r>
      <w:bookmarkStart w:id="298" w:name="refFn_31_1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[10]</w:t>
      </w:r>
      <w:r w:rsidRPr="00BE407E">
        <w:rPr>
          <w:rFonts w:ascii="Times New Roman" w:eastAsia="Times New Roman" w:hAnsi="Times New Roman" w:cs="Times New Roman"/>
          <w:sz w:val="24"/>
          <w:szCs w:val="24"/>
        </w:rPr>
        <w:fldChar w:fldCharType="end"/>
      </w:r>
      <w:bookmarkEnd w:id="298"/>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In 1991, Germany declared its acceptance of the rule that cultural property has to be returned after the end of hostilities and also stated that it had returned cultural property in all cases in which the cultural goods were found and could be identified. In other cases, Germany has paid compensation to the State of the original owner.</w:t>
      </w:r>
      <w:bookmarkStart w:id="299" w:name="refFn_31_1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[11]</w:t>
      </w:r>
      <w:r w:rsidRPr="00BE407E">
        <w:rPr>
          <w:rFonts w:ascii="Times New Roman" w:eastAsia="Times New Roman" w:hAnsi="Times New Roman" w:cs="Times New Roman"/>
          <w:sz w:val="24"/>
          <w:szCs w:val="24"/>
        </w:rPr>
        <w:fldChar w:fldCharType="end"/>
      </w:r>
      <w:bookmarkEnd w:id="299"/>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In 1999, during a debate in the UN General Assembly, the United Arab Emirates called upon Iraq to return Kuwaiti cultural property.</w:t>
      </w:r>
      <w:bookmarkStart w:id="300" w:name="refFn_31_1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[12]</w:t>
      </w:r>
      <w:r w:rsidRPr="00BE407E">
        <w:rPr>
          <w:rFonts w:ascii="Times New Roman" w:eastAsia="Times New Roman" w:hAnsi="Times New Roman" w:cs="Times New Roman"/>
          <w:sz w:val="24"/>
          <w:szCs w:val="24"/>
        </w:rPr>
        <w:fldChar w:fldCharType="end"/>
      </w:r>
      <w:bookmarkEnd w:id="300"/>
      <w:r w:rsidRPr="00BE407E">
        <w:rPr>
          <w:rFonts w:ascii="Times New Roman" w:eastAsia="Times New Roman" w:hAnsi="Times New Roman" w:cs="Times New Roman"/>
          <w:sz w:val="24"/>
          <w:szCs w:val="24"/>
          <w:lang w:val="en-US"/>
        </w:rPr>
        <w:t>  Kuwait also insisted on the restitution by Iraq of cultural property, and Iraq explained its readiness to do so.</w:t>
      </w:r>
      <w:bookmarkStart w:id="301" w:name="refFn_31_1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[13]</w:t>
      </w:r>
      <w:r w:rsidRPr="00BE407E">
        <w:rPr>
          <w:rFonts w:ascii="Times New Roman" w:eastAsia="Times New Roman" w:hAnsi="Times New Roman" w:cs="Times New Roman"/>
          <w:sz w:val="24"/>
          <w:szCs w:val="24"/>
        </w:rPr>
        <w:fldChar w:fldCharType="end"/>
      </w:r>
      <w:bookmarkEnd w:id="301"/>
      <w:r w:rsidRPr="00BE407E">
        <w:rPr>
          <w:rFonts w:ascii="Times New Roman" w:eastAsia="Times New Roman" w:hAnsi="Times New Roman" w:cs="Times New Roman"/>
          <w:sz w:val="24"/>
          <w:szCs w:val="24"/>
          <w:lang w:val="en-US"/>
        </w:rPr>
        <w:t>  Similarly, the UN Security Council urged Iraq on several occasions to return to Kuwait all property seized.</w:t>
      </w:r>
      <w:bookmarkStart w:id="302" w:name="refFn_31_1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[14]</w:t>
      </w:r>
      <w:r w:rsidRPr="00BE407E">
        <w:rPr>
          <w:rFonts w:ascii="Times New Roman" w:eastAsia="Times New Roman" w:hAnsi="Times New Roman" w:cs="Times New Roman"/>
          <w:sz w:val="24"/>
          <w:szCs w:val="24"/>
        </w:rPr>
        <w:fldChar w:fldCharType="end"/>
      </w:r>
      <w:bookmarkEnd w:id="302"/>
      <w:r w:rsidRPr="00BE407E">
        <w:rPr>
          <w:rFonts w:ascii="Times New Roman" w:eastAsia="Times New Roman" w:hAnsi="Times New Roman" w:cs="Times New Roman"/>
          <w:sz w:val="24"/>
          <w:szCs w:val="24"/>
          <w:lang w:val="en-US"/>
        </w:rPr>
        <w:t>  The UN Secretary-General reported on compliance by Iraq with obligations placed upon it by several UN Security Council resolutions and noted, in 2000, that a substantial amount of property had been returned since the end of the Gulf War, but that many items remained unreturned. He stressed that “priority should be given to the return by Iraq of the Kuwaiti archives … and museum items”.</w:t>
      </w:r>
      <w:bookmarkStart w:id="303" w:name="refFn_31_1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[15]</w:t>
      </w:r>
      <w:r w:rsidRPr="00BE407E">
        <w:rPr>
          <w:rFonts w:ascii="Times New Roman" w:eastAsia="Times New Roman" w:hAnsi="Times New Roman" w:cs="Times New Roman"/>
          <w:sz w:val="24"/>
          <w:szCs w:val="24"/>
        </w:rPr>
        <w:fldChar w:fldCharType="end"/>
      </w:r>
      <w:bookmarkEnd w:id="303"/>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In 2001, the Russian Federation and Belgium reached an agreement on the return to Belgium of the military archives stolen by the Nazis during the Second World War and then taken to Moscow by Soviet forces. The Russian Federation accepted to return these archives provided it was reimbursed the cost of having maintained them.</w:t>
      </w:r>
      <w:bookmarkStart w:id="304" w:name="refFn_31_1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[16]</w:t>
      </w:r>
      <w:r w:rsidRPr="00BE407E">
        <w:rPr>
          <w:rFonts w:ascii="Times New Roman" w:eastAsia="Times New Roman" w:hAnsi="Times New Roman" w:cs="Times New Roman"/>
          <w:sz w:val="24"/>
          <w:szCs w:val="24"/>
        </w:rPr>
        <w:fldChar w:fldCharType="end"/>
      </w:r>
      <w:bookmarkEnd w:id="304"/>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(ii) Compensation. </w:t>
      </w:r>
      <w:r w:rsidRPr="00BE407E">
        <w:rPr>
          <w:rFonts w:ascii="Times New Roman" w:eastAsia="Times New Roman" w:hAnsi="Times New Roman" w:cs="Times New Roman"/>
          <w:sz w:val="24"/>
          <w:szCs w:val="24"/>
          <w:lang w:val="en-US"/>
        </w:rPr>
        <w:t>It is a long-standing rule of customary international law, set forth in the 1907 Hague Convention (IV) and repeated in Additional Protocol I, that a State which violates international humanitarian law must pay compensation, if the case demands.</w:t>
      </w:r>
      <w:bookmarkStart w:id="305" w:name="refFn_31_1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[17]</w:t>
      </w:r>
      <w:r w:rsidRPr="00BE407E">
        <w:rPr>
          <w:rFonts w:ascii="Times New Roman" w:eastAsia="Times New Roman" w:hAnsi="Times New Roman" w:cs="Times New Roman"/>
          <w:sz w:val="24"/>
          <w:szCs w:val="24"/>
        </w:rPr>
        <w:fldChar w:fldCharType="end"/>
      </w:r>
      <w:bookmarkEnd w:id="305"/>
      <w:r w:rsidRPr="00BE407E">
        <w:rPr>
          <w:rFonts w:ascii="Times New Roman" w:eastAsia="Times New Roman" w:hAnsi="Times New Roman" w:cs="Times New Roman"/>
          <w:sz w:val="24"/>
          <w:szCs w:val="24"/>
          <w:lang w:val="en-US"/>
        </w:rPr>
        <w:t>  This obligation has been put into practice through numerous post-conflict settlements.</w:t>
      </w:r>
      <w:bookmarkStart w:id="306" w:name="refFn_31_1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[18]</w:t>
      </w:r>
      <w:r w:rsidRPr="00BE407E">
        <w:rPr>
          <w:rFonts w:ascii="Times New Roman" w:eastAsia="Times New Roman" w:hAnsi="Times New Roman" w:cs="Times New Roman"/>
          <w:sz w:val="24"/>
          <w:szCs w:val="24"/>
        </w:rPr>
        <w:fldChar w:fldCharType="end"/>
      </w:r>
      <w:bookmarkEnd w:id="306"/>
      <w:r w:rsidRPr="00BE407E">
        <w:rPr>
          <w:rFonts w:ascii="Times New Roman" w:eastAsia="Times New Roman" w:hAnsi="Times New Roman" w:cs="Times New Roman"/>
          <w:sz w:val="24"/>
          <w:szCs w:val="24"/>
          <w:lang w:val="en-US"/>
        </w:rPr>
        <w:t>  It is also spelled out in the Draft Articles on State Responsibility, which oblige a State “to compensate for the damage caused … insofar as such damage is not made good by restitution”.</w:t>
      </w:r>
      <w:bookmarkStart w:id="307" w:name="refFn_31_1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"Fn_31_19"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[19]</w:t>
      </w:r>
      <w:r w:rsidRPr="00BE407E">
        <w:rPr>
          <w:rFonts w:ascii="Times New Roman" w:eastAsia="Times New Roman" w:hAnsi="Times New Roman" w:cs="Times New Roman"/>
          <w:sz w:val="24"/>
          <w:szCs w:val="24"/>
        </w:rPr>
        <w:fldChar w:fldCharType="end"/>
      </w:r>
      <w:bookmarkEnd w:id="307"/>
      <w:r w:rsidRPr="00BE407E">
        <w:rPr>
          <w:rFonts w:ascii="Times New Roman" w:eastAsia="Times New Roman" w:hAnsi="Times New Roman" w:cs="Times New Roman"/>
          <w:sz w:val="24"/>
          <w:szCs w:val="24"/>
          <w:lang w:val="en-US"/>
        </w:rPr>
        <w:t>  The commentary on the Draft Articles explains that “restitution, despite its primacy as a legal principle, is frequently unavailable or inadequate … The role of compensation is to fill gaps so as to ensure full reparation for damage suffered.”</w:t>
      </w:r>
      <w:bookmarkStart w:id="308" w:name="refFn_31_2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[20]</w:t>
      </w:r>
      <w:r w:rsidRPr="00BE407E">
        <w:rPr>
          <w:rFonts w:ascii="Times New Roman" w:eastAsia="Times New Roman" w:hAnsi="Times New Roman" w:cs="Times New Roman"/>
          <w:sz w:val="24"/>
          <w:szCs w:val="24"/>
        </w:rPr>
        <w:fldChar w:fldCharType="end"/>
      </w:r>
      <w:bookmarkEnd w:id="308"/>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 obligation to compensate for damage caused by violations of international humanitarian law is confirmed by a number of official statements.</w:t>
      </w:r>
      <w:bookmarkStart w:id="309" w:name="refFn_31_2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[21]</w:t>
      </w:r>
      <w:r w:rsidRPr="00BE407E">
        <w:rPr>
          <w:rFonts w:ascii="Times New Roman" w:eastAsia="Times New Roman" w:hAnsi="Times New Roman" w:cs="Times New Roman"/>
          <w:sz w:val="24"/>
          <w:szCs w:val="24"/>
        </w:rPr>
        <w:fldChar w:fldCharType="end"/>
      </w:r>
      <w:bookmarkEnd w:id="309"/>
      <w:r w:rsidRPr="00BE407E">
        <w:rPr>
          <w:rFonts w:ascii="Times New Roman" w:eastAsia="Times New Roman" w:hAnsi="Times New Roman" w:cs="Times New Roman"/>
          <w:sz w:val="24"/>
          <w:szCs w:val="24"/>
          <w:lang w:val="en-US"/>
        </w:rPr>
        <w:t>  It has also been recalled in a number of resolutions adopted by the UN Security Council and UN General Assembly.</w:t>
      </w:r>
      <w:bookmarkStart w:id="310" w:name="refFn_31_2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[22]</w:t>
      </w:r>
      <w:r w:rsidRPr="00BE407E">
        <w:rPr>
          <w:rFonts w:ascii="Times New Roman" w:eastAsia="Times New Roman" w:hAnsi="Times New Roman" w:cs="Times New Roman"/>
          <w:sz w:val="24"/>
          <w:szCs w:val="24"/>
        </w:rPr>
        <w:fldChar w:fldCharType="end"/>
      </w:r>
      <w:bookmarkEnd w:id="310"/>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 xml:space="preserve">(iii) Satisfaction. </w:t>
      </w:r>
      <w:r w:rsidRPr="00BE407E">
        <w:rPr>
          <w:rFonts w:ascii="Times New Roman" w:eastAsia="Times New Roman" w:hAnsi="Times New Roman" w:cs="Times New Roman"/>
          <w:sz w:val="24"/>
          <w:szCs w:val="24"/>
          <w:lang w:val="en-US"/>
        </w:rPr>
        <w:t>Article 37 of the Draft Articles on State Responsibility provides that:</w:t>
      </w:r>
      <w:r w:rsidRPr="00BE407E">
        <w:rPr>
          <w:rFonts w:ascii="Times New Roman" w:eastAsia="Times New Roman" w:hAnsi="Times New Roman" w:cs="Times New Roman"/>
          <w:sz w:val="24"/>
          <w:szCs w:val="24"/>
          <w:lang w:val="en-US"/>
        </w:rPr>
        <w:br/>
        <w:t>1. The State responsible for an internationally wrongful act is under an obligation to give satisfaction for the injury caused by the act insofar as its obligation cannot be made good by restitution or compensation.</w:t>
      </w:r>
      <w:r w:rsidRPr="00BE407E">
        <w:rPr>
          <w:rFonts w:ascii="Times New Roman" w:eastAsia="Times New Roman" w:hAnsi="Times New Roman" w:cs="Times New Roman"/>
          <w:sz w:val="24"/>
          <w:szCs w:val="24"/>
          <w:lang w:val="en-US"/>
        </w:rPr>
        <w:br/>
        <w:t>2. Satisfaction may consist in an acknowledgement of the breach, an expression of regret, a formal apology or another appropriate modality.</w:t>
      </w:r>
      <w:r w:rsidRPr="00BE407E">
        <w:rPr>
          <w:rFonts w:ascii="Times New Roman" w:eastAsia="Times New Roman" w:hAnsi="Times New Roman" w:cs="Times New Roman"/>
          <w:sz w:val="24"/>
          <w:szCs w:val="24"/>
          <w:lang w:val="en-US"/>
        </w:rPr>
        <w:br/>
        <w:t>3. Satisfaction shall not be out of proportion to the injury and may not take a form humiliating to the responsible State.</w:t>
      </w:r>
      <w:bookmarkStart w:id="311" w:name="refFn_31_2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[23]</w:t>
      </w:r>
      <w:r w:rsidRPr="00BE407E">
        <w:rPr>
          <w:rFonts w:ascii="Times New Roman" w:eastAsia="Times New Roman" w:hAnsi="Times New Roman" w:cs="Times New Roman"/>
          <w:sz w:val="24"/>
          <w:szCs w:val="24"/>
        </w:rPr>
        <w:fldChar w:fldCharType="end"/>
      </w:r>
      <w:bookmarkEnd w:id="311"/>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 requirement to establish the truth through investigation and to bring perpetrators to justice is mentioned in the commentary on Article 37 of the Draft Articles on State Responsibility, which lists “inquiry into the causes of an accident resulting in harm or injury” and “disciplinary or penal action against the individuals whose conduct caused the internationally wrongful act” among the possible ways of giving satisfaction.</w:t>
      </w:r>
      <w:bookmarkStart w:id="312" w:name="refFn_31_2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[24]</w:t>
      </w:r>
      <w:r w:rsidRPr="00BE407E">
        <w:rPr>
          <w:rFonts w:ascii="Times New Roman" w:eastAsia="Times New Roman" w:hAnsi="Times New Roman" w:cs="Times New Roman"/>
          <w:sz w:val="24"/>
          <w:szCs w:val="24"/>
        </w:rPr>
        <w:fldChar w:fldCharType="end"/>
      </w:r>
      <w:bookmarkEnd w:id="312"/>
      <w:r w:rsidRPr="00BE407E">
        <w:rPr>
          <w:rFonts w:ascii="Times New Roman" w:eastAsia="Times New Roman" w:hAnsi="Times New Roman" w:cs="Times New Roman"/>
          <w:sz w:val="24"/>
          <w:szCs w:val="24"/>
          <w:lang w:val="en-US"/>
        </w:rPr>
        <w:t xml:space="preserve">  The US Field Manual includes, as types of remedies for violations of international humanitarian law, publication of the facts and punishment of captured </w:t>
      </w:r>
      <w:r w:rsidRPr="00BE407E">
        <w:rPr>
          <w:rFonts w:ascii="Times New Roman" w:eastAsia="Times New Roman" w:hAnsi="Times New Roman" w:cs="Times New Roman"/>
          <w:sz w:val="24"/>
          <w:szCs w:val="24"/>
          <w:lang w:val="en-US"/>
        </w:rPr>
        <w:lastRenderedPageBreak/>
        <w:t>offenders as war criminals.</w:t>
      </w:r>
      <w:bookmarkStart w:id="313" w:name="refFn_31_2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[25]</w:t>
      </w:r>
      <w:r w:rsidRPr="00BE407E">
        <w:rPr>
          <w:rFonts w:ascii="Times New Roman" w:eastAsia="Times New Roman" w:hAnsi="Times New Roman" w:cs="Times New Roman"/>
          <w:sz w:val="24"/>
          <w:szCs w:val="24"/>
        </w:rPr>
        <w:fldChar w:fldCharType="end"/>
      </w:r>
      <w:bookmarkEnd w:id="313"/>
      <w:r w:rsidRPr="00BE407E">
        <w:rPr>
          <w:rFonts w:ascii="Times New Roman" w:eastAsia="Times New Roman" w:hAnsi="Times New Roman" w:cs="Times New Roman"/>
          <w:sz w:val="24"/>
          <w:szCs w:val="24"/>
          <w:lang w:val="en-US"/>
        </w:rPr>
        <w:t>  It should be noted that, independent of the duty to provide appropriate reparation, States are under an obligation to investigate war crimes over which they have jurisdiction and to prosecute the suspects if necessary (see Rule 158).</w:t>
      </w:r>
      <w:r w:rsidRPr="00BE407E">
        <w:rPr>
          <w:rFonts w:ascii="Times New Roman" w:eastAsia="Times New Roman" w:hAnsi="Times New Roman" w:cs="Times New Roman"/>
          <w:sz w:val="24"/>
          <w:szCs w:val="24"/>
          <w:lang w:val="en-US"/>
        </w:rPr>
        <w:br/>
        <w:t>Guarantees of non-repetition are a possible form of satisfaction referred to in the Draft Articles on State Responsibility, which require a State responsible for an internationally wrongful act to cease the violation, and to offer appropriate assurances and guarantees of non-repetition, if circumstances so demand.</w:t>
      </w:r>
      <w:bookmarkStart w:id="314" w:name="refFn_31_2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[26]</w:t>
      </w:r>
      <w:r w:rsidRPr="00BE407E">
        <w:rPr>
          <w:rFonts w:ascii="Times New Roman" w:eastAsia="Times New Roman" w:hAnsi="Times New Roman" w:cs="Times New Roman"/>
          <w:sz w:val="24"/>
          <w:szCs w:val="24"/>
        </w:rPr>
        <w:fldChar w:fldCharType="end"/>
      </w:r>
      <w:bookmarkEnd w:id="314"/>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Reparation sought directly by individuals</w:t>
      </w:r>
      <w:r w:rsidRPr="00BE407E">
        <w:rPr>
          <w:rFonts w:ascii="Times New Roman" w:eastAsia="Times New Roman" w:hAnsi="Times New Roman" w:cs="Times New Roman"/>
          <w:sz w:val="24"/>
          <w:szCs w:val="24"/>
          <w:lang w:val="en-US"/>
        </w:rPr>
        <w:br/>
        <w:t>There is an increasing trend in favour of enabling individual victims of violations of international humanitarian law to seek reparation directly from the responsible State. Article 33(2) of the Draft Articles on State Responsibility states that Part II of the Draft Articles (“Content of the international responsibility of a State”) “is without prejudice to any right, arising from the international responsibility of a State, which may accrue directly to any person or entity other than a State”.</w:t>
      </w:r>
      <w:bookmarkStart w:id="315" w:name="refFn_31_2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[27]</w:t>
      </w:r>
      <w:r w:rsidRPr="00BE407E">
        <w:rPr>
          <w:rFonts w:ascii="Times New Roman" w:eastAsia="Times New Roman" w:hAnsi="Times New Roman" w:cs="Times New Roman"/>
          <w:sz w:val="24"/>
          <w:szCs w:val="24"/>
        </w:rPr>
        <w:fldChar w:fldCharType="end"/>
      </w:r>
      <w:bookmarkEnd w:id="315"/>
      <w:r w:rsidRPr="00BE407E">
        <w:rPr>
          <w:rFonts w:ascii="Times New Roman" w:eastAsia="Times New Roman" w:hAnsi="Times New Roman" w:cs="Times New Roman"/>
          <w:sz w:val="24"/>
          <w:szCs w:val="24"/>
          <w:lang w:val="en-US"/>
        </w:rPr>
        <w:t>  The commentary on Article 33 furthermore states that:</w:t>
      </w:r>
      <w:r w:rsidRPr="00BE407E">
        <w:rPr>
          <w:rFonts w:ascii="Times New Roman" w:eastAsia="Times New Roman" w:hAnsi="Times New Roman" w:cs="Times New Roman"/>
          <w:sz w:val="24"/>
          <w:szCs w:val="24"/>
          <w:lang w:val="en-US"/>
        </w:rPr>
        <w:br/>
        <w:t>When an obligation of reparation exists towards a State, reparation does not necessarily accrue to that State’s benefit. For instance, a State’s responsibility for the breach of an obligation under a treaty concerning the protection of human rights may exist towards all the other parties to the treaty, but the individuals concerned should be regarded as the ultimate beneficiaries and in that sense as the holders of the relevant rights.</w:t>
      </w:r>
      <w:bookmarkStart w:id="316" w:name="refFn_31_2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[28]</w:t>
      </w:r>
      <w:r w:rsidRPr="00BE407E">
        <w:rPr>
          <w:rFonts w:ascii="Times New Roman" w:eastAsia="Times New Roman" w:hAnsi="Times New Roman" w:cs="Times New Roman"/>
          <w:sz w:val="24"/>
          <w:szCs w:val="24"/>
        </w:rPr>
        <w:fldChar w:fldCharType="end"/>
      </w:r>
      <w:bookmarkEnd w:id="316"/>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Croatia, in its views and comments on the 1997 version of the Draft Principles and Guidelines on the Right to Reparation for Victims of [Gross] Violations of Human Rights and International Humanitarian Law, as they were then called, and the United States, in a Concurrent Resolution of the House of Representatives in 2001 with regard to violations committed by Japan against so-called “comfort women”, have referred to the right of victims to receive reparation directly.</w:t>
      </w:r>
      <w:bookmarkStart w:id="317" w:name="refFn_31_2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"Fn_31_29"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[29]</w:t>
      </w:r>
      <w:r w:rsidRPr="00BE407E">
        <w:rPr>
          <w:rFonts w:ascii="Times New Roman" w:eastAsia="Times New Roman" w:hAnsi="Times New Roman" w:cs="Times New Roman"/>
          <w:sz w:val="24"/>
          <w:szCs w:val="24"/>
        </w:rPr>
        <w:fldChar w:fldCharType="end"/>
      </w:r>
      <w:bookmarkEnd w:id="317"/>
      <w:r w:rsidRPr="00BE407E">
        <w:rPr>
          <w:rFonts w:ascii="Times New Roman" w:eastAsia="Times New Roman" w:hAnsi="Times New Roman" w:cs="Times New Roman"/>
          <w:sz w:val="24"/>
          <w:szCs w:val="24"/>
          <w:lang w:val="en-US"/>
        </w:rPr>
        <w:t>  In two resolutions on the former Yugoslavia, the UN General Assembly recognized “the right of victims of ‘ethnic cleansing’ to receive just reparation for their losses” and urged all parties “to fulfil their agreements to this end”.</w:t>
      </w:r>
      <w:bookmarkStart w:id="318" w:name="refFn_31_3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[30]</w:t>
      </w:r>
      <w:r w:rsidRPr="00BE407E">
        <w:rPr>
          <w:rFonts w:ascii="Times New Roman" w:eastAsia="Times New Roman" w:hAnsi="Times New Roman" w:cs="Times New Roman"/>
          <w:sz w:val="24"/>
          <w:szCs w:val="24"/>
        </w:rPr>
        <w:fldChar w:fldCharType="end"/>
      </w:r>
      <w:bookmarkEnd w:id="318"/>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Reparation has been provided directly to individuals via different procedures, in particular via mechanisms set up by inter-State agreements, via unilateral State acts such as national legislation or reparation sought by individuals directly before national courts.</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 Reparation provided on the basis of inter-State and other agreements.</w:t>
      </w:r>
      <w:r w:rsidRPr="00BE407E">
        <w:rPr>
          <w:rFonts w:ascii="Times New Roman" w:eastAsia="Times New Roman" w:hAnsi="Times New Roman" w:cs="Times New Roman"/>
          <w:sz w:val="24"/>
          <w:szCs w:val="24"/>
          <w:lang w:val="en-US"/>
        </w:rPr>
        <w:t xml:space="preserve"> Under a number of agreements concluded in the aftermath of the Second World War, Germany was obliged to restitute to victims stolen property such as jewellery, precious household goods and other household effects, and cultural property.</w:t>
      </w:r>
      <w:bookmarkStart w:id="319" w:name="refFn_31_3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[31]</w:t>
      </w:r>
      <w:r w:rsidRPr="00BE407E">
        <w:rPr>
          <w:rFonts w:ascii="Times New Roman" w:eastAsia="Times New Roman" w:hAnsi="Times New Roman" w:cs="Times New Roman"/>
          <w:sz w:val="24"/>
          <w:szCs w:val="24"/>
        </w:rPr>
        <w:fldChar w:fldCharType="end"/>
      </w:r>
      <w:bookmarkEnd w:id="319"/>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 xml:space="preserve">A more recent example of restitution to individuals on the basis of an inter-State agreement is the Agreement on Refugees and Displaced Persons annexed to the Dayton Accords which establishes the Commission for Real Property Claims of Displaced Persons and Refugees in Bosnia and Herzegovina and which mandates the Commission to decide on, </w:t>
      </w:r>
      <w:r w:rsidRPr="00BE407E">
        <w:rPr>
          <w:rFonts w:ascii="Times New Roman" w:eastAsia="Times New Roman" w:hAnsi="Times New Roman" w:cs="Times New Roman"/>
          <w:i/>
          <w:iCs/>
          <w:sz w:val="24"/>
          <w:szCs w:val="24"/>
          <w:lang w:val="en-US"/>
        </w:rPr>
        <w:t>inter alia</w:t>
      </w:r>
      <w:r w:rsidRPr="00BE407E">
        <w:rPr>
          <w:rFonts w:ascii="Times New Roman" w:eastAsia="Times New Roman" w:hAnsi="Times New Roman" w:cs="Times New Roman"/>
          <w:sz w:val="24"/>
          <w:szCs w:val="24"/>
          <w:lang w:val="en-US"/>
        </w:rPr>
        <w:t>, claims for return of real property,</w:t>
      </w:r>
      <w:bookmarkStart w:id="320" w:name="refFn_31_3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[32]</w:t>
      </w:r>
      <w:r w:rsidRPr="00BE407E">
        <w:rPr>
          <w:rFonts w:ascii="Times New Roman" w:eastAsia="Times New Roman" w:hAnsi="Times New Roman" w:cs="Times New Roman"/>
          <w:sz w:val="24"/>
          <w:szCs w:val="24"/>
        </w:rPr>
        <w:fldChar w:fldCharType="end"/>
      </w:r>
      <w:bookmarkEnd w:id="320"/>
      <w:r w:rsidRPr="00BE407E">
        <w:rPr>
          <w:rFonts w:ascii="Times New Roman" w:eastAsia="Times New Roman" w:hAnsi="Times New Roman" w:cs="Times New Roman"/>
          <w:sz w:val="24"/>
          <w:szCs w:val="24"/>
          <w:lang w:val="en-US"/>
        </w:rPr>
        <w:t>  as well as for compensation for the deprivation of property in the course of hostilities since 1991, which cannot be restored to them.</w:t>
      </w:r>
      <w:bookmarkStart w:id="321" w:name="refFn_31_3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[33]</w:t>
      </w:r>
      <w:r w:rsidRPr="00BE407E">
        <w:rPr>
          <w:rFonts w:ascii="Times New Roman" w:eastAsia="Times New Roman" w:hAnsi="Times New Roman" w:cs="Times New Roman"/>
          <w:sz w:val="24"/>
          <w:szCs w:val="24"/>
        </w:rPr>
        <w:fldChar w:fldCharType="end"/>
      </w:r>
      <w:bookmarkEnd w:id="321"/>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 Agreement between the Government of Canada and the National Association of Japanese Canadians (Japanese-Canadian Redress Agreement) adopted in 1988 provides for apology for and acknowledgement of violations of international humanitarian law.</w:t>
      </w:r>
      <w:bookmarkStart w:id="322" w:name="refFn_31_3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[34]</w:t>
      </w:r>
      <w:r w:rsidRPr="00BE407E">
        <w:rPr>
          <w:rFonts w:ascii="Times New Roman" w:eastAsia="Times New Roman" w:hAnsi="Times New Roman" w:cs="Times New Roman"/>
          <w:sz w:val="24"/>
          <w:szCs w:val="24"/>
        </w:rPr>
        <w:fldChar w:fldCharType="end"/>
      </w:r>
      <w:bookmarkEnd w:id="322"/>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 xml:space="preserve">Another example is the United Nations Compensation Commission (UNCC) established </w:t>
      </w:r>
      <w:r w:rsidRPr="00BE407E">
        <w:rPr>
          <w:rFonts w:ascii="Times New Roman" w:eastAsia="Times New Roman" w:hAnsi="Times New Roman" w:cs="Times New Roman"/>
          <w:sz w:val="24"/>
          <w:szCs w:val="24"/>
          <w:lang w:val="en-US"/>
        </w:rPr>
        <w:lastRenderedPageBreak/>
        <w:t>by a UN Security Council resolution, which reviews claims for compensation for direct loss and damage arising “as a result of [Iraq’s] unlawful invasion and occupation of Kuwait” suffered by States, international organizations, corporations and individuals. Although the UNCC deals principally with losses arising from Iraq’s unlawful use of force, awards have also covered violations of international humanitarian law suffered by individuals.</w:t>
      </w:r>
      <w:bookmarkStart w:id="323" w:name="refFn_31_3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[35]</w:t>
      </w:r>
      <w:r w:rsidRPr="00BE407E">
        <w:rPr>
          <w:rFonts w:ascii="Times New Roman" w:eastAsia="Times New Roman" w:hAnsi="Times New Roman" w:cs="Times New Roman"/>
          <w:sz w:val="24"/>
          <w:szCs w:val="24"/>
        </w:rPr>
        <w:fldChar w:fldCharType="end"/>
      </w:r>
      <w:bookmarkEnd w:id="323"/>
      <w:r w:rsidRPr="00BE407E">
        <w:rPr>
          <w:rFonts w:ascii="Times New Roman" w:eastAsia="Times New Roman" w:hAnsi="Times New Roman" w:cs="Times New Roman"/>
          <w:sz w:val="24"/>
          <w:szCs w:val="24"/>
          <w:lang w:val="en-US"/>
        </w:rPr>
        <w:t>  For example, the UNCC has awarded compensation to former prisoners of war held by Iraq who had been subjected to ill-treatment in violation of the Third Geneva Convention.</w:t>
      </w:r>
      <w:bookmarkStart w:id="324" w:name="refFn_31_3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[36]</w:t>
      </w:r>
      <w:r w:rsidRPr="00BE407E">
        <w:rPr>
          <w:rFonts w:ascii="Times New Roman" w:eastAsia="Times New Roman" w:hAnsi="Times New Roman" w:cs="Times New Roman"/>
          <w:sz w:val="24"/>
          <w:szCs w:val="24"/>
        </w:rPr>
        <w:fldChar w:fldCharType="end"/>
      </w:r>
      <w:bookmarkEnd w:id="324"/>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A further example is the Eritrea-Ethiopia Claims Commission established by the 2000 Peace Agreement between Eritrea and Ethiopia, which has the mandate “to decide through binding arbitration all claims for loss, damage or injury by … nationals (including both natural and juridical persons) of one party against the Government of the other party or entities owned or controlled by the other party”.</w:t>
      </w:r>
      <w:bookmarkStart w:id="325" w:name="refFn_31_3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[37]</w:t>
      </w:r>
      <w:r w:rsidRPr="00BE407E">
        <w:rPr>
          <w:rFonts w:ascii="Times New Roman" w:eastAsia="Times New Roman" w:hAnsi="Times New Roman" w:cs="Times New Roman"/>
          <w:sz w:val="24"/>
          <w:szCs w:val="24"/>
        </w:rPr>
        <w:fldChar w:fldCharType="end"/>
      </w:r>
      <w:bookmarkEnd w:id="325"/>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Various specific funds have been created in the recent past with a mandate to award compensation to individuals. Examples include the Austrian Reconciliation Fund and the German Foundation “Remembrance, Responsibility and the Future”, both established by national legislation on the basis of agreements concluded by Austria and Germany with the United States. The Austrian Reconciliation Fund was created “to make a contribution toward reconciliation, peace, and cooperation through a voluntary gesture of the Republic of Austria to natural persons who were coerced into slave labour or forced labour by the National Socialist regime on the territ ory of the present day Republic of Austria”. The German Foundation was set up in order to “make financial compensation available … to former forced labourers and those affected by other injustices from the National Socialist period”.</w:t>
      </w:r>
      <w:bookmarkStart w:id="326" w:name="refFn_31_3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 xml:space="preserve"> [38]</w:t>
      </w:r>
      <w:r w:rsidRPr="00BE407E">
        <w:rPr>
          <w:rFonts w:ascii="Times New Roman" w:eastAsia="Times New Roman" w:hAnsi="Times New Roman" w:cs="Times New Roman"/>
          <w:sz w:val="24"/>
          <w:szCs w:val="24"/>
        </w:rPr>
        <w:fldChar w:fldCharType="end"/>
      </w:r>
      <w:bookmarkEnd w:id="326"/>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Another example is the Victims Trust Fund established pursuant to Article 79 of the Statute of the International Criminal Court. The fund will include money and other property collected through fines and forfeitures imposed by the Court on perpetrators. However, it is expected that funds will also come from voluntary contributions from States, corporations, organizations and individuals.</w:t>
      </w:r>
      <w:bookmarkStart w:id="327" w:name="refFn_31_3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"Fn_31_39"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[39]</w:t>
      </w:r>
      <w:r w:rsidRPr="00BE407E">
        <w:rPr>
          <w:rFonts w:ascii="Times New Roman" w:eastAsia="Times New Roman" w:hAnsi="Times New Roman" w:cs="Times New Roman"/>
          <w:sz w:val="24"/>
          <w:szCs w:val="24"/>
        </w:rPr>
        <w:fldChar w:fldCharType="end"/>
      </w:r>
      <w:bookmarkEnd w:id="327"/>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(ii) Reparation provided on the basis of a unilateral State act.</w:t>
      </w:r>
      <w:r w:rsidRPr="00BE407E">
        <w:rPr>
          <w:rFonts w:ascii="Times New Roman" w:eastAsia="Times New Roman" w:hAnsi="Times New Roman" w:cs="Times New Roman"/>
          <w:sz w:val="24"/>
          <w:szCs w:val="24"/>
          <w:lang w:val="en-US"/>
        </w:rPr>
        <w:t xml:space="preserve"> There are reports of direct compensation by Germany to inmates of concentration camps and to victims of medical experiments and by Norway to persons suffering from anti-Jewish measures during the Second World War.</w:t>
      </w:r>
      <w:bookmarkStart w:id="328" w:name="refFn_31_4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[40]</w:t>
      </w:r>
      <w:r w:rsidRPr="00BE407E">
        <w:rPr>
          <w:rFonts w:ascii="Times New Roman" w:eastAsia="Times New Roman" w:hAnsi="Times New Roman" w:cs="Times New Roman"/>
          <w:sz w:val="24"/>
          <w:szCs w:val="24"/>
        </w:rPr>
        <w:fldChar w:fldCharType="end"/>
      </w:r>
      <w:bookmarkEnd w:id="328"/>
      <w:r w:rsidRPr="00BE407E">
        <w:rPr>
          <w:rFonts w:ascii="Times New Roman" w:eastAsia="Times New Roman" w:hAnsi="Times New Roman" w:cs="Times New Roman"/>
          <w:sz w:val="24"/>
          <w:szCs w:val="24"/>
          <w:lang w:val="en-US"/>
        </w:rPr>
        <w:t>  Japan has provided an apology for the treatment of “comfort women” and Norway for anti-Jewish measures during the Second World War.</w:t>
      </w:r>
      <w:bookmarkStart w:id="329" w:name="refFn_31_4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[41]</w:t>
      </w:r>
      <w:r w:rsidRPr="00BE407E">
        <w:rPr>
          <w:rFonts w:ascii="Times New Roman" w:eastAsia="Times New Roman" w:hAnsi="Times New Roman" w:cs="Times New Roman"/>
          <w:sz w:val="24"/>
          <w:szCs w:val="24"/>
        </w:rPr>
        <w:fldChar w:fldCharType="end"/>
      </w:r>
      <w:bookmarkEnd w:id="329"/>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Austria and Germany have adopted laws related to the restitution of objects to victims, as has the United States in the form of its Law on Restitution for WWII Internment of Japanese-Americans and Aleuts.</w:t>
      </w:r>
      <w:bookmarkStart w:id="330" w:name="refFn_31_4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[42]</w:t>
      </w:r>
      <w:r w:rsidRPr="00BE407E">
        <w:rPr>
          <w:rFonts w:ascii="Times New Roman" w:eastAsia="Times New Roman" w:hAnsi="Times New Roman" w:cs="Times New Roman"/>
          <w:sz w:val="24"/>
          <w:szCs w:val="24"/>
        </w:rPr>
        <w:fldChar w:fldCharType="end"/>
      </w:r>
      <w:bookmarkEnd w:id="330"/>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The creation in 1997 by France of the Study Mission on the Spoliation of Jews in France (also known as the “Mattéoli Mission”) with the task of conducting a study of the various forms of spoliation visited upon the Jews of France during the Second World War, and of the scope and effect of post-war restitution efforts, points in the same direction.</w:t>
      </w:r>
      <w:bookmarkStart w:id="331" w:name="refFn_31_4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[43]</w:t>
      </w:r>
      <w:r w:rsidRPr="00BE407E">
        <w:rPr>
          <w:rFonts w:ascii="Times New Roman" w:eastAsia="Times New Roman" w:hAnsi="Times New Roman" w:cs="Times New Roman"/>
          <w:sz w:val="24"/>
          <w:szCs w:val="24"/>
        </w:rPr>
        <w:fldChar w:fldCharType="end"/>
      </w:r>
      <w:bookmarkEnd w:id="331"/>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(iii) Reparation sought in national courts.</w:t>
      </w:r>
      <w:r w:rsidRPr="00BE407E">
        <w:rPr>
          <w:rFonts w:ascii="Times New Roman" w:eastAsia="Times New Roman" w:hAnsi="Times New Roman" w:cs="Times New Roman"/>
          <w:sz w:val="24"/>
          <w:szCs w:val="24"/>
          <w:lang w:val="en-US"/>
        </w:rPr>
        <w:t xml:space="preserve"> The Hague Convention (IV) and Additional Protocol I require that compensation be paid but do not indicate whether only States are recipients or also individuals, nor do they specify the mechanism for reviewing claims for compensation.</w:t>
      </w:r>
      <w:bookmarkStart w:id="332" w:name="refFn_31_4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[44]</w:t>
      </w:r>
      <w:r w:rsidRPr="00BE407E">
        <w:rPr>
          <w:rFonts w:ascii="Times New Roman" w:eastAsia="Times New Roman" w:hAnsi="Times New Roman" w:cs="Times New Roman"/>
          <w:sz w:val="24"/>
          <w:szCs w:val="24"/>
        </w:rPr>
        <w:fldChar w:fldCharType="end"/>
      </w:r>
      <w:bookmarkEnd w:id="332"/>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 xml:space="preserve">Individual claimants before national courts have encountered a number of obstacles in trying to obtain compensation on the basis of Article 3 of Hague Convention (IV), although no court has explicitly ruled out such a possibility under contemporary </w:t>
      </w:r>
      <w:r w:rsidRPr="00BE407E">
        <w:rPr>
          <w:rFonts w:ascii="Times New Roman" w:eastAsia="Times New Roman" w:hAnsi="Times New Roman" w:cs="Times New Roman"/>
          <w:sz w:val="24"/>
          <w:szCs w:val="24"/>
          <w:lang w:val="en-US"/>
        </w:rPr>
        <w:lastRenderedPageBreak/>
        <w:t>international law.</w:t>
      </w:r>
      <w:bookmarkStart w:id="333" w:name="refFn_31_4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[45]</w:t>
      </w:r>
      <w:r w:rsidRPr="00BE407E">
        <w:rPr>
          <w:rFonts w:ascii="Times New Roman" w:eastAsia="Times New Roman" w:hAnsi="Times New Roman" w:cs="Times New Roman"/>
          <w:sz w:val="24"/>
          <w:szCs w:val="24"/>
        </w:rPr>
        <w:fldChar w:fldCharType="end"/>
      </w:r>
      <w:bookmarkEnd w:id="333"/>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Shimoda case</w:t>
      </w:r>
      <w:r w:rsidRPr="00BE407E">
        <w:rPr>
          <w:rFonts w:ascii="Times New Roman" w:eastAsia="Times New Roman" w:hAnsi="Times New Roman" w:cs="Times New Roman"/>
          <w:sz w:val="24"/>
          <w:szCs w:val="24"/>
          <w:lang w:val="en-US"/>
        </w:rPr>
        <w:t xml:space="preserve"> in 1963, for example, the Tokyo District Court held that individuals did not have a direct right to compensation under international law, and considerations of sovereign immunity precluded proceedings against another State before Japanese courts.</w:t>
      </w:r>
      <w:bookmarkStart w:id="334" w:name="refFn_31_4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[46]</w:t>
      </w:r>
      <w:r w:rsidRPr="00BE407E">
        <w:rPr>
          <w:rFonts w:ascii="Times New Roman" w:eastAsia="Times New Roman" w:hAnsi="Times New Roman" w:cs="Times New Roman"/>
          <w:sz w:val="24"/>
          <w:szCs w:val="24"/>
        </w:rPr>
        <w:fldChar w:fldCharType="end"/>
      </w:r>
      <w:bookmarkEnd w:id="334"/>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Until the 1990s, German courts generally considered that the 1953 London Agreement on German External Debts had postponed the question of indemnification of individuals, though it did not exclude the possibility of granting compensation once the issue of reparations to States had been settled.</w:t>
      </w:r>
      <w:bookmarkStart w:id="335" w:name="refFn_31_4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[47]</w:t>
      </w:r>
      <w:r w:rsidRPr="00BE407E">
        <w:rPr>
          <w:rFonts w:ascii="Times New Roman" w:eastAsia="Times New Roman" w:hAnsi="Times New Roman" w:cs="Times New Roman"/>
          <w:sz w:val="24"/>
          <w:szCs w:val="24"/>
        </w:rPr>
        <w:fldChar w:fldCharType="end"/>
      </w:r>
      <w:bookmarkEnd w:id="335"/>
      <w:r w:rsidRPr="00BE407E">
        <w:rPr>
          <w:rFonts w:ascii="Times New Roman" w:eastAsia="Times New Roman" w:hAnsi="Times New Roman" w:cs="Times New Roman"/>
          <w:sz w:val="24"/>
          <w:szCs w:val="24"/>
          <w:lang w:val="en-US"/>
        </w:rPr>
        <w:t>  As a result, after the coming into force of the 1990 Treaty on the Final Settlement with Respect to Germany (“Two-Plus-Four-Treaty”),</w:t>
      </w:r>
      <w:bookmarkStart w:id="336" w:name="refFn_31_4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[48]</w:t>
      </w:r>
      <w:r w:rsidRPr="00BE407E">
        <w:rPr>
          <w:rFonts w:ascii="Times New Roman" w:eastAsia="Times New Roman" w:hAnsi="Times New Roman" w:cs="Times New Roman"/>
          <w:sz w:val="24"/>
          <w:szCs w:val="24"/>
        </w:rPr>
        <w:fldChar w:fldCharType="end"/>
      </w:r>
      <w:bookmarkEnd w:id="336"/>
      <w:r w:rsidRPr="00BE407E">
        <w:rPr>
          <w:rFonts w:ascii="Times New Roman" w:eastAsia="Times New Roman" w:hAnsi="Times New Roman" w:cs="Times New Roman"/>
          <w:sz w:val="24"/>
          <w:szCs w:val="24"/>
          <w:lang w:val="en-US"/>
        </w:rPr>
        <w:t>  the German courts held that, in general, they were no longer prevented from dealing with the question of compensation to individuals.</w:t>
      </w:r>
      <w:bookmarkStart w:id="337" w:name="refFn_31_4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"Fn_31_49"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[49]</w:t>
      </w:r>
      <w:r w:rsidRPr="00BE407E">
        <w:rPr>
          <w:rFonts w:ascii="Times New Roman" w:eastAsia="Times New Roman" w:hAnsi="Times New Roman" w:cs="Times New Roman"/>
          <w:sz w:val="24"/>
          <w:szCs w:val="24"/>
        </w:rPr>
        <w:fldChar w:fldCharType="end"/>
      </w:r>
      <w:bookmarkEnd w:id="337"/>
      <w:r w:rsidRPr="00BE407E">
        <w:rPr>
          <w:rFonts w:ascii="Times New Roman" w:eastAsia="Times New Roman" w:hAnsi="Times New Roman" w:cs="Times New Roman"/>
          <w:sz w:val="24"/>
          <w:szCs w:val="24"/>
          <w:lang w:val="en-US"/>
        </w:rPr>
        <w:t xml:space="preserve">  As a consequence, Germany’s Constitutional Court in the </w:t>
      </w:r>
      <w:r w:rsidRPr="00BE407E">
        <w:rPr>
          <w:rFonts w:ascii="Times New Roman" w:eastAsia="Times New Roman" w:hAnsi="Times New Roman" w:cs="Times New Roman"/>
          <w:i/>
          <w:iCs/>
          <w:sz w:val="24"/>
          <w:szCs w:val="24"/>
          <w:lang w:val="en-US"/>
        </w:rPr>
        <w:t>Forced Labour case</w:t>
      </w:r>
      <w:r w:rsidRPr="00BE407E">
        <w:rPr>
          <w:rFonts w:ascii="Times New Roman" w:eastAsia="Times New Roman" w:hAnsi="Times New Roman" w:cs="Times New Roman"/>
          <w:sz w:val="24"/>
          <w:szCs w:val="24"/>
          <w:lang w:val="en-US"/>
        </w:rPr>
        <w:t xml:space="preserve"> in 1996 stated that there did not exist a rule of general international law preventing the payment of compensation to individuals for violations of international law.</w:t>
      </w:r>
      <w:bookmarkStart w:id="338" w:name="refFn_31_5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[50]</w:t>
      </w:r>
      <w:r w:rsidRPr="00BE407E">
        <w:rPr>
          <w:rFonts w:ascii="Times New Roman" w:eastAsia="Times New Roman" w:hAnsi="Times New Roman" w:cs="Times New Roman"/>
          <w:sz w:val="24"/>
          <w:szCs w:val="24"/>
        </w:rPr>
        <w:fldChar w:fldCharType="end"/>
      </w:r>
      <w:bookmarkEnd w:id="338"/>
      <w:r w:rsidRPr="00BE407E">
        <w:rPr>
          <w:rFonts w:ascii="Times New Roman" w:eastAsia="Times New Roman" w:hAnsi="Times New Roman" w:cs="Times New Roman"/>
          <w:sz w:val="24"/>
          <w:szCs w:val="24"/>
          <w:lang w:val="en-US"/>
        </w:rPr>
        <w:t xml:space="preserve">  However, in the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in 2003, Germany’s Federal Supreme Court stated that, owing to a concept of war as a “relationship from State to State” as it existed during the Second World War, a State which was responsible for crimes committed at that time was only liable to pay compensation vis-à-vis another State but not vis-à-vis the individual victims. According to the Court, international law conferred upon States the right to exercise diplomatic protection of their nationals, and the right to claim compensation was the right of the State “at least for the period in question”, i.e., during the Second World War.</w:t>
      </w:r>
      <w:bookmarkStart w:id="339" w:name="refFn_31_5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[51]</w:t>
      </w:r>
      <w:r w:rsidRPr="00BE407E">
        <w:rPr>
          <w:rFonts w:ascii="Times New Roman" w:eastAsia="Times New Roman" w:hAnsi="Times New Roman" w:cs="Times New Roman"/>
          <w:sz w:val="24"/>
          <w:szCs w:val="24"/>
        </w:rPr>
        <w:fldChar w:fldCharType="end"/>
      </w:r>
      <w:bookmarkEnd w:id="339"/>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 xml:space="preserve">In the </w:t>
      </w:r>
      <w:r w:rsidRPr="00BE407E">
        <w:rPr>
          <w:rFonts w:ascii="Times New Roman" w:eastAsia="Times New Roman" w:hAnsi="Times New Roman" w:cs="Times New Roman"/>
          <w:i/>
          <w:iCs/>
          <w:sz w:val="24"/>
          <w:szCs w:val="24"/>
          <w:lang w:val="en-US"/>
        </w:rPr>
        <w:t>Goldstar case</w:t>
      </w:r>
      <w:r w:rsidRPr="00BE407E">
        <w:rPr>
          <w:rFonts w:ascii="Times New Roman" w:eastAsia="Times New Roman" w:hAnsi="Times New Roman" w:cs="Times New Roman"/>
          <w:sz w:val="24"/>
          <w:szCs w:val="24"/>
          <w:lang w:val="en-US"/>
        </w:rPr>
        <w:t xml:space="preserve"> in 1992 relating to the intervention by the United States in Panama, a US Court of Appeals found that Article 3 of the 1907 Hague Convention (IV) was not self-executing because there was no evidence of an intent to provide a private right of action.</w:t>
      </w:r>
      <w:bookmarkStart w:id="340" w:name="refFn_31_5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[52]</w:t>
      </w:r>
      <w:r w:rsidRPr="00BE407E">
        <w:rPr>
          <w:rFonts w:ascii="Times New Roman" w:eastAsia="Times New Roman" w:hAnsi="Times New Roman" w:cs="Times New Roman"/>
          <w:sz w:val="24"/>
          <w:szCs w:val="24"/>
        </w:rPr>
        <w:fldChar w:fldCharType="end"/>
      </w:r>
      <w:bookmarkEnd w:id="340"/>
      <w:r w:rsidRPr="00BE407E">
        <w:rPr>
          <w:rFonts w:ascii="Times New Roman" w:eastAsia="Times New Roman" w:hAnsi="Times New Roman" w:cs="Times New Roman"/>
          <w:sz w:val="24"/>
          <w:szCs w:val="24"/>
          <w:lang w:val="en-US"/>
        </w:rPr>
        <w:t xml:space="preserve">  In the </w:t>
      </w:r>
      <w:r w:rsidRPr="00BE407E">
        <w:rPr>
          <w:rFonts w:ascii="Times New Roman" w:eastAsia="Times New Roman" w:hAnsi="Times New Roman" w:cs="Times New Roman"/>
          <w:i/>
          <w:iCs/>
          <w:sz w:val="24"/>
          <w:szCs w:val="24"/>
          <w:lang w:val="en-US"/>
        </w:rPr>
        <w:t>Princz case</w:t>
      </w:r>
      <w:r w:rsidRPr="00BE407E">
        <w:rPr>
          <w:rFonts w:ascii="Times New Roman" w:eastAsia="Times New Roman" w:hAnsi="Times New Roman" w:cs="Times New Roman"/>
          <w:sz w:val="24"/>
          <w:szCs w:val="24"/>
          <w:lang w:val="en-US"/>
        </w:rPr>
        <w:t xml:space="preserve"> in 1992, another US Court of Appeals dismissed a claim for damages against Germany for treatment inflicted during the Second World War because it lacked jurisdiction for reasons of State immunity.</w:t>
      </w:r>
      <w:bookmarkStart w:id="341" w:name="refFn_31_5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[53]</w:t>
      </w:r>
      <w:r w:rsidRPr="00BE407E">
        <w:rPr>
          <w:rFonts w:ascii="Times New Roman" w:eastAsia="Times New Roman" w:hAnsi="Times New Roman" w:cs="Times New Roman"/>
          <w:sz w:val="24"/>
          <w:szCs w:val="24"/>
        </w:rPr>
        <w:fldChar w:fldCharType="end"/>
      </w:r>
      <w:bookmarkEnd w:id="341"/>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 xml:space="preserve">An example of compensation granted to individual claimants for injury suffered during the Second World War is the decision by Greece’s Court of First Instance of Leivadia in the </w:t>
      </w:r>
      <w:r w:rsidRPr="00BE407E">
        <w:rPr>
          <w:rFonts w:ascii="Times New Roman" w:eastAsia="Times New Roman" w:hAnsi="Times New Roman" w:cs="Times New Roman"/>
          <w:i/>
          <w:iCs/>
          <w:sz w:val="24"/>
          <w:szCs w:val="24"/>
          <w:lang w:val="en-US"/>
        </w:rPr>
        <w:t>Prefecture of Voiotia case</w:t>
      </w:r>
      <w:r w:rsidRPr="00BE407E">
        <w:rPr>
          <w:rFonts w:ascii="Times New Roman" w:eastAsia="Times New Roman" w:hAnsi="Times New Roman" w:cs="Times New Roman"/>
          <w:sz w:val="24"/>
          <w:szCs w:val="24"/>
          <w:lang w:val="en-US"/>
        </w:rPr>
        <w:t xml:space="preserve"> in 1997, which was upheld in 2000 by the Supreme Court. In this case, the courts applied Article 3 of the 1907 Hague Convention (IV) and Article 46 of the Hague Regulations and ruled that the victims of the Distomo killings could directly bring a claim against Germany for compensation and that sovereign immunity could not be invoked in connection with violations of a rule of </w:t>
      </w:r>
      <w:r w:rsidRPr="00BE407E">
        <w:rPr>
          <w:rFonts w:ascii="Times New Roman" w:eastAsia="Times New Roman" w:hAnsi="Times New Roman" w:cs="Times New Roman"/>
          <w:i/>
          <w:iCs/>
          <w:sz w:val="24"/>
          <w:szCs w:val="24"/>
          <w:lang w:val="en-US"/>
        </w:rPr>
        <w:t>jus cogens</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inter alia</w:t>
      </w:r>
      <w:r w:rsidRPr="00BE407E">
        <w:rPr>
          <w:rFonts w:ascii="Times New Roman" w:eastAsia="Times New Roman" w:hAnsi="Times New Roman" w:cs="Times New Roman"/>
          <w:sz w:val="24"/>
          <w:szCs w:val="24"/>
          <w:lang w:val="en-US"/>
        </w:rPr>
        <w:t xml:space="preserve"> wilful killing). However, with regard to the same case, Greece refused to give its consent necessary for the execution of the judgment against Germany for reasons of State immunity.</w:t>
      </w:r>
      <w:bookmarkStart w:id="342" w:name="refFn_31_5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[54]</w:t>
      </w:r>
      <w:r w:rsidRPr="00BE407E">
        <w:rPr>
          <w:rFonts w:ascii="Times New Roman" w:eastAsia="Times New Roman" w:hAnsi="Times New Roman" w:cs="Times New Roman"/>
          <w:sz w:val="24"/>
          <w:szCs w:val="24"/>
        </w:rPr>
        <w:fldChar w:fldCharType="end"/>
      </w:r>
      <w:bookmarkEnd w:id="342"/>
      <w:r w:rsidRPr="00BE407E">
        <w:rPr>
          <w:rFonts w:ascii="Times New Roman" w:eastAsia="Times New Roman" w:hAnsi="Times New Roman" w:cs="Times New Roman"/>
          <w:sz w:val="24"/>
          <w:szCs w:val="24"/>
          <w:lang w:val="en-US"/>
        </w:rPr>
        <w:t> </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Non-international armed conflicts</w:t>
      </w:r>
    </w:p>
    <w:p w:rsidR="00BE407E" w:rsidRPr="00BE407E" w:rsidRDefault="00BE407E" w:rsidP="00BE407E">
      <w:pPr>
        <w:spacing w:after="24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There is an increasing amount of State practice from all parts of the world that shows that this rule applies to violations of international humanitarian law committed in non-international armed conflicts and attributable to a State. It flows directly from the basic legal principle that a breach of law involves an obligation to make reparation,</w:t>
      </w:r>
      <w:bookmarkStart w:id="343" w:name="refFn_31_5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[55]</w:t>
      </w:r>
      <w:r w:rsidRPr="00BE407E">
        <w:rPr>
          <w:rFonts w:ascii="Times New Roman" w:eastAsia="Times New Roman" w:hAnsi="Times New Roman" w:cs="Times New Roman"/>
          <w:sz w:val="24"/>
          <w:szCs w:val="24"/>
        </w:rPr>
        <w:fldChar w:fldCharType="end"/>
      </w:r>
      <w:bookmarkEnd w:id="343"/>
      <w:r w:rsidRPr="00BE407E">
        <w:rPr>
          <w:rFonts w:ascii="Times New Roman" w:eastAsia="Times New Roman" w:hAnsi="Times New Roman" w:cs="Times New Roman"/>
          <w:sz w:val="24"/>
          <w:szCs w:val="24"/>
          <w:lang w:val="en-US"/>
        </w:rPr>
        <w:t xml:space="preserve">  as well as from the responsibility of a State for violations which are attributable to it (see Rule 149). Practice varies in that it sometimes refers to the duty to make reparations in general terms, and at other times to specific forms of reparation, including restitution, compensation and satisfaction (see </w:t>
      </w:r>
      <w:r w:rsidRPr="00BE407E">
        <w:rPr>
          <w:rFonts w:ascii="Times New Roman" w:eastAsia="Times New Roman" w:hAnsi="Times New Roman" w:cs="Times New Roman"/>
          <w:i/>
          <w:iCs/>
          <w:sz w:val="24"/>
          <w:szCs w:val="24"/>
          <w:lang w:val="en-US"/>
        </w:rPr>
        <w:t>infra</w:t>
      </w:r>
      <w:r w:rsidRPr="00BE407E">
        <w:rPr>
          <w:rFonts w:ascii="Times New Roman" w:eastAsia="Times New Roman" w:hAnsi="Times New Roman" w:cs="Times New Roman"/>
          <w:sz w:val="24"/>
          <w:szCs w:val="24"/>
          <w:lang w:val="en-US"/>
        </w:rPr>
        <w:t>).</w:t>
      </w:r>
      <w:bookmarkStart w:id="344" w:name="refFn_31_5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[56]</w:t>
      </w:r>
      <w:r w:rsidRPr="00BE407E">
        <w:rPr>
          <w:rFonts w:ascii="Times New Roman" w:eastAsia="Times New Roman" w:hAnsi="Times New Roman" w:cs="Times New Roman"/>
          <w:sz w:val="24"/>
          <w:szCs w:val="24"/>
        </w:rPr>
        <w:fldChar w:fldCharType="end"/>
      </w:r>
      <w:bookmarkEnd w:id="344"/>
      <w:r w:rsidRPr="00BE407E">
        <w:rPr>
          <w:rFonts w:ascii="Times New Roman" w:eastAsia="Times New Roman" w:hAnsi="Times New Roman" w:cs="Times New Roman"/>
          <w:sz w:val="24"/>
          <w:szCs w:val="24"/>
          <w:lang w:val="en-US"/>
        </w:rPr>
        <w:t>  Some reparation was provided on the basis of a recognition by the government of its responsibility to provide such reparation and sometimes on the basis of its recognition that it ought to make such reparation.</w:t>
      </w:r>
      <w:r w:rsidRPr="00BE407E">
        <w:rPr>
          <w:rFonts w:ascii="Times New Roman" w:eastAsia="Times New Roman" w:hAnsi="Times New Roman" w:cs="Times New Roman"/>
          <w:sz w:val="24"/>
          <w:szCs w:val="24"/>
          <w:lang w:val="en-US"/>
        </w:rPr>
        <w:br/>
        <w:t xml:space="preserve">It lies in the nature of non-international armed conflicts, however, that the procedures </w:t>
      </w:r>
      <w:r w:rsidRPr="00BE407E">
        <w:rPr>
          <w:rFonts w:ascii="Times New Roman" w:eastAsia="Times New Roman" w:hAnsi="Times New Roman" w:cs="Times New Roman"/>
          <w:sz w:val="24"/>
          <w:szCs w:val="24"/>
          <w:lang w:val="en-US"/>
        </w:rPr>
        <w:lastRenderedPageBreak/>
        <w:t>which have been made available to provide reparation in international armed conflict are not necessarily relevant in non-international armed conflict. In particular, in non-international armed conflicts, victims suffer violations in their own State and generally have access to domestic courts to claim reparation in accordance with domestic law.</w:t>
      </w:r>
      <w:bookmarkStart w:id="345" w:name="refFn_31_5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[57]</w:t>
      </w:r>
      <w:r w:rsidRPr="00BE407E">
        <w:rPr>
          <w:rFonts w:ascii="Times New Roman" w:eastAsia="Times New Roman" w:hAnsi="Times New Roman" w:cs="Times New Roman"/>
          <w:sz w:val="24"/>
          <w:szCs w:val="24"/>
        </w:rPr>
        <w:fldChar w:fldCharType="end"/>
      </w:r>
      <w:bookmarkEnd w:id="345"/>
      <w:r w:rsidRPr="00BE407E">
        <w:rPr>
          <w:rFonts w:ascii="Times New Roman" w:eastAsia="Times New Roman" w:hAnsi="Times New Roman" w:cs="Times New Roman"/>
          <w:sz w:val="24"/>
          <w:szCs w:val="24"/>
          <w:lang w:val="en-US"/>
        </w:rPr>
        <w:t>  It is noteworthy in this respect that the International Covenant on Civil and Political Rights, as well as the three regional human rights treaties, require that States must provide a remedy for violations.</w:t>
      </w:r>
      <w:bookmarkStart w:id="346" w:name="refFn_31_5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[58]</w:t>
      </w:r>
      <w:r w:rsidRPr="00BE407E">
        <w:rPr>
          <w:rFonts w:ascii="Times New Roman" w:eastAsia="Times New Roman" w:hAnsi="Times New Roman" w:cs="Times New Roman"/>
          <w:sz w:val="24"/>
          <w:szCs w:val="24"/>
        </w:rPr>
        <w:fldChar w:fldCharType="end"/>
      </w:r>
      <w:bookmarkEnd w:id="346"/>
      <w:r w:rsidRPr="00BE407E">
        <w:rPr>
          <w:rFonts w:ascii="Times New Roman" w:eastAsia="Times New Roman" w:hAnsi="Times New Roman" w:cs="Times New Roman"/>
          <w:sz w:val="24"/>
          <w:szCs w:val="24"/>
          <w:lang w:val="en-US"/>
        </w:rPr>
        <w:t>  The UN Human Rights Committee and the Inter-American Court of Human Rights have stated that this obligation is non-derogable.</w:t>
      </w:r>
      <w:bookmarkStart w:id="347" w:name="refFn_31_5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"Fn_31_59"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[59]</w:t>
      </w:r>
      <w:r w:rsidRPr="00BE407E">
        <w:rPr>
          <w:rFonts w:ascii="Times New Roman" w:eastAsia="Times New Roman" w:hAnsi="Times New Roman" w:cs="Times New Roman"/>
          <w:sz w:val="24"/>
          <w:szCs w:val="24"/>
        </w:rPr>
        <w:fldChar w:fldCharType="end"/>
      </w:r>
      <w:bookmarkEnd w:id="347"/>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 xml:space="preserve">Reparation sought from a State </w:t>
      </w:r>
      <w:r w:rsidRPr="00BE407E">
        <w:rPr>
          <w:rFonts w:ascii="Times New Roman" w:eastAsia="Times New Roman" w:hAnsi="Times New Roman" w:cs="Times New Roman"/>
          <w:sz w:val="24"/>
          <w:szCs w:val="24"/>
          <w:lang w:val="en-US"/>
        </w:rPr>
        <w:br/>
        <w:t>The possibility for an individual victim of a violation of international humanitarian law to seek reparation from a State can be inferred from Article 75(6) of the Statute of the International Criminal Court, which states that “nothing in this article shall be interpreted as prejudicing the rights of victims under national or international law”.</w:t>
      </w:r>
      <w:bookmarkStart w:id="348" w:name="refFn_31_6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[60]</w:t>
      </w:r>
      <w:r w:rsidRPr="00BE407E">
        <w:rPr>
          <w:rFonts w:ascii="Times New Roman" w:eastAsia="Times New Roman" w:hAnsi="Times New Roman" w:cs="Times New Roman"/>
          <w:sz w:val="24"/>
          <w:szCs w:val="24"/>
        </w:rPr>
        <w:fldChar w:fldCharType="end"/>
      </w:r>
      <w:bookmarkEnd w:id="348"/>
      <w:r w:rsidRPr="00BE407E">
        <w:rPr>
          <w:rFonts w:ascii="Times New Roman" w:eastAsia="Times New Roman" w:hAnsi="Times New Roman" w:cs="Times New Roman"/>
          <w:sz w:val="24"/>
          <w:szCs w:val="24"/>
          <w:lang w:val="en-US"/>
        </w:rPr>
        <w:t>  Article 38 of the Second Protocol to the Hague Convention for the Protection of Cultural Property, which expressly refers to the duty of States to provide reparation, applies in any armed conflict.</w:t>
      </w:r>
      <w:bookmarkStart w:id="349" w:name="refFn_31_6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[61]</w:t>
      </w:r>
      <w:r w:rsidRPr="00BE407E">
        <w:rPr>
          <w:rFonts w:ascii="Times New Roman" w:eastAsia="Times New Roman" w:hAnsi="Times New Roman" w:cs="Times New Roman"/>
          <w:sz w:val="24"/>
          <w:szCs w:val="24"/>
        </w:rPr>
        <w:fldChar w:fldCharType="end"/>
      </w:r>
      <w:bookmarkEnd w:id="349"/>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An example from practice is the Joint Circular on Adherence to International Humanitarian Law and Human Rights of the Philippines, which provides that in the case of damage to private property in the course of legitimate security or police operations, “measures shall be undertaken whenever practicable … to repair the damage caused”.</w:t>
      </w:r>
      <w:bookmarkStart w:id="350" w:name="refFn_31_6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[62]</w:t>
      </w:r>
      <w:r w:rsidRPr="00BE407E">
        <w:rPr>
          <w:rFonts w:ascii="Times New Roman" w:eastAsia="Times New Roman" w:hAnsi="Times New Roman" w:cs="Times New Roman"/>
          <w:sz w:val="24"/>
          <w:szCs w:val="24"/>
        </w:rPr>
        <w:fldChar w:fldCharType="end"/>
      </w:r>
      <w:bookmarkEnd w:id="350"/>
      <w:r w:rsidRPr="00BE407E">
        <w:rPr>
          <w:rFonts w:ascii="Times New Roman" w:eastAsia="Times New Roman" w:hAnsi="Times New Roman" w:cs="Times New Roman"/>
          <w:sz w:val="24"/>
          <w:szCs w:val="24"/>
          <w:lang w:val="en-US"/>
        </w:rPr>
        <w:t>  Also, in a resolution adopted in 1996, the UN General Assembly urged the Afghan authorities to provide “efficient and effective remedies” to victims of serious violations of international humanitarian law.</w:t>
      </w:r>
      <w:bookmarkStart w:id="351" w:name="refFn_31_6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[63]</w:t>
      </w:r>
      <w:r w:rsidRPr="00BE407E">
        <w:rPr>
          <w:rFonts w:ascii="Times New Roman" w:eastAsia="Times New Roman" w:hAnsi="Times New Roman" w:cs="Times New Roman"/>
          <w:sz w:val="24"/>
          <w:szCs w:val="24"/>
        </w:rPr>
        <w:fldChar w:fldCharType="end"/>
      </w:r>
      <w:bookmarkEnd w:id="351"/>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Other examples from practice relate to specific forms of reparation, including restitution, compensation and satisfaction:</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 Restitution.</w:t>
      </w:r>
      <w:r w:rsidRPr="00BE407E">
        <w:rPr>
          <w:rFonts w:ascii="Times New Roman" w:eastAsia="Times New Roman" w:hAnsi="Times New Roman" w:cs="Times New Roman"/>
          <w:sz w:val="24"/>
          <w:szCs w:val="24"/>
          <w:lang w:val="en-US"/>
        </w:rPr>
        <w:t xml:space="preserve"> In the case of </w:t>
      </w:r>
      <w:r w:rsidRPr="00BE407E">
        <w:rPr>
          <w:rFonts w:ascii="Times New Roman" w:eastAsia="Times New Roman" w:hAnsi="Times New Roman" w:cs="Times New Roman"/>
          <w:i/>
          <w:iCs/>
          <w:sz w:val="24"/>
          <w:szCs w:val="24"/>
          <w:lang w:val="en-US"/>
        </w:rPr>
        <w:t>Akdivar and Others v. Turkey</w:t>
      </w:r>
      <w:r w:rsidRPr="00BE407E">
        <w:rPr>
          <w:rFonts w:ascii="Times New Roman" w:eastAsia="Times New Roman" w:hAnsi="Times New Roman" w:cs="Times New Roman"/>
          <w:sz w:val="24"/>
          <w:szCs w:val="24"/>
          <w:lang w:val="en-US"/>
        </w:rPr>
        <w:t>, the European Court of Human Rights stated that there was a legal obligation for a violating State to put an end to the breach and to “make reparation for its consequences in such a way as to restore as far as possible the situation existing before the breach (restitutio in integrum)”. However, it also stated that if this was in practice impossible, the State that ought to make reparation was to choose another means in order to comply with the judgment.</w:t>
      </w:r>
      <w:bookmarkStart w:id="352" w:name="refFn_31_6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[64]</w:t>
      </w:r>
      <w:r w:rsidRPr="00BE407E">
        <w:rPr>
          <w:rFonts w:ascii="Times New Roman" w:eastAsia="Times New Roman" w:hAnsi="Times New Roman" w:cs="Times New Roman"/>
          <w:sz w:val="24"/>
          <w:szCs w:val="24"/>
        </w:rPr>
        <w:fldChar w:fldCharType="end"/>
      </w:r>
      <w:bookmarkEnd w:id="352"/>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Another example is the Agreement on Refugees and Displaced Persons annexed to the Dayton Accords, which established the Commission for Real Property Claims of Displaced Persons and Refugees in Bosnia and Herzegovina, stating that refugees and displaced persons shall have the right to restitution of property of which they were deprived during the hostilities since 1991.</w:t>
      </w:r>
      <w:bookmarkStart w:id="353" w:name="refFn_31_6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[65]</w:t>
      </w:r>
      <w:r w:rsidRPr="00BE407E">
        <w:rPr>
          <w:rFonts w:ascii="Times New Roman" w:eastAsia="Times New Roman" w:hAnsi="Times New Roman" w:cs="Times New Roman"/>
          <w:sz w:val="24"/>
          <w:szCs w:val="24"/>
        </w:rPr>
        <w:fldChar w:fldCharType="end"/>
      </w:r>
      <w:bookmarkEnd w:id="353"/>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Similarly, the Housing and Property Claims Commission in Kosovo is given the power to decide on claims for restitution, repossession and return of the property brought by certain categories of persons, including those who lost their property rights as a result of discrimination, as well as refugees and displaced persons.</w:t>
      </w:r>
      <w:bookmarkStart w:id="354" w:name="refFn_31_6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[66]</w:t>
      </w:r>
      <w:r w:rsidRPr="00BE407E">
        <w:rPr>
          <w:rFonts w:ascii="Times New Roman" w:eastAsia="Times New Roman" w:hAnsi="Times New Roman" w:cs="Times New Roman"/>
          <w:sz w:val="24"/>
          <w:szCs w:val="24"/>
        </w:rPr>
        <w:fldChar w:fldCharType="end"/>
      </w:r>
      <w:bookmarkEnd w:id="354"/>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Another example is the 1998 Comprehensive Agreement on Respect for Human Rights and International Humanitarian Law in the Philippines which provides for restitution as a possible form of reparation.</w:t>
      </w:r>
      <w:bookmarkStart w:id="355" w:name="refFn_31_6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[67]</w:t>
      </w:r>
      <w:r w:rsidRPr="00BE407E">
        <w:rPr>
          <w:rFonts w:ascii="Times New Roman" w:eastAsia="Times New Roman" w:hAnsi="Times New Roman" w:cs="Times New Roman"/>
          <w:sz w:val="24"/>
          <w:szCs w:val="24"/>
        </w:rPr>
        <w:fldChar w:fldCharType="end"/>
      </w:r>
      <w:bookmarkEnd w:id="355"/>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(ii) Compensation.</w:t>
      </w:r>
      <w:r w:rsidRPr="00BE407E">
        <w:rPr>
          <w:rFonts w:ascii="Times New Roman" w:eastAsia="Times New Roman" w:hAnsi="Times New Roman" w:cs="Times New Roman"/>
          <w:sz w:val="24"/>
          <w:szCs w:val="24"/>
          <w:lang w:val="en-US"/>
        </w:rPr>
        <w:t xml:space="preserve"> There is widespread and representative practice in which States have made efforts to compensate victims of violations of international humanitarian law committed in non-international armed conflicts. Examples include: the Comprehensive Agreement on Human Rights in Guatemala by which the parties “recognize that it is a humanitarian duty to compensate and/or assist victims of human rights violations”; the </w:t>
      </w:r>
      <w:r w:rsidRPr="00BE407E">
        <w:rPr>
          <w:rFonts w:ascii="Times New Roman" w:eastAsia="Times New Roman" w:hAnsi="Times New Roman" w:cs="Times New Roman"/>
          <w:sz w:val="24"/>
          <w:szCs w:val="24"/>
          <w:lang w:val="en-US"/>
        </w:rPr>
        <w:lastRenderedPageBreak/>
        <w:t>Comprehensive Agreement on Respect for Human Rights and International Humanitarian Law in the Philippines, by which the parties recognize the right of the victims and their families to seek justice for violations of human rights, including “adequate compensation or indemnification”; and the Russian Federation’s Resolution on Compensation for Destruction of Property for Citizens Having Suffered from the Settling of the Crisis in Chechnya and Having Left Chechnya Irrevocably.</w:t>
      </w:r>
      <w:bookmarkStart w:id="356" w:name="refFn_31_6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[68]</w:t>
      </w:r>
      <w:r w:rsidRPr="00BE407E">
        <w:rPr>
          <w:rFonts w:ascii="Times New Roman" w:eastAsia="Times New Roman" w:hAnsi="Times New Roman" w:cs="Times New Roman"/>
          <w:sz w:val="24"/>
          <w:szCs w:val="24"/>
        </w:rPr>
        <w:fldChar w:fldCharType="end"/>
      </w:r>
      <w:bookmarkEnd w:id="356"/>
      <w:r w:rsidRPr="00BE407E">
        <w:rPr>
          <w:rFonts w:ascii="Times New Roman" w:eastAsia="Times New Roman" w:hAnsi="Times New Roman" w:cs="Times New Roman"/>
          <w:sz w:val="24"/>
          <w:szCs w:val="24"/>
          <w:lang w:val="en-US"/>
        </w:rPr>
        <w:t>  Also, Chile’s National Commission for Truth and Reconciliation, El Salvador’s special committee investigating the whereabouts of missing persons and Sri Lanka’s Commission of Inquiry into Involuntary Removal or Disappearance of Persons in certain provinces made recommendations that compensation should be paid to victims or their relatives.</w:t>
      </w:r>
      <w:bookmarkStart w:id="357" w:name="refFn_31_6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"Fn_31_69"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[69]</w:t>
      </w:r>
      <w:r w:rsidRPr="00BE407E">
        <w:rPr>
          <w:rFonts w:ascii="Times New Roman" w:eastAsia="Times New Roman" w:hAnsi="Times New Roman" w:cs="Times New Roman"/>
          <w:sz w:val="24"/>
          <w:szCs w:val="24"/>
        </w:rPr>
        <w:fldChar w:fldCharType="end"/>
      </w:r>
      <w:bookmarkEnd w:id="357"/>
      <w:r w:rsidRPr="00BE407E">
        <w:rPr>
          <w:rFonts w:ascii="Times New Roman" w:eastAsia="Times New Roman" w:hAnsi="Times New Roman" w:cs="Times New Roman"/>
          <w:sz w:val="24"/>
          <w:szCs w:val="24"/>
          <w:lang w:val="en-US"/>
        </w:rPr>
        <w:t>  In its views and comments on the 1997 version of the Draft Principles and Guidelines on the Right to Reparation for Victims of [Gross] Violations of Human Rights and International Humanitarian Law, as they were then called, Chile called for inclusion of a specific provision establishing “the State’s immediate, direct liability for compensation”.</w:t>
      </w:r>
      <w:bookmarkStart w:id="358" w:name="refFn_31_7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[70]</w:t>
      </w:r>
      <w:r w:rsidRPr="00BE407E">
        <w:rPr>
          <w:rFonts w:ascii="Times New Roman" w:eastAsia="Times New Roman" w:hAnsi="Times New Roman" w:cs="Times New Roman"/>
          <w:sz w:val="24"/>
          <w:szCs w:val="24"/>
        </w:rPr>
        <w:fldChar w:fldCharType="end"/>
      </w:r>
      <w:bookmarkEnd w:id="358"/>
      <w:r w:rsidRPr="00BE407E">
        <w:rPr>
          <w:rFonts w:ascii="Times New Roman" w:eastAsia="Times New Roman" w:hAnsi="Times New Roman" w:cs="Times New Roman"/>
          <w:sz w:val="24"/>
          <w:szCs w:val="24"/>
          <w:lang w:val="en-US"/>
        </w:rPr>
        <w:t>  Rwanda, in 1996, and Zimbabwe, in 1999, also announced their willingness to compensate victims of, respectively, acts of genocide and crimes against humanity committed in Rwanda and of killings committed during the armed conflict in the early 1980s in Zimbabwe.</w:t>
      </w:r>
      <w:bookmarkStart w:id="359" w:name="refFn_31_7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[71]</w:t>
      </w:r>
      <w:r w:rsidRPr="00BE407E">
        <w:rPr>
          <w:rFonts w:ascii="Times New Roman" w:eastAsia="Times New Roman" w:hAnsi="Times New Roman" w:cs="Times New Roman"/>
          <w:sz w:val="24"/>
          <w:szCs w:val="24"/>
        </w:rPr>
        <w:fldChar w:fldCharType="end"/>
      </w:r>
      <w:bookmarkEnd w:id="359"/>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t>Another instrument implementing the right of victims to compensation is the Agreement on Refugees and Displaced Persons annexed to the Dayton Accords, which establishes the Commission for Real Property Claims of Displaced Persons and Refugees in Bosnia and Herzegovina and which states that refugees and displaced persons who were deprived of their property in the course of hostilities since 1991 must be compensated if the property cannot be restored to them.</w:t>
      </w:r>
      <w:bookmarkStart w:id="360" w:name="refFn_31_7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[72]</w:t>
      </w:r>
      <w:r w:rsidRPr="00BE407E">
        <w:rPr>
          <w:rFonts w:ascii="Times New Roman" w:eastAsia="Times New Roman" w:hAnsi="Times New Roman" w:cs="Times New Roman"/>
          <w:sz w:val="24"/>
          <w:szCs w:val="24"/>
        </w:rPr>
        <w:fldChar w:fldCharType="end"/>
      </w:r>
      <w:bookmarkEnd w:id="360"/>
      <w:r w:rsidRPr="00BE407E">
        <w:rPr>
          <w:rFonts w:ascii="Times New Roman" w:eastAsia="Times New Roman" w:hAnsi="Times New Roman" w:cs="Times New Roman"/>
          <w:sz w:val="24"/>
          <w:szCs w:val="24"/>
          <w:lang w:val="en-US"/>
        </w:rPr>
        <w:t>  UNMIK Regulation No. 2000/60, containing the Rules of Procedure and Evidence of the Housing and Property Claims Commission in Kosovo, provides for compensation to persons whose property rights were lost as a result of discrimination.</w:t>
      </w:r>
      <w:bookmarkStart w:id="361" w:name="refFn_31_7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[73]</w:t>
      </w:r>
      <w:r w:rsidRPr="00BE407E">
        <w:rPr>
          <w:rFonts w:ascii="Times New Roman" w:eastAsia="Times New Roman" w:hAnsi="Times New Roman" w:cs="Times New Roman"/>
          <w:sz w:val="24"/>
          <w:szCs w:val="24"/>
        </w:rPr>
        <w:fldChar w:fldCharType="end"/>
      </w:r>
      <w:bookmarkEnd w:id="361"/>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There has also been practice by international organizations calling for or recommending compensation to victims of violations of international humanitarian law in non-international armed conflicts.</w:t>
      </w:r>
      <w:bookmarkStart w:id="362" w:name="refFn_31_74"/>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[74]</w:t>
      </w:r>
      <w:r w:rsidRPr="00BE407E">
        <w:rPr>
          <w:rFonts w:ascii="Times New Roman" w:eastAsia="Times New Roman" w:hAnsi="Times New Roman" w:cs="Times New Roman"/>
          <w:sz w:val="24"/>
          <w:szCs w:val="24"/>
        </w:rPr>
        <w:fldChar w:fldCharType="end"/>
      </w:r>
      <w:bookmarkEnd w:id="362"/>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sz w:val="24"/>
          <w:szCs w:val="24"/>
          <w:lang w:val="en-US"/>
        </w:rPr>
        <w:br/>
      </w:r>
      <w:r w:rsidRPr="00BE407E">
        <w:rPr>
          <w:rFonts w:ascii="Times New Roman" w:eastAsia="Times New Roman" w:hAnsi="Times New Roman" w:cs="Times New Roman"/>
          <w:i/>
          <w:iCs/>
          <w:sz w:val="24"/>
          <w:szCs w:val="24"/>
          <w:lang w:val="en-US"/>
        </w:rPr>
        <w:t>(iii) Satisfaction.</w:t>
      </w:r>
      <w:r w:rsidRPr="00BE407E">
        <w:rPr>
          <w:rFonts w:ascii="Times New Roman" w:eastAsia="Times New Roman" w:hAnsi="Times New Roman" w:cs="Times New Roman"/>
          <w:sz w:val="24"/>
          <w:szCs w:val="24"/>
          <w:lang w:val="en-US"/>
        </w:rPr>
        <w:t xml:space="preserve"> There are examples of practice where satisfaction has been provided as a form of reparation, including in the form of rehabilitation, apology, guarantees of non-repetition and establishing the truth. For example, as early as the Spanish Civil War, apologies, guarantees of non-repetition and a promise of punishing persons responsible for certain violations were made.</w:t>
      </w:r>
      <w:bookmarkStart w:id="363" w:name="refFn_31_75"/>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[75]</w:t>
      </w:r>
      <w:r w:rsidRPr="00BE407E">
        <w:rPr>
          <w:rFonts w:ascii="Times New Roman" w:eastAsia="Times New Roman" w:hAnsi="Times New Roman" w:cs="Times New Roman"/>
          <w:sz w:val="24"/>
          <w:szCs w:val="24"/>
        </w:rPr>
        <w:fldChar w:fldCharType="end"/>
      </w:r>
      <w:bookmarkEnd w:id="363"/>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More recently, the Comprehensive Agreement on Respect for Human Rights and International Humanitarian Law in the Philippines provides for “rehabilitation” as a possible form of reparation.</w:t>
      </w:r>
      <w:bookmarkStart w:id="364" w:name="refFn_31_76"/>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 xml:space="preserve"> [76]</w:t>
      </w:r>
      <w:r w:rsidRPr="00BE407E">
        <w:rPr>
          <w:rFonts w:ascii="Times New Roman" w:eastAsia="Times New Roman" w:hAnsi="Times New Roman" w:cs="Times New Roman"/>
          <w:sz w:val="24"/>
          <w:szCs w:val="24"/>
        </w:rPr>
        <w:fldChar w:fldCharType="end"/>
      </w:r>
      <w:bookmarkEnd w:id="364"/>
      <w:r w:rsidRPr="00BE407E">
        <w:rPr>
          <w:rFonts w:ascii="Times New Roman" w:eastAsia="Times New Roman" w:hAnsi="Times New Roman" w:cs="Times New Roman"/>
          <w:sz w:val="24"/>
          <w:szCs w:val="24"/>
          <w:lang w:val="en-US"/>
        </w:rPr>
        <w:t xml:space="preserve">  The requirement to establish the truth through investigation and to bring perpetrators to justice was stressed by the Inter-American Commission on Human Rights in a case concerning the murder of Archbishop Romero by death squads in El Salvador in 1980. The Commission established, </w:t>
      </w:r>
      <w:r w:rsidRPr="00BE407E">
        <w:rPr>
          <w:rFonts w:ascii="Times New Roman" w:eastAsia="Times New Roman" w:hAnsi="Times New Roman" w:cs="Times New Roman"/>
          <w:i/>
          <w:iCs/>
          <w:sz w:val="24"/>
          <w:szCs w:val="24"/>
          <w:lang w:val="en-US"/>
        </w:rPr>
        <w:t>inter alia</w:t>
      </w:r>
      <w:r w:rsidRPr="00BE407E">
        <w:rPr>
          <w:rFonts w:ascii="Times New Roman" w:eastAsia="Times New Roman" w:hAnsi="Times New Roman" w:cs="Times New Roman"/>
          <w:sz w:val="24"/>
          <w:szCs w:val="24"/>
          <w:lang w:val="en-US"/>
        </w:rPr>
        <w:t xml:space="preserve">, that El Salvador was responsible for: </w:t>
      </w:r>
      <w:r w:rsidRPr="00BE407E">
        <w:rPr>
          <w:rFonts w:ascii="Times New Roman" w:eastAsia="Times New Roman" w:hAnsi="Times New Roman" w:cs="Times New Roman"/>
          <w:sz w:val="24"/>
          <w:szCs w:val="24"/>
          <w:lang w:val="en-US"/>
        </w:rPr>
        <w:br/>
        <w:t xml:space="preserve">failing to carry out its duty to investigate seriously and in good faith the violation of rights recognized by the [American Convention on Human Rights]; to identify the persons responsible for that violation, place them on trial, punish them, and make reparations for the human rights violations. </w:t>
      </w:r>
      <w:r w:rsidRPr="00BE407E">
        <w:rPr>
          <w:rFonts w:ascii="Times New Roman" w:eastAsia="Times New Roman" w:hAnsi="Times New Roman" w:cs="Times New Roman"/>
          <w:sz w:val="24"/>
          <w:szCs w:val="24"/>
          <w:lang w:val="en-US"/>
        </w:rPr>
        <w:br/>
        <w:t xml:space="preserve">Referring to decisions by the UN Human Rights Committee, it furthermore stated that “the duty to make reparations for damage is not satisfied merely by offering a sum of money to the victim’s next-of-kin. First, an end must be brought to their uncertainty and ignorance, i.e. they must be given the complete and public knowledge of the truth.” It </w:t>
      </w:r>
      <w:r w:rsidRPr="00BE407E">
        <w:rPr>
          <w:rFonts w:ascii="Times New Roman" w:eastAsia="Times New Roman" w:hAnsi="Times New Roman" w:cs="Times New Roman"/>
          <w:sz w:val="24"/>
          <w:szCs w:val="24"/>
          <w:lang w:val="en-US"/>
        </w:rPr>
        <w:lastRenderedPageBreak/>
        <w:t>stated that this right to know the full, complete and public truth “is part of the right to reparation for human rights violations, with respect to satisfaction and guarantees of non-repetition”.</w:t>
      </w:r>
      <w:bookmarkStart w:id="365" w:name="refFn_31_77"/>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[77]</w:t>
      </w:r>
      <w:r w:rsidRPr="00BE407E">
        <w:rPr>
          <w:rFonts w:ascii="Times New Roman" w:eastAsia="Times New Roman" w:hAnsi="Times New Roman" w:cs="Times New Roman"/>
          <w:sz w:val="24"/>
          <w:szCs w:val="24"/>
        </w:rPr>
        <w:fldChar w:fldCharType="end"/>
      </w:r>
      <w:bookmarkEnd w:id="365"/>
      <w:r w:rsidRPr="00BE407E">
        <w:rPr>
          <w:rFonts w:ascii="Times New Roman" w:eastAsia="Times New Roman" w:hAnsi="Times New Roman" w:cs="Times New Roman"/>
          <w:sz w:val="24"/>
          <w:szCs w:val="24"/>
          <w:lang w:val="en-US"/>
        </w:rPr>
        <w:t xml:space="preserve">  The principle that reparation includes the right to the truth, as well as the investigation and prosecution of the persons responsible for human rights violations, was confirmed by the Inter-American Court of Human Rights in the case of </w:t>
      </w:r>
      <w:r w:rsidRPr="00BE407E">
        <w:rPr>
          <w:rFonts w:ascii="Times New Roman" w:eastAsia="Times New Roman" w:hAnsi="Times New Roman" w:cs="Times New Roman"/>
          <w:i/>
          <w:iCs/>
          <w:sz w:val="24"/>
          <w:szCs w:val="24"/>
          <w:lang w:val="en-US"/>
        </w:rPr>
        <w:t xml:space="preserve">Street Children v. Guatemala </w:t>
      </w:r>
      <w:r w:rsidRPr="00BE407E">
        <w:rPr>
          <w:rFonts w:ascii="Times New Roman" w:eastAsia="Times New Roman" w:hAnsi="Times New Roman" w:cs="Times New Roman"/>
          <w:sz w:val="24"/>
          <w:szCs w:val="24"/>
          <w:lang w:val="en-US"/>
        </w:rPr>
        <w:t>in 2001.</w:t>
      </w:r>
      <w:bookmarkStart w:id="366" w:name="refFn_31_78"/>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[78]</w:t>
      </w:r>
      <w:r w:rsidRPr="00BE407E">
        <w:rPr>
          <w:rFonts w:ascii="Times New Roman" w:eastAsia="Times New Roman" w:hAnsi="Times New Roman" w:cs="Times New Roman"/>
          <w:sz w:val="24"/>
          <w:szCs w:val="24"/>
        </w:rPr>
        <w:fldChar w:fldCharType="end"/>
      </w:r>
      <w:bookmarkEnd w:id="366"/>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Reparation sought from armed opposition groups</w:t>
      </w:r>
      <w:r w:rsidRPr="00BE407E">
        <w:rPr>
          <w:rFonts w:ascii="Times New Roman" w:eastAsia="Times New Roman" w:hAnsi="Times New Roman" w:cs="Times New Roman"/>
          <w:sz w:val="24"/>
          <w:szCs w:val="24"/>
          <w:lang w:val="en-US"/>
        </w:rPr>
        <w:br/>
        <w:t>There is some practice to the effect that armed opposition groups are required to provide appropriate reparation for the damage resulting from violations of international humanitarian law. An example is the Comprehensive Agreement on Respect for Human Rights and International Humanitarian Law in the Philippines, which states that “the Parties to the armed conflict shall adhere to and be bound by the generally accepted principles and standards of international humanitarian law” and which provides for indemnification of the victims of violations of international humanitarian law.</w:t>
      </w:r>
      <w:bookmarkStart w:id="367" w:name="refFn_31_79"/>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"Fn_31_79"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[79]</w:t>
      </w:r>
      <w:r w:rsidRPr="00BE407E">
        <w:rPr>
          <w:rFonts w:ascii="Times New Roman" w:eastAsia="Times New Roman" w:hAnsi="Times New Roman" w:cs="Times New Roman"/>
          <w:sz w:val="24"/>
          <w:szCs w:val="24"/>
        </w:rPr>
        <w:fldChar w:fldCharType="end"/>
      </w:r>
      <w:bookmarkEnd w:id="367"/>
      <w:r w:rsidRPr="00BE407E">
        <w:rPr>
          <w:rFonts w:ascii="Times New Roman" w:eastAsia="Times New Roman" w:hAnsi="Times New Roman" w:cs="Times New Roman"/>
          <w:sz w:val="24"/>
          <w:szCs w:val="24"/>
          <w:lang w:val="en-US"/>
        </w:rPr>
        <w:t>  It is also significant that in 2001 a provincial arm of the ELN in Colombia publicly apologized for the death of three children resulting from an armed attack and the destruction of civilian houses during “an action of war” and expressed its willingness to collaborate in the recuperation of remaining objects.</w:t>
      </w:r>
      <w:bookmarkStart w:id="368" w:name="refFn_31_80"/>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"Fn_31_80"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[80]</w:t>
      </w:r>
      <w:r w:rsidRPr="00BE407E">
        <w:rPr>
          <w:rFonts w:ascii="Times New Roman" w:eastAsia="Times New Roman" w:hAnsi="Times New Roman" w:cs="Times New Roman"/>
          <w:sz w:val="24"/>
          <w:szCs w:val="24"/>
        </w:rPr>
        <w:fldChar w:fldCharType="end"/>
      </w:r>
      <w:bookmarkEnd w:id="368"/>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There is also some practice of the United Nations supporting the obligation of armed opposition groups to provide appropriate reparation. In a resolution on Liberia adopted in 1996, the UN Security Council called upon “the leaders of the factions” to ensure the return of looted property.</w:t>
      </w:r>
      <w:bookmarkStart w:id="369" w:name="refFn_31_81"/>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"Fn_31_81"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[81]</w:t>
      </w:r>
      <w:r w:rsidRPr="00BE407E">
        <w:rPr>
          <w:rFonts w:ascii="Times New Roman" w:eastAsia="Times New Roman" w:hAnsi="Times New Roman" w:cs="Times New Roman"/>
          <w:sz w:val="24"/>
          <w:szCs w:val="24"/>
        </w:rPr>
        <w:fldChar w:fldCharType="end"/>
      </w:r>
      <w:bookmarkEnd w:id="369"/>
      <w:r w:rsidRPr="00BE407E">
        <w:rPr>
          <w:rFonts w:ascii="Times New Roman" w:eastAsia="Times New Roman" w:hAnsi="Times New Roman" w:cs="Times New Roman"/>
          <w:sz w:val="24"/>
          <w:szCs w:val="24"/>
          <w:lang w:val="en-US"/>
        </w:rPr>
        <w:t>  In a resolution on Afghanistan adopted in 1998, the UN Commission on Human Rights urged “all the Afghan parties” to provide effective remedies to the victims of violations of human rights and humanitarian law.</w:t>
      </w:r>
      <w:bookmarkStart w:id="370" w:name="refFn_31_82"/>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"Fn_31_82"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[82]</w:t>
      </w:r>
      <w:r w:rsidRPr="00BE407E">
        <w:rPr>
          <w:rFonts w:ascii="Times New Roman" w:eastAsia="Times New Roman" w:hAnsi="Times New Roman" w:cs="Times New Roman"/>
          <w:sz w:val="24"/>
          <w:szCs w:val="24"/>
        </w:rPr>
        <w:fldChar w:fldCharType="end"/>
      </w:r>
      <w:bookmarkEnd w:id="370"/>
      <w:r w:rsidRPr="00BE407E">
        <w:rPr>
          <w:rFonts w:ascii="Times New Roman" w:eastAsia="Times New Roman" w:hAnsi="Times New Roman" w:cs="Times New Roman"/>
          <w:sz w:val="24"/>
          <w:szCs w:val="24"/>
          <w:lang w:val="en-US"/>
        </w:rPr>
        <w:t>  In 1998, in his report on the causes of conflict and the promotion of durable peace and sustainable development in Africa, the UN Secretary-General recommended that “in order to make warring parties more accountable for their actions … international legal machinery be developed to facilitate efforts to find, attach and seize the assets of transgressing parties and their leaders”.</w:t>
      </w:r>
      <w:bookmarkStart w:id="371" w:name="refFn_31_83"/>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"Fn_31_83"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[83]</w:t>
      </w:r>
      <w:r w:rsidRPr="00BE407E">
        <w:rPr>
          <w:rFonts w:ascii="Times New Roman" w:eastAsia="Times New Roman" w:hAnsi="Times New Roman" w:cs="Times New Roman"/>
          <w:sz w:val="24"/>
          <w:szCs w:val="24"/>
        </w:rPr>
        <w:fldChar w:fldCharType="end"/>
      </w:r>
      <w:bookmarkEnd w:id="371"/>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sz w:val="24"/>
          <w:szCs w:val="24"/>
          <w:lang w:val="en-US"/>
        </w:rPr>
        <w:br/>
        <w:t>Even if it can be argued that armed opposition groups incur responsibility for acts committed by persons forming part of such groups (see commentary to Rule 149), the consequences of such responsibility are not clear. In particular, it is unclear to what extent armed opposition groups are under an obligation to make full reparation, even though in many countries victims can bring a civil suit for damages against the offenders (see commentary to Rule 151).</w:t>
      </w:r>
    </w:p>
    <w:bookmarkStart w:id="372" w:name="Fn_31_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w:t>
      </w:r>
      <w:r w:rsidRPr="00BE407E">
        <w:rPr>
          <w:rFonts w:ascii="Times New Roman" w:eastAsia="Times New Roman" w:hAnsi="Times New Roman" w:cs="Times New Roman"/>
          <w:sz w:val="24"/>
          <w:szCs w:val="24"/>
        </w:rPr>
        <w:fldChar w:fldCharType="end"/>
      </w:r>
      <w:bookmarkEnd w:id="372"/>
      <w:r w:rsidRPr="00BE407E">
        <w:rPr>
          <w:rFonts w:ascii="Times New Roman" w:eastAsia="Times New Roman" w:hAnsi="Times New Roman" w:cs="Times New Roman"/>
          <w:sz w:val="24"/>
          <w:szCs w:val="24"/>
          <w:lang w:val="en-US"/>
        </w:rPr>
        <w:t xml:space="preserve"> PCIJ, </w:t>
      </w:r>
      <w:r w:rsidRPr="00BE407E">
        <w:rPr>
          <w:rFonts w:ascii="Times New Roman" w:eastAsia="Times New Roman" w:hAnsi="Times New Roman" w:cs="Times New Roman"/>
          <w:i/>
          <w:iCs/>
          <w:sz w:val="24"/>
          <w:szCs w:val="24"/>
          <w:lang w:val="en-US"/>
        </w:rPr>
        <w:t>Chorzów Factory case (Merits)</w:t>
      </w:r>
      <w:r w:rsidRPr="00BE407E">
        <w:rPr>
          <w:rFonts w:ascii="Times New Roman" w:eastAsia="Times New Roman" w:hAnsi="Times New Roman" w:cs="Times New Roman"/>
          <w:sz w:val="24"/>
          <w:szCs w:val="24"/>
          <w:lang w:val="en-US"/>
        </w:rPr>
        <w:t xml:space="preserve"> (cited in Vol. II. Ch. 42, § 102); see also PCIJ Statute, Article 36, which states that “the States Parties to the present Statute may at any time declare that they recognize as compulsory </w:t>
      </w:r>
      <w:r w:rsidRPr="00BE407E">
        <w:rPr>
          <w:rFonts w:ascii="Times New Roman" w:eastAsia="Times New Roman" w:hAnsi="Times New Roman" w:cs="Times New Roman"/>
          <w:i/>
          <w:iCs/>
          <w:sz w:val="24"/>
          <w:szCs w:val="24"/>
          <w:lang w:val="en-US"/>
        </w:rPr>
        <w:t>ipso facto</w:t>
      </w:r>
      <w:r w:rsidRPr="00BE407E">
        <w:rPr>
          <w:rFonts w:ascii="Times New Roman" w:eastAsia="Times New Roman" w:hAnsi="Times New Roman" w:cs="Times New Roman"/>
          <w:sz w:val="24"/>
          <w:szCs w:val="24"/>
          <w:lang w:val="en-US"/>
        </w:rPr>
        <w:t xml:space="preserve"> and without special agreement, in relation to any other state accepting the same obligation, the jurisdiction of the Court in all legal disputes concerning: … (d) the nature or extent of the reparation to be made for the breach of an international obligation”. Article 36 of the ICJ Statute contains similar wording.</w:t>
      </w:r>
    </w:p>
    <w:bookmarkStart w:id="373" w:name="Fn_31_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w:t>
      </w:r>
      <w:r w:rsidRPr="00BE407E">
        <w:rPr>
          <w:rFonts w:ascii="Times New Roman" w:eastAsia="Times New Roman" w:hAnsi="Times New Roman" w:cs="Times New Roman"/>
          <w:sz w:val="24"/>
          <w:szCs w:val="24"/>
        </w:rPr>
        <w:fldChar w:fldCharType="end"/>
      </w:r>
      <w:bookmarkEnd w:id="373"/>
      <w:r w:rsidRPr="00BE407E">
        <w:rPr>
          <w:rFonts w:ascii="Times New Roman" w:eastAsia="Times New Roman" w:hAnsi="Times New Roman" w:cs="Times New Roman"/>
          <w:sz w:val="24"/>
          <w:szCs w:val="24"/>
          <w:lang w:val="en-US"/>
        </w:rPr>
        <w:t xml:space="preserve"> Draft Articles on State Responsibility, Article 31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86).</w:t>
      </w:r>
    </w:p>
    <w:bookmarkStart w:id="374" w:name="Fn_31_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w:t>
      </w:r>
      <w:r w:rsidRPr="00BE407E">
        <w:rPr>
          <w:rFonts w:ascii="Times New Roman" w:eastAsia="Times New Roman" w:hAnsi="Times New Roman" w:cs="Times New Roman"/>
          <w:sz w:val="24"/>
          <w:szCs w:val="24"/>
        </w:rPr>
        <w:fldChar w:fldCharType="end"/>
      </w:r>
      <w:bookmarkEnd w:id="374"/>
      <w:r w:rsidRPr="00BE407E">
        <w:rPr>
          <w:rFonts w:ascii="Times New Roman" w:eastAsia="Times New Roman" w:hAnsi="Times New Roman" w:cs="Times New Roman"/>
          <w:sz w:val="24"/>
          <w:szCs w:val="24"/>
          <w:lang w:val="en-US"/>
        </w:rPr>
        <w:t xml:space="preserve"> Second Protocol to the Hague Convention for the Protection of Cultural Property, Article 38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80).</w:t>
      </w:r>
    </w:p>
    <w:bookmarkStart w:id="375" w:name="Fn_31_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w:t>
      </w:r>
      <w:r w:rsidRPr="00BE407E">
        <w:rPr>
          <w:rFonts w:ascii="Times New Roman" w:eastAsia="Times New Roman" w:hAnsi="Times New Roman" w:cs="Times New Roman"/>
          <w:sz w:val="24"/>
          <w:szCs w:val="24"/>
        </w:rPr>
        <w:fldChar w:fldCharType="end"/>
      </w:r>
      <w:bookmarkEnd w:id="375"/>
      <w:r w:rsidRPr="00BE407E">
        <w:rPr>
          <w:rFonts w:ascii="Times New Roman" w:eastAsia="Times New Roman" w:hAnsi="Times New Roman" w:cs="Times New Roman"/>
          <w:sz w:val="24"/>
          <w:szCs w:val="24"/>
          <w:lang w:val="en-US"/>
        </w:rPr>
        <w:t xml:space="preserve"> First Geneva Convention, Article 51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 Second Geneva Convention, Article 52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 Third Geneva Convention, Article 131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 Fourth Geneva Convention, Article 148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w:t>
      </w:r>
    </w:p>
    <w:bookmarkStart w:id="376" w:name="Fn_31_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w:t>
      </w:r>
      <w:r w:rsidRPr="00BE407E">
        <w:rPr>
          <w:rFonts w:ascii="Times New Roman" w:eastAsia="Times New Roman" w:hAnsi="Times New Roman" w:cs="Times New Roman"/>
          <w:sz w:val="24"/>
          <w:szCs w:val="24"/>
        </w:rPr>
        <w:fldChar w:fldCharType="end"/>
      </w:r>
      <w:bookmarkEnd w:id="376"/>
      <w:r w:rsidRPr="00BE407E">
        <w:rPr>
          <w:rFonts w:ascii="Times New Roman" w:eastAsia="Times New Roman" w:hAnsi="Times New Roman" w:cs="Times New Roman"/>
          <w:sz w:val="24"/>
          <w:szCs w:val="24"/>
          <w:lang w:val="en-US"/>
        </w:rPr>
        <w:t xml:space="preserve"> Draft Articles on State Responsibility, Article 34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157).</w:t>
      </w:r>
    </w:p>
    <w:bookmarkStart w:id="377" w:name="Fn_31_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lastRenderedPageBreak/>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w:t>
      </w:r>
      <w:r w:rsidRPr="00BE407E">
        <w:rPr>
          <w:rFonts w:ascii="Times New Roman" w:eastAsia="Times New Roman" w:hAnsi="Times New Roman" w:cs="Times New Roman"/>
          <w:sz w:val="24"/>
          <w:szCs w:val="24"/>
        </w:rPr>
        <w:fldChar w:fldCharType="end"/>
      </w:r>
      <w:bookmarkEnd w:id="377"/>
      <w:r w:rsidRPr="00BE407E">
        <w:rPr>
          <w:rFonts w:ascii="Times New Roman" w:eastAsia="Times New Roman" w:hAnsi="Times New Roman" w:cs="Times New Roman"/>
          <w:sz w:val="24"/>
          <w:szCs w:val="24"/>
          <w:lang w:val="en-US"/>
        </w:rPr>
        <w:t xml:space="preserve"> International Law Commission, Commentary on Article 35 of the Draft Articles on State Responsibility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351).</w:t>
      </w:r>
    </w:p>
    <w:bookmarkStart w:id="378" w:name="Fn_31_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w:t>
      </w:r>
      <w:r w:rsidRPr="00BE407E">
        <w:rPr>
          <w:rFonts w:ascii="Times New Roman" w:eastAsia="Times New Roman" w:hAnsi="Times New Roman" w:cs="Times New Roman"/>
          <w:sz w:val="24"/>
          <w:szCs w:val="24"/>
        </w:rPr>
        <w:fldChar w:fldCharType="end"/>
      </w:r>
      <w:bookmarkEnd w:id="378"/>
      <w:r w:rsidRPr="00BE407E">
        <w:rPr>
          <w:rFonts w:ascii="Times New Roman" w:eastAsia="Times New Roman" w:hAnsi="Times New Roman" w:cs="Times New Roman"/>
          <w:sz w:val="24"/>
          <w:szCs w:val="24"/>
          <w:lang w:val="en-US"/>
        </w:rPr>
        <w:t xml:space="preserve"> First Protocol to the Hague Convention for the Protection of Cultural Property, §§ 1 and 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310).</w:t>
      </w:r>
    </w:p>
    <w:bookmarkStart w:id="379" w:name="Fn_31_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w:t>
      </w:r>
      <w:r w:rsidRPr="00BE407E">
        <w:rPr>
          <w:rFonts w:ascii="Times New Roman" w:eastAsia="Times New Roman" w:hAnsi="Times New Roman" w:cs="Times New Roman"/>
          <w:sz w:val="24"/>
          <w:szCs w:val="24"/>
        </w:rPr>
        <w:fldChar w:fldCharType="end"/>
      </w:r>
      <w:bookmarkEnd w:id="379"/>
      <w:r w:rsidRPr="00BE407E">
        <w:rPr>
          <w:rFonts w:ascii="Times New Roman" w:eastAsia="Times New Roman" w:hAnsi="Times New Roman" w:cs="Times New Roman"/>
          <w:sz w:val="24"/>
          <w:szCs w:val="24"/>
          <w:lang w:val="en-US"/>
        </w:rPr>
        <w:t xml:space="preserve"> Paris Agreement on Reparation from Germany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301–302); Convention on the Settlement of Matters Arising out of the War and the Occupation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304–309).</w:t>
      </w:r>
    </w:p>
    <w:bookmarkStart w:id="380" w:name="Fn_31_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[9]</w:t>
      </w:r>
      <w:r w:rsidRPr="00BE407E">
        <w:rPr>
          <w:rFonts w:ascii="Times New Roman" w:eastAsia="Times New Roman" w:hAnsi="Times New Roman" w:cs="Times New Roman"/>
          <w:sz w:val="24"/>
          <w:szCs w:val="24"/>
        </w:rPr>
        <w:fldChar w:fldCharType="end"/>
      </w:r>
      <w:bookmarkEnd w:id="380"/>
      <w:r w:rsidRPr="00BE407E">
        <w:rPr>
          <w:rFonts w:ascii="Times New Roman" w:eastAsia="Times New Roman" w:hAnsi="Times New Roman" w:cs="Times New Roman"/>
          <w:sz w:val="24"/>
          <w:szCs w:val="24"/>
          <w:lang w:val="en-US"/>
        </w:rPr>
        <w:t xml:space="preserve"> Poland, Statement before the Special Political Committee of the UN General Assembly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230).</w:t>
      </w:r>
    </w:p>
    <w:bookmarkStart w:id="381" w:name="Fn_31_1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[10]</w:t>
      </w:r>
      <w:r w:rsidRPr="00BE407E">
        <w:rPr>
          <w:rFonts w:ascii="Times New Roman" w:eastAsia="Times New Roman" w:hAnsi="Times New Roman" w:cs="Times New Roman"/>
          <w:sz w:val="24"/>
          <w:szCs w:val="24"/>
        </w:rPr>
        <w:fldChar w:fldCharType="end"/>
      </w:r>
      <w:bookmarkEnd w:id="381"/>
      <w:r w:rsidRPr="00BE407E">
        <w:rPr>
          <w:rFonts w:ascii="Times New Roman" w:eastAsia="Times New Roman" w:hAnsi="Times New Roman" w:cs="Times New Roman"/>
          <w:sz w:val="24"/>
          <w:szCs w:val="24"/>
          <w:lang w:val="en-US"/>
        </w:rPr>
        <w:t xml:space="preserve"> Hungary, </w:t>
      </w:r>
      <w:r w:rsidRPr="00BE407E">
        <w:rPr>
          <w:rFonts w:ascii="Times New Roman" w:eastAsia="Times New Roman" w:hAnsi="Times New Roman" w:cs="Times New Roman"/>
          <w:i/>
          <w:iCs/>
          <w:sz w:val="24"/>
          <w:szCs w:val="24"/>
          <w:lang w:val="en-US"/>
        </w:rPr>
        <w:t xml:space="preserve">Military Manual </w:t>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326).</w:t>
      </w:r>
    </w:p>
    <w:bookmarkStart w:id="382" w:name="Fn_31_1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[11]</w:t>
      </w:r>
      <w:r w:rsidRPr="00BE407E">
        <w:rPr>
          <w:rFonts w:ascii="Times New Roman" w:eastAsia="Times New Roman" w:hAnsi="Times New Roman" w:cs="Times New Roman"/>
          <w:sz w:val="24"/>
          <w:szCs w:val="24"/>
        </w:rPr>
        <w:fldChar w:fldCharType="end"/>
      </w:r>
      <w:bookmarkEnd w:id="382"/>
      <w:r w:rsidRPr="00BE407E">
        <w:rPr>
          <w:rFonts w:ascii="Times New Roman" w:eastAsia="Times New Roman" w:hAnsi="Times New Roman" w:cs="Times New Roman"/>
          <w:sz w:val="24"/>
          <w:szCs w:val="24"/>
          <w:lang w:val="en-US"/>
        </w:rPr>
        <w:t xml:space="preserve"> See the statement of Germany (cited in Vol. II, Ch. 12, § 460).</w:t>
      </w:r>
    </w:p>
    <w:bookmarkStart w:id="383" w:name="Fn_31_1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[12]</w:t>
      </w:r>
      <w:r w:rsidRPr="00BE407E">
        <w:rPr>
          <w:rFonts w:ascii="Times New Roman" w:eastAsia="Times New Roman" w:hAnsi="Times New Roman" w:cs="Times New Roman"/>
          <w:sz w:val="24"/>
          <w:szCs w:val="24"/>
        </w:rPr>
        <w:fldChar w:fldCharType="end"/>
      </w:r>
      <w:bookmarkEnd w:id="383"/>
      <w:r w:rsidRPr="00BE407E">
        <w:rPr>
          <w:rFonts w:ascii="Times New Roman" w:eastAsia="Times New Roman" w:hAnsi="Times New Roman" w:cs="Times New Roman"/>
          <w:sz w:val="24"/>
          <w:szCs w:val="24"/>
          <w:lang w:val="en-US"/>
        </w:rPr>
        <w:t xml:space="preserve"> See the statement of the United Arab Emirates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471).</w:t>
      </w:r>
    </w:p>
    <w:bookmarkStart w:id="384" w:name="Fn_31_1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[13]</w:t>
      </w:r>
      <w:r w:rsidRPr="00BE407E">
        <w:rPr>
          <w:rFonts w:ascii="Times New Roman" w:eastAsia="Times New Roman" w:hAnsi="Times New Roman" w:cs="Times New Roman"/>
          <w:sz w:val="24"/>
          <w:szCs w:val="24"/>
        </w:rPr>
        <w:fldChar w:fldCharType="end"/>
      </w:r>
      <w:bookmarkEnd w:id="384"/>
      <w:r w:rsidRPr="00BE407E">
        <w:rPr>
          <w:rFonts w:ascii="Times New Roman" w:eastAsia="Times New Roman" w:hAnsi="Times New Roman" w:cs="Times New Roman"/>
          <w:sz w:val="24"/>
          <w:szCs w:val="24"/>
          <w:lang w:val="en-US"/>
        </w:rPr>
        <w:t xml:space="preserve"> See the practice of Iraq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463–464 and 466) and Kuwait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467–468) and the reported practice of Kuwait (cited in Vol. II, Ch. 42, § 335).</w:t>
      </w:r>
    </w:p>
    <w:bookmarkStart w:id="385" w:name="Fn_31_1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[14]</w:t>
      </w:r>
      <w:r w:rsidRPr="00BE407E">
        <w:rPr>
          <w:rFonts w:ascii="Times New Roman" w:eastAsia="Times New Roman" w:hAnsi="Times New Roman" w:cs="Times New Roman"/>
          <w:sz w:val="24"/>
          <w:szCs w:val="24"/>
        </w:rPr>
        <w:fldChar w:fldCharType="end"/>
      </w:r>
      <w:bookmarkEnd w:id="385"/>
      <w:r w:rsidRPr="00BE407E">
        <w:rPr>
          <w:rFonts w:ascii="Times New Roman" w:eastAsia="Times New Roman" w:hAnsi="Times New Roman" w:cs="Times New Roman"/>
          <w:sz w:val="24"/>
          <w:szCs w:val="24"/>
          <w:lang w:val="en-US"/>
        </w:rPr>
        <w:t xml:space="preserve"> UN Security Council, Res. 686 (cited in Vol. II, Ch. 12, § 472) and Res. 1284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473); see also Res. 687 (cited in Vol. II, Ch. 42, § 345).</w:t>
      </w:r>
    </w:p>
    <w:bookmarkStart w:id="386" w:name="Fn_31_1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[15]</w:t>
      </w:r>
      <w:r w:rsidRPr="00BE407E">
        <w:rPr>
          <w:rFonts w:ascii="Times New Roman" w:eastAsia="Times New Roman" w:hAnsi="Times New Roman" w:cs="Times New Roman"/>
          <w:sz w:val="24"/>
          <w:szCs w:val="24"/>
        </w:rPr>
        <w:fldChar w:fldCharType="end"/>
      </w:r>
      <w:bookmarkEnd w:id="386"/>
      <w:r w:rsidRPr="00BE407E">
        <w:rPr>
          <w:rFonts w:ascii="Times New Roman" w:eastAsia="Times New Roman" w:hAnsi="Times New Roman" w:cs="Times New Roman"/>
          <w:sz w:val="24"/>
          <w:szCs w:val="24"/>
          <w:lang w:val="en-US"/>
        </w:rPr>
        <w:t xml:space="preserve"> See UN Secretary-General, Further report on the status of compliance by Iraq with the obligations placed upon it under certain of the Security Council resolutions relating to the situation between Iraq and Kuwait (cited in Vol. II, Ch. 12, § 476) and Second report pursuant to paragraph 14 of resolution 1284 (1999)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477).</w:t>
      </w:r>
    </w:p>
    <w:bookmarkStart w:id="387" w:name="Fn_31_1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[16]</w:t>
      </w:r>
      <w:r w:rsidRPr="00BE407E">
        <w:rPr>
          <w:rFonts w:ascii="Times New Roman" w:eastAsia="Times New Roman" w:hAnsi="Times New Roman" w:cs="Times New Roman"/>
          <w:sz w:val="24"/>
          <w:szCs w:val="24"/>
        </w:rPr>
        <w:fldChar w:fldCharType="end"/>
      </w:r>
      <w:bookmarkEnd w:id="387"/>
      <w:r w:rsidRPr="00BE407E">
        <w:rPr>
          <w:rFonts w:ascii="Times New Roman" w:eastAsia="Times New Roman" w:hAnsi="Times New Roman" w:cs="Times New Roman"/>
          <w:sz w:val="24"/>
          <w:szCs w:val="24"/>
          <w:lang w:val="en-US"/>
        </w:rPr>
        <w:t xml:space="preserve"> See the reported practice of Belgium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470) and the Russian Federation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470).</w:t>
      </w:r>
    </w:p>
    <w:bookmarkStart w:id="388" w:name="Fn_31_1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[17]</w:t>
      </w:r>
      <w:r w:rsidRPr="00BE407E">
        <w:rPr>
          <w:rFonts w:ascii="Times New Roman" w:eastAsia="Times New Roman" w:hAnsi="Times New Roman" w:cs="Times New Roman"/>
          <w:sz w:val="24"/>
          <w:szCs w:val="24"/>
        </w:rPr>
        <w:fldChar w:fldCharType="end"/>
      </w:r>
      <w:bookmarkEnd w:id="388"/>
      <w:r w:rsidRPr="00BE407E">
        <w:rPr>
          <w:rFonts w:ascii="Times New Roman" w:eastAsia="Times New Roman" w:hAnsi="Times New Roman" w:cs="Times New Roman"/>
          <w:sz w:val="24"/>
          <w:szCs w:val="24"/>
          <w:lang w:val="en-US"/>
        </w:rPr>
        <w:t xml:space="preserve"> 1907 Hague Convention (IV), Article 3 (cited in Vol. II, Ch. 42, § 110); Additional Protocol I, Article 91 (adopted by consensus)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125).</w:t>
      </w:r>
    </w:p>
    <w:bookmarkStart w:id="389" w:name="Fn_31_1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[18]</w:t>
      </w:r>
      <w:r w:rsidRPr="00BE407E">
        <w:rPr>
          <w:rFonts w:ascii="Times New Roman" w:eastAsia="Times New Roman" w:hAnsi="Times New Roman" w:cs="Times New Roman"/>
          <w:sz w:val="24"/>
          <w:szCs w:val="24"/>
        </w:rPr>
        <w:fldChar w:fldCharType="end"/>
      </w:r>
      <w:bookmarkEnd w:id="389"/>
      <w:r w:rsidRPr="00BE407E">
        <w:rPr>
          <w:rFonts w:ascii="Times New Roman" w:eastAsia="Times New Roman" w:hAnsi="Times New Roman" w:cs="Times New Roman"/>
          <w:sz w:val="24"/>
          <w:szCs w:val="24"/>
          <w:lang w:val="en-US"/>
        </w:rPr>
        <w:t xml:space="preserve"> See, e.g., Peace Treaty for Japan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113–114); Yoshida-Stikker Protocol between Japan and the Netherlands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115); Convention on the Settlement of Matters Arising out of the War and the Occupation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116–118); Luxembourg Agreement between Germany and Israel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119–120); Luxembourg Agreement between Germany and the CJMC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148–149); Austrian State Treaty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121); Agreement concerning Payments on behalf of Norwegian Nationals Victimized by National Socialist Persecution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123); Implementation Agreement to the German Unification Treaty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127); US-Germany Agreement concerning Final Benefits to Certain US Nationals Who Were Victims of National Socialist Measures of Persecution (also known as the “Princz Agreement”)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128–129); Agreement on Refugees and Displaced Persons annexed to the Dayton Accords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130–132); US-Chinese Agreement on the Settlement of Chinese Claims resulting from the Bombardment of the Chinese Embassy in Belgrade and US-Chinese Memorandum of Understanding on the Settlement of US Claims resulting from the Bombardment of the Chinese Embassy in Belgrade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133–134); Agreement on the Foundation “Remembrance, Responsibility and the Future” concluded between Germany and the United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135–137); Austrian-US Executive Agreement concerning the Austrian Reconciliation Fund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138); Bilateral agreements between Austria and six Central and Eastern European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139); Peace Agreement between Eritrea and Ethiopia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140); Washington Agreement between France and the United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141–142); Annex A to the Austrian-US Agreement concerning the Austrian General Settlement Fund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143–144).</w:t>
      </w:r>
    </w:p>
    <w:bookmarkStart w:id="390" w:name="Fn_31_1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"refFn_31_19"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[19]</w:t>
      </w:r>
      <w:r w:rsidRPr="00BE407E">
        <w:rPr>
          <w:rFonts w:ascii="Times New Roman" w:eastAsia="Times New Roman" w:hAnsi="Times New Roman" w:cs="Times New Roman"/>
          <w:sz w:val="24"/>
          <w:szCs w:val="24"/>
        </w:rPr>
        <w:fldChar w:fldCharType="end"/>
      </w:r>
      <w:bookmarkEnd w:id="390"/>
      <w:r w:rsidRPr="00BE407E">
        <w:rPr>
          <w:rFonts w:ascii="Times New Roman" w:eastAsia="Times New Roman" w:hAnsi="Times New Roman" w:cs="Times New Roman"/>
          <w:sz w:val="24"/>
          <w:szCs w:val="24"/>
          <w:lang w:val="en-US"/>
        </w:rPr>
        <w:t xml:space="preserve"> Draft Articles on State Responsibility, Article 36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158).</w:t>
      </w:r>
    </w:p>
    <w:bookmarkStart w:id="391" w:name="Fn_31_2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[20]</w:t>
      </w:r>
      <w:r w:rsidRPr="00BE407E">
        <w:rPr>
          <w:rFonts w:ascii="Times New Roman" w:eastAsia="Times New Roman" w:hAnsi="Times New Roman" w:cs="Times New Roman"/>
          <w:sz w:val="24"/>
          <w:szCs w:val="24"/>
        </w:rPr>
        <w:fldChar w:fldCharType="end"/>
      </w:r>
      <w:bookmarkEnd w:id="391"/>
      <w:r w:rsidRPr="00BE407E">
        <w:rPr>
          <w:rFonts w:ascii="Times New Roman" w:eastAsia="Times New Roman" w:hAnsi="Times New Roman" w:cs="Times New Roman"/>
          <w:sz w:val="24"/>
          <w:szCs w:val="24"/>
          <w:lang w:val="en-US"/>
        </w:rPr>
        <w:t xml:space="preserve"> International Law Commission, Commentary on Article 36 of the Draft Articles on State Responsibility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263). As to whether the damage is financially assessable in order to be compensated, the commentary states that “compensable personal injury </w:t>
      </w:r>
      <w:r w:rsidRPr="00BE407E">
        <w:rPr>
          <w:rFonts w:ascii="Times New Roman" w:eastAsia="Times New Roman" w:hAnsi="Times New Roman" w:cs="Times New Roman"/>
          <w:sz w:val="24"/>
          <w:szCs w:val="24"/>
          <w:lang w:val="en-US"/>
        </w:rPr>
        <w:lastRenderedPageBreak/>
        <w:t>encompasses not only associated material losses, such as loss of earnings and earning capacity, medical expenses and the like, but also non-material damage suffered by the individual (sometimes, though not universally, referred to as ‘moral damage’ in national legal systems). Non-material damage is generally understood to encompass loss of loved ones, pain and suffering as well as the affront to sensibilities associated with an intrusion on the person, home or private life.”</w:t>
      </w:r>
    </w:p>
    <w:bookmarkStart w:id="392" w:name="Fn_31_2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[21]</w:t>
      </w:r>
      <w:r w:rsidRPr="00BE407E">
        <w:rPr>
          <w:rFonts w:ascii="Times New Roman" w:eastAsia="Times New Roman" w:hAnsi="Times New Roman" w:cs="Times New Roman"/>
          <w:sz w:val="24"/>
          <w:szCs w:val="24"/>
        </w:rPr>
        <w:fldChar w:fldCharType="end"/>
      </w:r>
      <w:bookmarkEnd w:id="392"/>
      <w:r w:rsidRPr="00BE407E">
        <w:rPr>
          <w:rFonts w:ascii="Times New Roman" w:eastAsia="Times New Roman" w:hAnsi="Times New Roman" w:cs="Times New Roman"/>
          <w:sz w:val="24"/>
          <w:szCs w:val="24"/>
          <w:lang w:val="en-US"/>
        </w:rPr>
        <w:t xml:space="preserve"> See, e.g., the practice of Canada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211), China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214), Iraq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220), Kuwait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224), Lebanon, speaking on behalf of the Group of Arab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226), Mexico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227), Syrian Arab Republic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235), United Kingdom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237) and United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238).</w:t>
      </w:r>
    </w:p>
    <w:bookmarkStart w:id="393" w:name="Fn_31_2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[22]</w:t>
      </w:r>
      <w:r w:rsidRPr="00BE407E">
        <w:rPr>
          <w:rFonts w:ascii="Times New Roman" w:eastAsia="Times New Roman" w:hAnsi="Times New Roman" w:cs="Times New Roman"/>
          <w:sz w:val="24"/>
          <w:szCs w:val="24"/>
        </w:rPr>
        <w:fldChar w:fldCharType="end"/>
      </w:r>
      <w:bookmarkEnd w:id="393"/>
      <w:r w:rsidRPr="00BE407E">
        <w:rPr>
          <w:rFonts w:ascii="Times New Roman" w:eastAsia="Times New Roman" w:hAnsi="Times New Roman" w:cs="Times New Roman"/>
          <w:sz w:val="24"/>
          <w:szCs w:val="24"/>
          <w:lang w:val="en-US"/>
        </w:rPr>
        <w:t xml:space="preserve"> See, e.g., UN Security Council, Res. 387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242), Res. 455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243), Res. 471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244), Res. 527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245), Res. 571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246), Res. 687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247), Res. 692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248) and Res. 827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249); UN General Assembly, Res. 50/22 C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250), Res. 51/233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251) and Res. 56/83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252).</w:t>
      </w:r>
    </w:p>
    <w:bookmarkStart w:id="394" w:name="Fn_31_2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[23]</w:t>
      </w:r>
      <w:r w:rsidRPr="00BE407E">
        <w:rPr>
          <w:rFonts w:ascii="Times New Roman" w:eastAsia="Times New Roman" w:hAnsi="Times New Roman" w:cs="Times New Roman"/>
          <w:sz w:val="24"/>
          <w:szCs w:val="24"/>
        </w:rPr>
        <w:fldChar w:fldCharType="end"/>
      </w:r>
      <w:bookmarkEnd w:id="394"/>
      <w:r w:rsidRPr="00BE407E">
        <w:rPr>
          <w:rFonts w:ascii="Times New Roman" w:eastAsia="Times New Roman" w:hAnsi="Times New Roman" w:cs="Times New Roman"/>
          <w:sz w:val="24"/>
          <w:szCs w:val="24"/>
          <w:lang w:val="en-US"/>
        </w:rPr>
        <w:t xml:space="preserve"> International Law Commission, Draft Articles on State Responsibility, Article 37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325). The commentary on Article 36 of the Draft Articles on State Responsibility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352) explains that satisfaction “is concerned with non-material injury, specifically non-material injury to the State, on which a monetary value can be put only in a highly approximate and notional way”. The commentary on Article 37 explains that “satisfaction … is the remedy for those injuries, not financially assessable, which amount to an affront [to the State]”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353). </w:t>
      </w:r>
    </w:p>
    <w:bookmarkStart w:id="395" w:name="Fn_31_2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[24]</w:t>
      </w:r>
      <w:r w:rsidRPr="00BE407E">
        <w:rPr>
          <w:rFonts w:ascii="Times New Roman" w:eastAsia="Times New Roman" w:hAnsi="Times New Roman" w:cs="Times New Roman"/>
          <w:sz w:val="24"/>
          <w:szCs w:val="24"/>
        </w:rPr>
        <w:fldChar w:fldCharType="end"/>
      </w:r>
      <w:bookmarkEnd w:id="395"/>
      <w:r w:rsidRPr="00BE407E">
        <w:rPr>
          <w:rFonts w:ascii="Times New Roman" w:eastAsia="Times New Roman" w:hAnsi="Times New Roman" w:cs="Times New Roman"/>
          <w:sz w:val="24"/>
          <w:szCs w:val="24"/>
          <w:lang w:val="en-US"/>
        </w:rPr>
        <w:t xml:space="preserve"> International Law Commission, Commentary on Article 37 of the Draft Articles on State Responsibility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353).</w:t>
      </w:r>
    </w:p>
    <w:bookmarkStart w:id="396" w:name="Fn_31_2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[25]</w:t>
      </w:r>
      <w:r w:rsidRPr="00BE407E">
        <w:rPr>
          <w:rFonts w:ascii="Times New Roman" w:eastAsia="Times New Roman" w:hAnsi="Times New Roman" w:cs="Times New Roman"/>
          <w:sz w:val="24"/>
          <w:szCs w:val="24"/>
        </w:rPr>
        <w:fldChar w:fldCharType="end"/>
      </w:r>
      <w:bookmarkEnd w:id="396"/>
      <w:r w:rsidRPr="00BE407E">
        <w:rPr>
          <w:rFonts w:ascii="Times New Roman" w:eastAsia="Times New Roman" w:hAnsi="Times New Roman" w:cs="Times New Roman"/>
          <w:sz w:val="24"/>
          <w:szCs w:val="24"/>
          <w:lang w:val="en-US"/>
        </w:rPr>
        <w:t xml:space="preserve"> United States, </w:t>
      </w:r>
      <w:r w:rsidRPr="00BE407E">
        <w:rPr>
          <w:rFonts w:ascii="Times New Roman" w:eastAsia="Times New Roman" w:hAnsi="Times New Roman" w:cs="Times New Roman"/>
          <w:i/>
          <w:iCs/>
          <w:sz w:val="24"/>
          <w:szCs w:val="24"/>
          <w:lang w:val="en-US"/>
        </w:rPr>
        <w:t xml:space="preserve">Field Manual </w:t>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328).</w:t>
      </w:r>
    </w:p>
    <w:bookmarkStart w:id="397" w:name="Fn_31_2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[26]</w:t>
      </w:r>
      <w:r w:rsidRPr="00BE407E">
        <w:rPr>
          <w:rFonts w:ascii="Times New Roman" w:eastAsia="Times New Roman" w:hAnsi="Times New Roman" w:cs="Times New Roman"/>
          <w:sz w:val="24"/>
          <w:szCs w:val="24"/>
        </w:rPr>
        <w:fldChar w:fldCharType="end"/>
      </w:r>
      <w:bookmarkEnd w:id="397"/>
      <w:r w:rsidRPr="00BE407E">
        <w:rPr>
          <w:rFonts w:ascii="Times New Roman" w:eastAsia="Times New Roman" w:hAnsi="Times New Roman" w:cs="Times New Roman"/>
          <w:sz w:val="24"/>
          <w:szCs w:val="24"/>
          <w:lang w:val="en-US"/>
        </w:rPr>
        <w:t xml:space="preserve"> Draft Articles on State Responsibility, Article 30.</w:t>
      </w:r>
    </w:p>
    <w:bookmarkStart w:id="398" w:name="Fn_31_2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[27]</w:t>
      </w:r>
      <w:r w:rsidRPr="00BE407E">
        <w:rPr>
          <w:rFonts w:ascii="Times New Roman" w:eastAsia="Times New Roman" w:hAnsi="Times New Roman" w:cs="Times New Roman"/>
          <w:sz w:val="24"/>
          <w:szCs w:val="24"/>
        </w:rPr>
        <w:fldChar w:fldCharType="end"/>
      </w:r>
      <w:bookmarkEnd w:id="398"/>
      <w:r w:rsidRPr="00BE407E">
        <w:rPr>
          <w:rFonts w:ascii="Times New Roman" w:eastAsia="Times New Roman" w:hAnsi="Times New Roman" w:cs="Times New Roman"/>
          <w:sz w:val="24"/>
          <w:szCs w:val="24"/>
          <w:lang w:val="en-US"/>
        </w:rPr>
        <w:t xml:space="preserve"> Draft Articles on State Responsibility, Article 33(2).</w:t>
      </w:r>
    </w:p>
    <w:bookmarkStart w:id="399" w:name="Fn_31_2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[28]</w:t>
      </w:r>
      <w:r w:rsidRPr="00BE407E">
        <w:rPr>
          <w:rFonts w:ascii="Times New Roman" w:eastAsia="Times New Roman" w:hAnsi="Times New Roman" w:cs="Times New Roman"/>
          <w:sz w:val="24"/>
          <w:szCs w:val="24"/>
        </w:rPr>
        <w:fldChar w:fldCharType="end"/>
      </w:r>
      <w:bookmarkEnd w:id="399"/>
      <w:r w:rsidRPr="00BE407E">
        <w:rPr>
          <w:rFonts w:ascii="Times New Roman" w:eastAsia="Times New Roman" w:hAnsi="Times New Roman" w:cs="Times New Roman"/>
          <w:sz w:val="24"/>
          <w:szCs w:val="24"/>
          <w:lang w:val="en-US"/>
        </w:rPr>
        <w:t xml:space="preserve"> International Law Commission, Commentary on Article 33 of the Draft Articles on State Responsibility (cited in Vol. II. Ch. 42, § 350).</w:t>
      </w:r>
    </w:p>
    <w:bookmarkStart w:id="400" w:name="Fn_31_2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"refFn_31_29"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[29]</w:t>
      </w:r>
      <w:r w:rsidRPr="00BE407E">
        <w:rPr>
          <w:rFonts w:ascii="Times New Roman" w:eastAsia="Times New Roman" w:hAnsi="Times New Roman" w:cs="Times New Roman"/>
          <w:sz w:val="24"/>
          <w:szCs w:val="24"/>
        </w:rPr>
        <w:fldChar w:fldCharType="end"/>
      </w:r>
      <w:bookmarkEnd w:id="400"/>
      <w:r w:rsidRPr="00BE407E">
        <w:rPr>
          <w:rFonts w:ascii="Times New Roman" w:eastAsia="Times New Roman" w:hAnsi="Times New Roman" w:cs="Times New Roman"/>
          <w:sz w:val="24"/>
          <w:szCs w:val="24"/>
          <w:lang w:val="en-US"/>
        </w:rPr>
        <w:t xml:space="preserve"> See the practice of Croatia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90) and United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93).</w:t>
      </w:r>
    </w:p>
    <w:bookmarkStart w:id="401" w:name="Fn_31_3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[30]</w:t>
      </w:r>
      <w:r w:rsidRPr="00BE407E">
        <w:rPr>
          <w:rFonts w:ascii="Times New Roman" w:eastAsia="Times New Roman" w:hAnsi="Times New Roman" w:cs="Times New Roman"/>
          <w:sz w:val="24"/>
          <w:szCs w:val="24"/>
        </w:rPr>
        <w:fldChar w:fldCharType="end"/>
      </w:r>
      <w:bookmarkEnd w:id="401"/>
      <w:r w:rsidRPr="00BE407E">
        <w:rPr>
          <w:rFonts w:ascii="Times New Roman" w:eastAsia="Times New Roman" w:hAnsi="Times New Roman" w:cs="Times New Roman"/>
          <w:sz w:val="24"/>
          <w:szCs w:val="24"/>
          <w:lang w:val="en-US"/>
        </w:rPr>
        <w:t xml:space="preserve"> UN General Assembly, Res. 48/153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94) and Res. 49/196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95); see also UN Commission on Human Rights, Res. 1998/70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98).</w:t>
      </w:r>
    </w:p>
    <w:bookmarkStart w:id="402" w:name="Fn_31_3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[31]</w:t>
      </w:r>
      <w:r w:rsidRPr="00BE407E">
        <w:rPr>
          <w:rFonts w:ascii="Times New Roman" w:eastAsia="Times New Roman" w:hAnsi="Times New Roman" w:cs="Times New Roman"/>
          <w:sz w:val="24"/>
          <w:szCs w:val="24"/>
        </w:rPr>
        <w:fldChar w:fldCharType="end"/>
      </w:r>
      <w:bookmarkEnd w:id="402"/>
      <w:r w:rsidRPr="00BE407E">
        <w:rPr>
          <w:rFonts w:ascii="Times New Roman" w:eastAsia="Times New Roman" w:hAnsi="Times New Roman" w:cs="Times New Roman"/>
          <w:sz w:val="24"/>
          <w:szCs w:val="24"/>
          <w:lang w:val="en-US"/>
        </w:rPr>
        <w:t xml:space="preserve"> See Convention on the Settlement of Matters Arising out of the War and the Occupation, Chapter 3, Article 2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304); Protocol No. 1 of the Luxembourg Agreement between Germany and the Conference on Jewish Material Claims against Germany (</w:t>
      </w:r>
      <w:r w:rsidRPr="00BE407E">
        <w:rPr>
          <w:rFonts w:ascii="Times New Roman" w:eastAsia="Times New Roman" w:hAnsi="Times New Roman" w:cs="Times New Roman"/>
          <w:i/>
          <w:iCs/>
          <w:sz w:val="24"/>
          <w:szCs w:val="24"/>
          <w:lang w:val="en-US"/>
        </w:rPr>
        <w:t xml:space="preserve"> ibid.</w:t>
      </w:r>
      <w:r w:rsidRPr="00BE407E">
        <w:rPr>
          <w:rFonts w:ascii="Times New Roman" w:eastAsia="Times New Roman" w:hAnsi="Times New Roman" w:cs="Times New Roman"/>
          <w:sz w:val="24"/>
          <w:szCs w:val="24"/>
          <w:lang w:val="en-US"/>
        </w:rPr>
        <w:t>, § 315); see also the legislation of Germany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330).</w:t>
      </w:r>
    </w:p>
    <w:bookmarkStart w:id="403" w:name="Fn_31_3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[32]</w:t>
      </w:r>
      <w:r w:rsidRPr="00BE407E">
        <w:rPr>
          <w:rFonts w:ascii="Times New Roman" w:eastAsia="Times New Roman" w:hAnsi="Times New Roman" w:cs="Times New Roman"/>
          <w:sz w:val="24"/>
          <w:szCs w:val="24"/>
        </w:rPr>
        <w:fldChar w:fldCharType="end"/>
      </w:r>
      <w:bookmarkEnd w:id="403"/>
      <w:r w:rsidRPr="00BE407E">
        <w:rPr>
          <w:rFonts w:ascii="Times New Roman" w:eastAsia="Times New Roman" w:hAnsi="Times New Roman" w:cs="Times New Roman"/>
          <w:sz w:val="24"/>
          <w:szCs w:val="24"/>
          <w:lang w:val="en-US"/>
        </w:rPr>
        <w:t xml:space="preserve"> See Agreement on Refugees and Displaced Persons annexed to the Dayton Accords, Articles VII and XI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317).</w:t>
      </w:r>
    </w:p>
    <w:bookmarkStart w:id="404" w:name="Fn_31_3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[33]</w:t>
      </w:r>
      <w:r w:rsidRPr="00BE407E">
        <w:rPr>
          <w:rFonts w:ascii="Times New Roman" w:eastAsia="Times New Roman" w:hAnsi="Times New Roman" w:cs="Times New Roman"/>
          <w:sz w:val="24"/>
          <w:szCs w:val="24"/>
        </w:rPr>
        <w:fldChar w:fldCharType="end"/>
      </w:r>
      <w:bookmarkEnd w:id="404"/>
      <w:r w:rsidRPr="00BE407E">
        <w:rPr>
          <w:rFonts w:ascii="Times New Roman" w:eastAsia="Times New Roman" w:hAnsi="Times New Roman" w:cs="Times New Roman"/>
          <w:sz w:val="24"/>
          <w:szCs w:val="24"/>
          <w:lang w:val="en-US"/>
        </w:rPr>
        <w:t xml:space="preserve"> See Agreement on Refugees and Displaced Persons annexed to the Dayton Accords, Articles I and XII(2)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130–132).</w:t>
      </w:r>
    </w:p>
    <w:bookmarkStart w:id="405" w:name="Fn_31_3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[34]</w:t>
      </w:r>
      <w:r w:rsidRPr="00BE407E">
        <w:rPr>
          <w:rFonts w:ascii="Times New Roman" w:eastAsia="Times New Roman" w:hAnsi="Times New Roman" w:cs="Times New Roman"/>
          <w:sz w:val="24"/>
          <w:szCs w:val="24"/>
        </w:rPr>
        <w:fldChar w:fldCharType="end"/>
      </w:r>
      <w:bookmarkEnd w:id="405"/>
      <w:r w:rsidRPr="00BE407E">
        <w:rPr>
          <w:rFonts w:ascii="Times New Roman" w:eastAsia="Times New Roman" w:hAnsi="Times New Roman" w:cs="Times New Roman"/>
          <w:sz w:val="24"/>
          <w:szCs w:val="24"/>
          <w:lang w:val="en-US"/>
        </w:rPr>
        <w:t xml:space="preserve"> See the practice of Canada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333).</w:t>
      </w:r>
    </w:p>
    <w:bookmarkStart w:id="406" w:name="Fn_31_3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[35]</w:t>
      </w:r>
      <w:r w:rsidRPr="00BE407E">
        <w:rPr>
          <w:rFonts w:ascii="Times New Roman" w:eastAsia="Times New Roman" w:hAnsi="Times New Roman" w:cs="Times New Roman"/>
          <w:sz w:val="24"/>
          <w:szCs w:val="24"/>
        </w:rPr>
        <w:fldChar w:fldCharType="end"/>
      </w:r>
      <w:bookmarkEnd w:id="406"/>
      <w:r w:rsidRPr="00BE407E">
        <w:rPr>
          <w:rFonts w:ascii="Times New Roman" w:eastAsia="Times New Roman" w:hAnsi="Times New Roman" w:cs="Times New Roman"/>
          <w:sz w:val="24"/>
          <w:szCs w:val="24"/>
          <w:lang w:val="en-US"/>
        </w:rPr>
        <w:t xml:space="preserve"> See, e.g., UNCC, Governing Council, Decision 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248 and 272) and Decision 11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248 and 274).</w:t>
      </w:r>
    </w:p>
    <w:bookmarkStart w:id="407" w:name="Fn_31_3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[36]</w:t>
      </w:r>
      <w:r w:rsidRPr="00BE407E">
        <w:rPr>
          <w:rFonts w:ascii="Times New Roman" w:eastAsia="Times New Roman" w:hAnsi="Times New Roman" w:cs="Times New Roman"/>
          <w:sz w:val="24"/>
          <w:szCs w:val="24"/>
        </w:rPr>
        <w:fldChar w:fldCharType="end"/>
      </w:r>
      <w:bookmarkEnd w:id="407"/>
      <w:r w:rsidRPr="00BE407E">
        <w:rPr>
          <w:rFonts w:ascii="Times New Roman" w:eastAsia="Times New Roman" w:hAnsi="Times New Roman" w:cs="Times New Roman"/>
          <w:sz w:val="24"/>
          <w:szCs w:val="24"/>
          <w:lang w:val="en-US"/>
        </w:rPr>
        <w:t xml:space="preserve"> UNCC, Report and Recommendations made by the Panel of Commissioners concerning Part One of the Second Instalment of Claims for Serious Personal Injury or Death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276).</w:t>
      </w:r>
    </w:p>
    <w:bookmarkStart w:id="408" w:name="Fn_31_3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[37]</w:t>
      </w:r>
      <w:r w:rsidRPr="00BE407E">
        <w:rPr>
          <w:rFonts w:ascii="Times New Roman" w:eastAsia="Times New Roman" w:hAnsi="Times New Roman" w:cs="Times New Roman"/>
          <w:sz w:val="24"/>
          <w:szCs w:val="24"/>
        </w:rPr>
        <w:fldChar w:fldCharType="end"/>
      </w:r>
      <w:bookmarkEnd w:id="408"/>
      <w:r w:rsidRPr="00BE407E">
        <w:rPr>
          <w:rFonts w:ascii="Times New Roman" w:eastAsia="Times New Roman" w:hAnsi="Times New Roman" w:cs="Times New Roman"/>
          <w:sz w:val="24"/>
          <w:szCs w:val="24"/>
          <w:lang w:val="en-US"/>
        </w:rPr>
        <w:t xml:space="preserve"> To date, the Commission, ruling on claims brought by Eritrea and Ethiopia on behalf of their nationals respectively, has awarded compensation related to the treatment of former prisoners of war by the two States, see Eritrea-Ethiopia Claims Commission, Prisoners of War, Eritrea’s and Ethiopia’s Claims, Partial Awards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281).</w:t>
      </w:r>
    </w:p>
    <w:bookmarkStart w:id="409" w:name="Fn_31_3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[38]</w:t>
      </w:r>
      <w:r w:rsidRPr="00BE407E">
        <w:rPr>
          <w:rFonts w:ascii="Times New Roman" w:eastAsia="Times New Roman" w:hAnsi="Times New Roman" w:cs="Times New Roman"/>
          <w:sz w:val="24"/>
          <w:szCs w:val="24"/>
        </w:rPr>
        <w:fldChar w:fldCharType="end"/>
      </w:r>
      <w:bookmarkEnd w:id="409"/>
      <w:r w:rsidRPr="00BE407E">
        <w:rPr>
          <w:rFonts w:ascii="Times New Roman" w:eastAsia="Times New Roman" w:hAnsi="Times New Roman" w:cs="Times New Roman"/>
          <w:sz w:val="24"/>
          <w:szCs w:val="24"/>
          <w:lang w:val="en-US"/>
        </w:rPr>
        <w:t xml:space="preserve"> See the legislation of Austria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179) and Germany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183).</w:t>
      </w:r>
    </w:p>
    <w:bookmarkStart w:id="410" w:name="Fn_31_3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lastRenderedPageBreak/>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"refFn_31_39"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[39]</w:t>
      </w:r>
      <w:r w:rsidRPr="00BE407E">
        <w:rPr>
          <w:rFonts w:ascii="Times New Roman" w:eastAsia="Times New Roman" w:hAnsi="Times New Roman" w:cs="Times New Roman"/>
          <w:sz w:val="24"/>
          <w:szCs w:val="24"/>
        </w:rPr>
        <w:fldChar w:fldCharType="end"/>
      </w:r>
      <w:bookmarkEnd w:id="410"/>
      <w:r w:rsidRPr="00BE407E">
        <w:rPr>
          <w:rFonts w:ascii="Times New Roman" w:eastAsia="Times New Roman" w:hAnsi="Times New Roman" w:cs="Times New Roman"/>
          <w:sz w:val="24"/>
          <w:szCs w:val="24"/>
          <w:lang w:val="en-US"/>
        </w:rPr>
        <w:t xml:space="preserve"> ICC Statute, Article 79, which states that “(1) A Trust Fund shall be established by decision of the Assembly of States Parties for the benefit of victims of crimes within the jurisdiction of the Court, and of the families of such victims. (2) The Court may order money and other property collected through fines or forfeiture to be transferred, by order of the Court, to the Trust Fund. (3) The Trust Fund shall be managed according to criteria to be determined by the Assembly of States Parties.”</w:t>
      </w:r>
    </w:p>
    <w:bookmarkStart w:id="411" w:name="Fn_31_4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[40]</w:t>
      </w:r>
      <w:r w:rsidRPr="00BE407E">
        <w:rPr>
          <w:rFonts w:ascii="Times New Roman" w:eastAsia="Times New Roman" w:hAnsi="Times New Roman" w:cs="Times New Roman"/>
          <w:sz w:val="24"/>
          <w:szCs w:val="24"/>
        </w:rPr>
        <w:fldChar w:fldCharType="end"/>
      </w:r>
      <w:bookmarkEnd w:id="411"/>
      <w:r w:rsidRPr="00BE407E">
        <w:rPr>
          <w:rFonts w:ascii="Times New Roman" w:eastAsia="Times New Roman" w:hAnsi="Times New Roman" w:cs="Times New Roman"/>
          <w:sz w:val="24"/>
          <w:szCs w:val="24"/>
          <w:lang w:val="en-US"/>
        </w:rPr>
        <w:t xml:space="preserve"> See the practice of Germany (cited in Vol. II. Ch. 42, § 219) and Norway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229); “On behalf of victims of pseudo-medical experiments: Red Cross action”, </w:t>
      </w:r>
      <w:r w:rsidRPr="00BE407E">
        <w:rPr>
          <w:rFonts w:ascii="Times New Roman" w:eastAsia="Times New Roman" w:hAnsi="Times New Roman" w:cs="Times New Roman"/>
          <w:i/>
          <w:iCs/>
          <w:sz w:val="24"/>
          <w:szCs w:val="24"/>
          <w:lang w:val="en-US"/>
        </w:rPr>
        <w:t>International Review of the Red Cross</w:t>
      </w:r>
      <w:r w:rsidRPr="00BE407E">
        <w:rPr>
          <w:rFonts w:ascii="Times New Roman" w:eastAsia="Times New Roman" w:hAnsi="Times New Roman" w:cs="Times New Roman"/>
          <w:sz w:val="24"/>
          <w:szCs w:val="24"/>
          <w:lang w:val="en-US"/>
        </w:rPr>
        <w:t>, No. 142, 1973, pp. 3–21.</w:t>
      </w:r>
    </w:p>
    <w:bookmarkStart w:id="412" w:name="Fn_31_4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[41]</w:t>
      </w:r>
      <w:r w:rsidRPr="00BE407E">
        <w:rPr>
          <w:rFonts w:ascii="Times New Roman" w:eastAsia="Times New Roman" w:hAnsi="Times New Roman" w:cs="Times New Roman"/>
          <w:sz w:val="24"/>
          <w:szCs w:val="24"/>
        </w:rPr>
        <w:fldChar w:fldCharType="end"/>
      </w:r>
      <w:bookmarkEnd w:id="412"/>
      <w:r w:rsidRPr="00BE407E">
        <w:rPr>
          <w:rFonts w:ascii="Times New Roman" w:eastAsia="Times New Roman" w:hAnsi="Times New Roman" w:cs="Times New Roman"/>
          <w:sz w:val="24"/>
          <w:szCs w:val="24"/>
          <w:lang w:val="en-US"/>
        </w:rPr>
        <w:t xml:space="preserve"> See the practice of Japan (cited in Vol. II, Ch. 42, §§ 336–339) and Norway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229).</w:t>
      </w:r>
    </w:p>
    <w:bookmarkStart w:id="413" w:name="Fn_31_4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[42]</w:t>
      </w:r>
      <w:r w:rsidRPr="00BE407E">
        <w:rPr>
          <w:rFonts w:ascii="Times New Roman" w:eastAsia="Times New Roman" w:hAnsi="Times New Roman" w:cs="Times New Roman"/>
          <w:sz w:val="24"/>
          <w:szCs w:val="24"/>
        </w:rPr>
        <w:fldChar w:fldCharType="end"/>
      </w:r>
      <w:bookmarkEnd w:id="413"/>
      <w:r w:rsidRPr="00BE407E">
        <w:rPr>
          <w:rFonts w:ascii="Times New Roman" w:eastAsia="Times New Roman" w:hAnsi="Times New Roman" w:cs="Times New Roman"/>
          <w:sz w:val="24"/>
          <w:szCs w:val="24"/>
          <w:lang w:val="en-US"/>
        </w:rPr>
        <w:t xml:space="preserve"> See the legislation of Austria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329), Germany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330) and United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331).</w:t>
      </w:r>
    </w:p>
    <w:bookmarkStart w:id="414" w:name="Fn_31_4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[43]</w:t>
      </w:r>
      <w:r w:rsidRPr="00BE407E">
        <w:rPr>
          <w:rFonts w:ascii="Times New Roman" w:eastAsia="Times New Roman" w:hAnsi="Times New Roman" w:cs="Times New Roman"/>
          <w:sz w:val="24"/>
          <w:szCs w:val="24"/>
        </w:rPr>
        <w:fldChar w:fldCharType="end"/>
      </w:r>
      <w:bookmarkEnd w:id="414"/>
      <w:r w:rsidRPr="00BE407E">
        <w:rPr>
          <w:rFonts w:ascii="Times New Roman" w:eastAsia="Times New Roman" w:hAnsi="Times New Roman" w:cs="Times New Roman"/>
          <w:sz w:val="24"/>
          <w:szCs w:val="24"/>
          <w:lang w:val="en-US"/>
        </w:rPr>
        <w:t xml:space="preserve"> See the practice of France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334).</w:t>
      </w:r>
    </w:p>
    <w:bookmarkStart w:id="415" w:name="Fn_31_4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[44]</w:t>
      </w:r>
      <w:r w:rsidRPr="00BE407E">
        <w:rPr>
          <w:rFonts w:ascii="Times New Roman" w:eastAsia="Times New Roman" w:hAnsi="Times New Roman" w:cs="Times New Roman"/>
          <w:sz w:val="24"/>
          <w:szCs w:val="24"/>
        </w:rPr>
        <w:fldChar w:fldCharType="end"/>
      </w:r>
      <w:bookmarkEnd w:id="415"/>
      <w:r w:rsidRPr="00BE407E">
        <w:rPr>
          <w:rFonts w:ascii="Times New Roman" w:eastAsia="Times New Roman" w:hAnsi="Times New Roman" w:cs="Times New Roman"/>
          <w:sz w:val="24"/>
          <w:szCs w:val="24"/>
          <w:lang w:val="en-US"/>
        </w:rPr>
        <w:t xml:space="preserve"> Hague Convention (IV), Article 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110); Additional Protocol I, Article 91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125). </w:t>
      </w:r>
    </w:p>
    <w:bookmarkStart w:id="416" w:name="Fn_31_4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[45]</w:t>
      </w:r>
      <w:r w:rsidRPr="00BE407E">
        <w:rPr>
          <w:rFonts w:ascii="Times New Roman" w:eastAsia="Times New Roman" w:hAnsi="Times New Roman" w:cs="Times New Roman"/>
          <w:sz w:val="24"/>
          <w:szCs w:val="24"/>
        </w:rPr>
        <w:fldChar w:fldCharType="end"/>
      </w:r>
      <w:bookmarkEnd w:id="416"/>
      <w:r w:rsidRPr="00BE407E">
        <w:rPr>
          <w:rFonts w:ascii="Times New Roman" w:eastAsia="Times New Roman" w:hAnsi="Times New Roman" w:cs="Times New Roman"/>
          <w:sz w:val="24"/>
          <w:szCs w:val="24"/>
          <w:lang w:val="en-US"/>
        </w:rPr>
        <w:t xml:space="preserve"> See, e.g., Germany, Administrative Court of Appeal of Münster, </w:t>
      </w:r>
      <w:r w:rsidRPr="00BE407E">
        <w:rPr>
          <w:rFonts w:ascii="Times New Roman" w:eastAsia="Times New Roman" w:hAnsi="Times New Roman" w:cs="Times New Roman"/>
          <w:i/>
          <w:iCs/>
          <w:sz w:val="24"/>
          <w:szCs w:val="24"/>
          <w:lang w:val="en-US"/>
        </w:rPr>
        <w:t>Personal Injuries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190); Germany, Federal Supreme Court, </w:t>
      </w:r>
      <w:r w:rsidRPr="00BE407E">
        <w:rPr>
          <w:rFonts w:ascii="Times New Roman" w:eastAsia="Times New Roman" w:hAnsi="Times New Roman" w:cs="Times New Roman"/>
          <w:i/>
          <w:iCs/>
          <w:sz w:val="24"/>
          <w:szCs w:val="24"/>
          <w:lang w:val="en-US"/>
        </w:rPr>
        <w:t>Reparation Payments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191); Germany, Second Chamber of the Constitutional Court, </w:t>
      </w:r>
      <w:r w:rsidRPr="00BE407E">
        <w:rPr>
          <w:rFonts w:ascii="Times New Roman" w:eastAsia="Times New Roman" w:hAnsi="Times New Roman" w:cs="Times New Roman"/>
          <w:i/>
          <w:iCs/>
          <w:sz w:val="24"/>
          <w:szCs w:val="24"/>
          <w:lang w:val="en-US"/>
        </w:rPr>
        <w:t>Forced Labour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192); Germany, Federal Supreme Court,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193); Greece, Court of First Instance of Leivadia, </w:t>
      </w:r>
      <w:r w:rsidRPr="00BE407E">
        <w:rPr>
          <w:rFonts w:ascii="Times New Roman" w:eastAsia="Times New Roman" w:hAnsi="Times New Roman" w:cs="Times New Roman"/>
          <w:i/>
          <w:iCs/>
          <w:sz w:val="24"/>
          <w:szCs w:val="24"/>
          <w:lang w:val="en-US"/>
        </w:rPr>
        <w:t>Prefecture of Voiotia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194); Japan, Tokyo District Court, </w:t>
      </w:r>
      <w:r w:rsidRPr="00BE407E">
        <w:rPr>
          <w:rFonts w:ascii="Times New Roman" w:eastAsia="Times New Roman" w:hAnsi="Times New Roman" w:cs="Times New Roman"/>
          <w:i/>
          <w:iCs/>
          <w:sz w:val="24"/>
          <w:szCs w:val="24"/>
          <w:lang w:val="en-US"/>
        </w:rPr>
        <w:t>Shimoda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195); Japan, Tokyo High Court and Supreme Court, </w:t>
      </w:r>
      <w:r w:rsidRPr="00BE407E">
        <w:rPr>
          <w:rFonts w:ascii="Times New Roman" w:eastAsia="Times New Roman" w:hAnsi="Times New Roman" w:cs="Times New Roman"/>
          <w:i/>
          <w:iCs/>
          <w:sz w:val="24"/>
          <w:szCs w:val="24"/>
          <w:lang w:val="en-US"/>
        </w:rPr>
        <w:t>Siberian Detainees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196); Japan, Tokyo District Court and Tokyo High Court, </w:t>
      </w:r>
      <w:r w:rsidRPr="00BE407E">
        <w:rPr>
          <w:rFonts w:ascii="Times New Roman" w:eastAsia="Times New Roman" w:hAnsi="Times New Roman" w:cs="Times New Roman"/>
          <w:i/>
          <w:iCs/>
          <w:sz w:val="24"/>
          <w:szCs w:val="24"/>
          <w:lang w:val="en-US"/>
        </w:rPr>
        <w:t>Apology for the Kamishisuka Slaughter of Koreans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197); Japan, Tokyo District Court, </w:t>
      </w:r>
      <w:r w:rsidRPr="00BE407E">
        <w:rPr>
          <w:rFonts w:ascii="Times New Roman" w:eastAsia="Times New Roman" w:hAnsi="Times New Roman" w:cs="Times New Roman"/>
          <w:i/>
          <w:iCs/>
          <w:sz w:val="24"/>
          <w:szCs w:val="24"/>
          <w:lang w:val="en-US"/>
        </w:rPr>
        <w:t>Ex-Allied Nationals Claims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Dutch Nationals Claims case</w:t>
      </w:r>
      <w:r w:rsidRPr="00BE407E">
        <w:rPr>
          <w:rFonts w:ascii="Times New Roman" w:eastAsia="Times New Roman" w:hAnsi="Times New Roman" w:cs="Times New Roman"/>
          <w:sz w:val="24"/>
          <w:szCs w:val="24"/>
          <w:lang w:val="en-US"/>
        </w:rPr>
        <w:t xml:space="preserve"> and </w:t>
      </w:r>
      <w:r w:rsidRPr="00BE407E">
        <w:rPr>
          <w:rFonts w:ascii="Times New Roman" w:eastAsia="Times New Roman" w:hAnsi="Times New Roman" w:cs="Times New Roman"/>
          <w:i/>
          <w:iCs/>
          <w:sz w:val="24"/>
          <w:szCs w:val="24"/>
          <w:lang w:val="en-US"/>
        </w:rPr>
        <w:t xml:space="preserve">Filippino “Comfort Women” Claims case </w:t>
      </w:r>
      <w:r w:rsidRPr="00BE407E">
        <w:rPr>
          <w:rFonts w:ascii="Times New Roman" w:eastAsia="Times New Roman" w:hAnsi="Times New Roman" w:cs="Times New Roman"/>
          <w:sz w:val="24"/>
          <w:szCs w:val="24"/>
          <w:lang w:val="en-US"/>
        </w:rPr>
        <w:t>(</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198); Japan, Fukuoka District Court, </w:t>
      </w:r>
      <w:r w:rsidRPr="00BE407E">
        <w:rPr>
          <w:rFonts w:ascii="Times New Roman" w:eastAsia="Times New Roman" w:hAnsi="Times New Roman" w:cs="Times New Roman"/>
          <w:i/>
          <w:iCs/>
          <w:sz w:val="24"/>
          <w:szCs w:val="24"/>
          <w:lang w:val="en-US"/>
        </w:rPr>
        <w:t>Zhang Baoheng and Others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199); Japan, Yamaguchi Lower Court and Hiroshima High Court, </w:t>
      </w:r>
      <w:r w:rsidRPr="00BE407E">
        <w:rPr>
          <w:rFonts w:ascii="Times New Roman" w:eastAsia="Times New Roman" w:hAnsi="Times New Roman" w:cs="Times New Roman"/>
          <w:i/>
          <w:iCs/>
          <w:sz w:val="24"/>
          <w:szCs w:val="24"/>
          <w:lang w:val="en-US"/>
        </w:rPr>
        <w:t>Ko Otsu Hei Incidents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200); United States, Court of Appeals (Fourth Circuit), </w:t>
      </w:r>
      <w:r w:rsidRPr="00BE407E">
        <w:rPr>
          <w:rFonts w:ascii="Times New Roman" w:eastAsia="Times New Roman" w:hAnsi="Times New Roman" w:cs="Times New Roman"/>
          <w:i/>
          <w:iCs/>
          <w:sz w:val="24"/>
          <w:szCs w:val="24"/>
          <w:lang w:val="en-US"/>
        </w:rPr>
        <w:t>Goldstar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203); United States, District Court for the District of Columbia and Court of Appeals for the District of Columbia, </w:t>
      </w:r>
      <w:r w:rsidRPr="00BE407E">
        <w:rPr>
          <w:rFonts w:ascii="Times New Roman" w:eastAsia="Times New Roman" w:hAnsi="Times New Roman" w:cs="Times New Roman"/>
          <w:i/>
          <w:iCs/>
          <w:sz w:val="24"/>
          <w:szCs w:val="24"/>
          <w:lang w:val="en-US"/>
        </w:rPr>
        <w:t>Princz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204); United States, District Court for the District of Columbia, </w:t>
      </w:r>
      <w:r w:rsidRPr="00BE407E">
        <w:rPr>
          <w:rFonts w:ascii="Times New Roman" w:eastAsia="Times New Roman" w:hAnsi="Times New Roman" w:cs="Times New Roman"/>
          <w:i/>
          <w:iCs/>
          <w:sz w:val="24"/>
          <w:szCs w:val="24"/>
          <w:lang w:val="en-US"/>
        </w:rPr>
        <w:t>Comfort Women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209).</w:t>
      </w:r>
    </w:p>
    <w:bookmarkStart w:id="417" w:name="Fn_31_4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[46]</w:t>
      </w:r>
      <w:r w:rsidRPr="00BE407E">
        <w:rPr>
          <w:rFonts w:ascii="Times New Roman" w:eastAsia="Times New Roman" w:hAnsi="Times New Roman" w:cs="Times New Roman"/>
          <w:sz w:val="24"/>
          <w:szCs w:val="24"/>
        </w:rPr>
        <w:fldChar w:fldCharType="end"/>
      </w:r>
      <w:bookmarkEnd w:id="417"/>
      <w:r w:rsidRPr="00BE407E">
        <w:rPr>
          <w:rFonts w:ascii="Times New Roman" w:eastAsia="Times New Roman" w:hAnsi="Times New Roman" w:cs="Times New Roman"/>
          <w:sz w:val="24"/>
          <w:szCs w:val="24"/>
          <w:lang w:val="en-US"/>
        </w:rPr>
        <w:t xml:space="preserve"> Japan, Tokyo District Court, </w:t>
      </w:r>
      <w:r w:rsidRPr="00BE407E">
        <w:rPr>
          <w:rFonts w:ascii="Times New Roman" w:eastAsia="Times New Roman" w:hAnsi="Times New Roman" w:cs="Times New Roman"/>
          <w:i/>
          <w:iCs/>
          <w:sz w:val="24"/>
          <w:szCs w:val="24"/>
          <w:lang w:val="en-US"/>
        </w:rPr>
        <w:t>Shimoda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195).</w:t>
      </w:r>
    </w:p>
    <w:bookmarkStart w:id="418" w:name="Fn_31_4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[47]</w:t>
      </w:r>
      <w:r w:rsidRPr="00BE407E">
        <w:rPr>
          <w:rFonts w:ascii="Times New Roman" w:eastAsia="Times New Roman" w:hAnsi="Times New Roman" w:cs="Times New Roman"/>
          <w:sz w:val="24"/>
          <w:szCs w:val="24"/>
        </w:rPr>
        <w:fldChar w:fldCharType="end"/>
      </w:r>
      <w:bookmarkEnd w:id="418"/>
      <w:r w:rsidRPr="00BE407E">
        <w:rPr>
          <w:rFonts w:ascii="Times New Roman" w:eastAsia="Times New Roman" w:hAnsi="Times New Roman" w:cs="Times New Roman"/>
          <w:sz w:val="24"/>
          <w:szCs w:val="24"/>
          <w:lang w:val="en-US"/>
        </w:rPr>
        <w:t xml:space="preserve"> See Germany, Federal Supreme Court, </w:t>
      </w:r>
      <w:r w:rsidRPr="00BE407E">
        <w:rPr>
          <w:rFonts w:ascii="Times New Roman" w:eastAsia="Times New Roman" w:hAnsi="Times New Roman" w:cs="Times New Roman"/>
          <w:i/>
          <w:iCs/>
          <w:sz w:val="24"/>
          <w:szCs w:val="24"/>
          <w:lang w:val="en-US"/>
        </w:rPr>
        <w:t>Reparation Payments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191).</w:t>
      </w:r>
    </w:p>
    <w:bookmarkStart w:id="419" w:name="Fn_31_4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[48]</w:t>
      </w:r>
      <w:r w:rsidRPr="00BE407E">
        <w:rPr>
          <w:rFonts w:ascii="Times New Roman" w:eastAsia="Times New Roman" w:hAnsi="Times New Roman" w:cs="Times New Roman"/>
          <w:sz w:val="24"/>
          <w:szCs w:val="24"/>
        </w:rPr>
        <w:fldChar w:fldCharType="end"/>
      </w:r>
      <w:bookmarkEnd w:id="419"/>
      <w:r w:rsidRPr="00BE407E">
        <w:rPr>
          <w:rFonts w:ascii="Times New Roman" w:eastAsia="Times New Roman" w:hAnsi="Times New Roman" w:cs="Times New Roman"/>
          <w:sz w:val="24"/>
          <w:szCs w:val="24"/>
          <w:lang w:val="en-US"/>
        </w:rPr>
        <w:t xml:space="preserve"> Treaty on the Final Settlement with Respect to Germany (“Two-Plus-Four-Treaty”) between the Federal Republic of Germany, the German Democratic Republic, France, the USSR, the United Kingdom and the United States, 12 September 1990.</w:t>
      </w:r>
    </w:p>
    <w:bookmarkStart w:id="420" w:name="Fn_31_4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"refFn_31_49"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[49]</w:t>
      </w:r>
      <w:r w:rsidRPr="00BE407E">
        <w:rPr>
          <w:rFonts w:ascii="Times New Roman" w:eastAsia="Times New Roman" w:hAnsi="Times New Roman" w:cs="Times New Roman"/>
          <w:sz w:val="24"/>
          <w:szCs w:val="24"/>
        </w:rPr>
        <w:fldChar w:fldCharType="end"/>
      </w:r>
      <w:bookmarkEnd w:id="420"/>
      <w:r w:rsidRPr="00BE407E">
        <w:rPr>
          <w:rFonts w:ascii="Times New Roman" w:eastAsia="Times New Roman" w:hAnsi="Times New Roman" w:cs="Times New Roman"/>
          <w:sz w:val="24"/>
          <w:szCs w:val="24"/>
          <w:lang w:val="en-US"/>
        </w:rPr>
        <w:t xml:space="preserve"> See, e.g., Germany, Constitutional Court, </w:t>
      </w:r>
      <w:r w:rsidRPr="00BE407E">
        <w:rPr>
          <w:rFonts w:ascii="Times New Roman" w:eastAsia="Times New Roman" w:hAnsi="Times New Roman" w:cs="Times New Roman"/>
          <w:i/>
          <w:iCs/>
          <w:sz w:val="24"/>
          <w:szCs w:val="24"/>
          <w:lang w:val="en-US"/>
        </w:rPr>
        <w:t>Forced Labour case</w:t>
      </w:r>
      <w:r w:rsidRPr="00BE407E">
        <w:rPr>
          <w:rFonts w:ascii="Times New Roman" w:eastAsia="Times New Roman" w:hAnsi="Times New Roman" w:cs="Times New Roman"/>
          <w:sz w:val="24"/>
          <w:szCs w:val="24"/>
          <w:lang w:val="en-US"/>
        </w:rPr>
        <w:t xml:space="preserve"> (cited in Vol. II. Ch. 42, § 192); Germany, Federal Supreme Court,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193).</w:t>
      </w:r>
    </w:p>
    <w:bookmarkStart w:id="421" w:name="Fn_31_5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[50]</w:t>
      </w:r>
      <w:r w:rsidRPr="00BE407E">
        <w:rPr>
          <w:rFonts w:ascii="Times New Roman" w:eastAsia="Times New Roman" w:hAnsi="Times New Roman" w:cs="Times New Roman"/>
          <w:sz w:val="24"/>
          <w:szCs w:val="24"/>
        </w:rPr>
        <w:fldChar w:fldCharType="end"/>
      </w:r>
      <w:bookmarkEnd w:id="421"/>
      <w:r w:rsidRPr="00BE407E">
        <w:rPr>
          <w:rFonts w:ascii="Times New Roman" w:eastAsia="Times New Roman" w:hAnsi="Times New Roman" w:cs="Times New Roman"/>
          <w:sz w:val="24"/>
          <w:szCs w:val="24"/>
          <w:lang w:val="en-US"/>
        </w:rPr>
        <w:t xml:space="preserve"> Germany, Constitutional Court, </w:t>
      </w:r>
      <w:r w:rsidRPr="00BE407E">
        <w:rPr>
          <w:rFonts w:ascii="Times New Roman" w:eastAsia="Times New Roman" w:hAnsi="Times New Roman" w:cs="Times New Roman"/>
          <w:i/>
          <w:iCs/>
          <w:sz w:val="24"/>
          <w:szCs w:val="24"/>
          <w:lang w:val="en-US"/>
        </w:rPr>
        <w:t>Forced Labour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192).</w:t>
      </w:r>
    </w:p>
    <w:bookmarkStart w:id="422" w:name="Fn_31_5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[51]</w:t>
      </w:r>
      <w:r w:rsidRPr="00BE407E">
        <w:rPr>
          <w:rFonts w:ascii="Times New Roman" w:eastAsia="Times New Roman" w:hAnsi="Times New Roman" w:cs="Times New Roman"/>
          <w:sz w:val="24"/>
          <w:szCs w:val="24"/>
        </w:rPr>
        <w:fldChar w:fldCharType="end"/>
      </w:r>
      <w:bookmarkEnd w:id="422"/>
      <w:r w:rsidRPr="00BE407E">
        <w:rPr>
          <w:rFonts w:ascii="Times New Roman" w:eastAsia="Times New Roman" w:hAnsi="Times New Roman" w:cs="Times New Roman"/>
          <w:sz w:val="24"/>
          <w:szCs w:val="24"/>
          <w:lang w:val="en-US"/>
        </w:rPr>
        <w:t xml:space="preserve"> Germany, Federal Supreme Court, </w:t>
      </w:r>
      <w:r w:rsidRPr="00BE407E">
        <w:rPr>
          <w:rFonts w:ascii="Times New Roman" w:eastAsia="Times New Roman" w:hAnsi="Times New Roman" w:cs="Times New Roman"/>
          <w:i/>
          <w:iCs/>
          <w:sz w:val="24"/>
          <w:szCs w:val="24"/>
          <w:lang w:val="en-US"/>
        </w:rPr>
        <w:t>Distomo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193).</w:t>
      </w:r>
    </w:p>
    <w:bookmarkStart w:id="423" w:name="Fn_31_5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[52]</w:t>
      </w:r>
      <w:r w:rsidRPr="00BE407E">
        <w:rPr>
          <w:rFonts w:ascii="Times New Roman" w:eastAsia="Times New Roman" w:hAnsi="Times New Roman" w:cs="Times New Roman"/>
          <w:sz w:val="24"/>
          <w:szCs w:val="24"/>
        </w:rPr>
        <w:fldChar w:fldCharType="end"/>
      </w:r>
      <w:bookmarkEnd w:id="423"/>
      <w:r w:rsidRPr="00BE407E">
        <w:rPr>
          <w:rFonts w:ascii="Times New Roman" w:eastAsia="Times New Roman" w:hAnsi="Times New Roman" w:cs="Times New Roman"/>
          <w:sz w:val="24"/>
          <w:szCs w:val="24"/>
          <w:lang w:val="en-US"/>
        </w:rPr>
        <w:t xml:space="preserve"> United States, Court of Appeals, </w:t>
      </w:r>
      <w:r w:rsidRPr="00BE407E">
        <w:rPr>
          <w:rFonts w:ascii="Times New Roman" w:eastAsia="Times New Roman" w:hAnsi="Times New Roman" w:cs="Times New Roman"/>
          <w:i/>
          <w:iCs/>
          <w:sz w:val="24"/>
          <w:szCs w:val="24"/>
          <w:lang w:val="en-US"/>
        </w:rPr>
        <w:t>Goldstar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203).</w:t>
      </w:r>
    </w:p>
    <w:bookmarkStart w:id="424" w:name="Fn_31_5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[53]</w:t>
      </w:r>
      <w:r w:rsidRPr="00BE407E">
        <w:rPr>
          <w:rFonts w:ascii="Times New Roman" w:eastAsia="Times New Roman" w:hAnsi="Times New Roman" w:cs="Times New Roman"/>
          <w:sz w:val="24"/>
          <w:szCs w:val="24"/>
        </w:rPr>
        <w:fldChar w:fldCharType="end"/>
      </w:r>
      <w:bookmarkEnd w:id="424"/>
      <w:r w:rsidRPr="00BE407E">
        <w:rPr>
          <w:rFonts w:ascii="Times New Roman" w:eastAsia="Times New Roman" w:hAnsi="Times New Roman" w:cs="Times New Roman"/>
          <w:sz w:val="24"/>
          <w:szCs w:val="24"/>
          <w:lang w:val="en-US"/>
        </w:rPr>
        <w:t xml:space="preserve"> United States, Court of Appeals for the District of Columbia, </w:t>
      </w:r>
      <w:r w:rsidRPr="00BE407E">
        <w:rPr>
          <w:rFonts w:ascii="Times New Roman" w:eastAsia="Times New Roman" w:hAnsi="Times New Roman" w:cs="Times New Roman"/>
          <w:i/>
          <w:iCs/>
          <w:sz w:val="24"/>
          <w:szCs w:val="24"/>
          <w:lang w:val="en-US"/>
        </w:rPr>
        <w:t>Princz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204).</w:t>
      </w:r>
    </w:p>
    <w:bookmarkStart w:id="425" w:name="Fn_31_5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[54]</w:t>
      </w:r>
      <w:r w:rsidRPr="00BE407E">
        <w:rPr>
          <w:rFonts w:ascii="Times New Roman" w:eastAsia="Times New Roman" w:hAnsi="Times New Roman" w:cs="Times New Roman"/>
          <w:sz w:val="24"/>
          <w:szCs w:val="24"/>
        </w:rPr>
        <w:fldChar w:fldCharType="end"/>
      </w:r>
      <w:bookmarkEnd w:id="425"/>
      <w:r w:rsidRPr="00BE407E">
        <w:rPr>
          <w:rFonts w:ascii="Times New Roman" w:eastAsia="Times New Roman" w:hAnsi="Times New Roman" w:cs="Times New Roman"/>
          <w:sz w:val="24"/>
          <w:szCs w:val="24"/>
          <w:lang w:val="en-US"/>
        </w:rPr>
        <w:t xml:space="preserve"> Greece, Court of First Instance of Leivadia and Supreme Court, </w:t>
      </w:r>
      <w:r w:rsidRPr="00BE407E">
        <w:rPr>
          <w:rFonts w:ascii="Times New Roman" w:eastAsia="Times New Roman" w:hAnsi="Times New Roman" w:cs="Times New Roman"/>
          <w:i/>
          <w:iCs/>
          <w:sz w:val="24"/>
          <w:szCs w:val="24"/>
          <w:lang w:val="en-US"/>
        </w:rPr>
        <w:t>Prefecture of Voiotia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194); Greece, Statement before the European Court of Human Rights in the </w:t>
      </w:r>
      <w:r w:rsidRPr="00BE407E">
        <w:rPr>
          <w:rFonts w:ascii="Times New Roman" w:eastAsia="Times New Roman" w:hAnsi="Times New Roman" w:cs="Times New Roman"/>
          <w:i/>
          <w:iCs/>
          <w:sz w:val="24"/>
          <w:szCs w:val="24"/>
          <w:lang w:val="en-US"/>
        </w:rPr>
        <w:t>Kalogeropoulou and Others case</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194).</w:t>
      </w:r>
    </w:p>
    <w:bookmarkStart w:id="426" w:name="Fn_31_5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[55]</w:t>
      </w:r>
      <w:r w:rsidRPr="00BE407E">
        <w:rPr>
          <w:rFonts w:ascii="Times New Roman" w:eastAsia="Times New Roman" w:hAnsi="Times New Roman" w:cs="Times New Roman"/>
          <w:sz w:val="24"/>
          <w:szCs w:val="24"/>
        </w:rPr>
        <w:fldChar w:fldCharType="end"/>
      </w:r>
      <w:bookmarkEnd w:id="426"/>
      <w:r w:rsidRPr="00BE407E">
        <w:rPr>
          <w:rFonts w:ascii="Times New Roman" w:eastAsia="Times New Roman" w:hAnsi="Times New Roman" w:cs="Times New Roman"/>
          <w:sz w:val="24"/>
          <w:szCs w:val="24"/>
          <w:lang w:val="en-US"/>
        </w:rPr>
        <w:t xml:space="preserve"> See, e.g., PCIJ, </w:t>
      </w:r>
      <w:r w:rsidRPr="00BE407E">
        <w:rPr>
          <w:rFonts w:ascii="Times New Roman" w:eastAsia="Times New Roman" w:hAnsi="Times New Roman" w:cs="Times New Roman"/>
          <w:i/>
          <w:iCs/>
          <w:sz w:val="24"/>
          <w:szCs w:val="24"/>
          <w:lang w:val="en-US"/>
        </w:rPr>
        <w:t>Chorzów Factory case (Merits)</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102); see also PCIJ Statute, Article 36, which states that “the States Parties to the present Statute may at any time declare that they recognize as compulsory </w:t>
      </w:r>
      <w:r w:rsidRPr="00BE407E">
        <w:rPr>
          <w:rFonts w:ascii="Times New Roman" w:eastAsia="Times New Roman" w:hAnsi="Times New Roman" w:cs="Times New Roman"/>
          <w:i/>
          <w:iCs/>
          <w:sz w:val="24"/>
          <w:szCs w:val="24"/>
          <w:lang w:val="en-US"/>
        </w:rPr>
        <w:t>ipso facto</w:t>
      </w:r>
      <w:r w:rsidRPr="00BE407E">
        <w:rPr>
          <w:rFonts w:ascii="Times New Roman" w:eastAsia="Times New Roman" w:hAnsi="Times New Roman" w:cs="Times New Roman"/>
          <w:sz w:val="24"/>
          <w:szCs w:val="24"/>
          <w:lang w:val="en-US"/>
        </w:rPr>
        <w:t xml:space="preserve"> and without special </w:t>
      </w:r>
      <w:r w:rsidRPr="00BE407E">
        <w:rPr>
          <w:rFonts w:ascii="Times New Roman" w:eastAsia="Times New Roman" w:hAnsi="Times New Roman" w:cs="Times New Roman"/>
          <w:sz w:val="24"/>
          <w:szCs w:val="24"/>
          <w:lang w:val="en-US"/>
        </w:rPr>
        <w:lastRenderedPageBreak/>
        <w:t xml:space="preserve">agreement, in relation to any other state accepting the same obligation, the jurisdiction of the Court in all legal disputes concerning: … (d) the nature of the reparation to be made for the breach of an international obligation”. Article 36(2) of the Statute of the International Court of Justice contains similar wording. </w:t>
      </w:r>
    </w:p>
    <w:bookmarkStart w:id="427" w:name="Fn_31_5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[56]</w:t>
      </w:r>
      <w:r w:rsidRPr="00BE407E">
        <w:rPr>
          <w:rFonts w:ascii="Times New Roman" w:eastAsia="Times New Roman" w:hAnsi="Times New Roman" w:cs="Times New Roman"/>
          <w:sz w:val="24"/>
          <w:szCs w:val="24"/>
        </w:rPr>
        <w:fldChar w:fldCharType="end"/>
      </w:r>
      <w:bookmarkEnd w:id="427"/>
      <w:r w:rsidRPr="00BE407E">
        <w:rPr>
          <w:rFonts w:ascii="Times New Roman" w:eastAsia="Times New Roman" w:hAnsi="Times New Roman" w:cs="Times New Roman"/>
          <w:sz w:val="24"/>
          <w:szCs w:val="24"/>
          <w:lang w:val="en-US"/>
        </w:rPr>
        <w:t xml:space="preserve"> Article 34 of the Draft Articles on State Responsibility provides that “full reparation for the injury caused by the internationally wrongful act shall take the form of restitution, compensation or satisfaction, either singly or in combination”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157 and 323). In addition, it should be noted that Article 75(2) of the ICC Statute concerning “Reparations to victims” gives the Court the power to “make an order directly against a convicted person specifying appropriate reparations to, or in respect of, victims, including restitution, compensation and rehabilitation”.</w:t>
      </w:r>
    </w:p>
    <w:bookmarkStart w:id="428" w:name="Fn_31_5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[57]</w:t>
      </w:r>
      <w:r w:rsidRPr="00BE407E">
        <w:rPr>
          <w:rFonts w:ascii="Times New Roman" w:eastAsia="Times New Roman" w:hAnsi="Times New Roman" w:cs="Times New Roman"/>
          <w:sz w:val="24"/>
          <w:szCs w:val="24"/>
        </w:rPr>
        <w:fldChar w:fldCharType="end"/>
      </w:r>
      <w:bookmarkEnd w:id="428"/>
      <w:r w:rsidRPr="00BE407E">
        <w:rPr>
          <w:rFonts w:ascii="Times New Roman" w:eastAsia="Times New Roman" w:hAnsi="Times New Roman" w:cs="Times New Roman"/>
          <w:sz w:val="24"/>
          <w:szCs w:val="24"/>
          <w:lang w:val="en-US"/>
        </w:rPr>
        <w:t xml:space="preserve"> See, e.g., Colombia, </w:t>
      </w:r>
      <w:r w:rsidRPr="00BE407E">
        <w:rPr>
          <w:rFonts w:ascii="Times New Roman" w:eastAsia="Times New Roman" w:hAnsi="Times New Roman" w:cs="Times New Roman"/>
          <w:i/>
          <w:iCs/>
          <w:sz w:val="24"/>
          <w:szCs w:val="24"/>
          <w:lang w:val="en-US"/>
        </w:rPr>
        <w:t>Basic Military Manual</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162); American Law Institute, Restatement (Third) of the Foreign Relations Law of the United States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107, 292 and 362). It should be noted that diplomatic protection would still be possible in a situation where foreign residents or visitors are injured by the armed forces of a State in the context of a non-international armed conflict.</w:t>
      </w:r>
    </w:p>
    <w:bookmarkStart w:id="429" w:name="Fn_31_5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[58]</w:t>
      </w:r>
      <w:r w:rsidRPr="00BE407E">
        <w:rPr>
          <w:rFonts w:ascii="Times New Roman" w:eastAsia="Times New Roman" w:hAnsi="Times New Roman" w:cs="Times New Roman"/>
          <w:sz w:val="24"/>
          <w:szCs w:val="24"/>
        </w:rPr>
        <w:fldChar w:fldCharType="end"/>
      </w:r>
      <w:bookmarkEnd w:id="429"/>
      <w:r w:rsidRPr="00BE407E">
        <w:rPr>
          <w:rFonts w:ascii="Times New Roman" w:eastAsia="Times New Roman" w:hAnsi="Times New Roman" w:cs="Times New Roman"/>
          <w:sz w:val="24"/>
          <w:szCs w:val="24"/>
          <w:lang w:val="en-US"/>
        </w:rPr>
        <w:t xml:space="preserve"> International Covenant on Civil and Political Rights, Article 2(3); European Convention on Human Rights, Article 13; American Convention on Human Rights, Articles 10 and 25; African Charter on Human and Peoples’ Rights, Article 7(1)(a) (implicit).</w:t>
      </w:r>
    </w:p>
    <w:bookmarkStart w:id="430" w:name="Fn_31_5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"refFn_31_59"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[59]</w:t>
      </w:r>
      <w:r w:rsidRPr="00BE407E">
        <w:rPr>
          <w:rFonts w:ascii="Times New Roman" w:eastAsia="Times New Roman" w:hAnsi="Times New Roman" w:cs="Times New Roman"/>
          <w:sz w:val="24"/>
          <w:szCs w:val="24"/>
        </w:rPr>
        <w:fldChar w:fldCharType="end"/>
      </w:r>
      <w:bookmarkEnd w:id="430"/>
      <w:r w:rsidRPr="00BE407E">
        <w:rPr>
          <w:rFonts w:ascii="Times New Roman" w:eastAsia="Times New Roman" w:hAnsi="Times New Roman" w:cs="Times New Roman"/>
          <w:sz w:val="24"/>
          <w:szCs w:val="24"/>
          <w:lang w:val="en-US"/>
        </w:rPr>
        <w:t xml:space="preserve"> See, e.g., UN Human Rights Committee, General Comment No. 29 (Article 4 of the International Covenant on Civil and Political Rights), 24 July 2001, § 14; Inter-American Court of Human Rights, </w:t>
      </w:r>
      <w:r w:rsidRPr="00BE407E">
        <w:rPr>
          <w:rFonts w:ascii="Times New Roman" w:eastAsia="Times New Roman" w:hAnsi="Times New Roman" w:cs="Times New Roman"/>
          <w:i/>
          <w:iCs/>
          <w:sz w:val="24"/>
          <w:szCs w:val="24"/>
          <w:lang w:val="en-US"/>
        </w:rPr>
        <w:t>Judicial Guarantees case</w:t>
      </w:r>
      <w:r w:rsidRPr="00BE407E">
        <w:rPr>
          <w:rFonts w:ascii="Times New Roman" w:eastAsia="Times New Roman" w:hAnsi="Times New Roman" w:cs="Times New Roman"/>
          <w:sz w:val="24"/>
          <w:szCs w:val="24"/>
          <w:lang w:val="en-US"/>
        </w:rPr>
        <w:t>, Advisory Opinion, §§ 24–26.</w:t>
      </w:r>
    </w:p>
    <w:bookmarkStart w:id="431" w:name="Fn_31_6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[60]</w:t>
      </w:r>
      <w:r w:rsidRPr="00BE407E">
        <w:rPr>
          <w:rFonts w:ascii="Times New Roman" w:eastAsia="Times New Roman" w:hAnsi="Times New Roman" w:cs="Times New Roman"/>
          <w:sz w:val="24"/>
          <w:szCs w:val="24"/>
        </w:rPr>
        <w:fldChar w:fldCharType="end"/>
      </w:r>
      <w:bookmarkEnd w:id="431"/>
      <w:r w:rsidRPr="00BE407E">
        <w:rPr>
          <w:rFonts w:ascii="Times New Roman" w:eastAsia="Times New Roman" w:hAnsi="Times New Roman" w:cs="Times New Roman"/>
          <w:sz w:val="24"/>
          <w:szCs w:val="24"/>
          <w:lang w:val="en-US"/>
        </w:rPr>
        <w:t xml:space="preserve"> ICC Statute, Article 75(6) (cited in Vol. II, Ch. 42, § 79).</w:t>
      </w:r>
    </w:p>
    <w:bookmarkStart w:id="432" w:name="Fn_31_6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[61]</w:t>
      </w:r>
      <w:r w:rsidRPr="00BE407E">
        <w:rPr>
          <w:rFonts w:ascii="Times New Roman" w:eastAsia="Times New Roman" w:hAnsi="Times New Roman" w:cs="Times New Roman"/>
          <w:sz w:val="24"/>
          <w:szCs w:val="24"/>
        </w:rPr>
        <w:fldChar w:fldCharType="end"/>
      </w:r>
      <w:bookmarkEnd w:id="432"/>
      <w:r w:rsidRPr="00BE407E">
        <w:rPr>
          <w:rFonts w:ascii="Times New Roman" w:eastAsia="Times New Roman" w:hAnsi="Times New Roman" w:cs="Times New Roman"/>
          <w:sz w:val="24"/>
          <w:szCs w:val="24"/>
          <w:lang w:val="en-US"/>
        </w:rPr>
        <w:t xml:space="preserve"> Second Protocol to the Hague Convention for the Protection of Cultural Property, Article 38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80).</w:t>
      </w:r>
    </w:p>
    <w:bookmarkStart w:id="433" w:name="Fn_31_6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[62]</w:t>
      </w:r>
      <w:r w:rsidRPr="00BE407E">
        <w:rPr>
          <w:rFonts w:ascii="Times New Roman" w:eastAsia="Times New Roman" w:hAnsi="Times New Roman" w:cs="Times New Roman"/>
          <w:sz w:val="24"/>
          <w:szCs w:val="24"/>
        </w:rPr>
        <w:fldChar w:fldCharType="end"/>
      </w:r>
      <w:bookmarkEnd w:id="433"/>
      <w:r w:rsidRPr="00BE407E">
        <w:rPr>
          <w:rFonts w:ascii="Times New Roman" w:eastAsia="Times New Roman" w:hAnsi="Times New Roman" w:cs="Times New Roman"/>
          <w:sz w:val="24"/>
          <w:szCs w:val="24"/>
          <w:lang w:val="en-US"/>
        </w:rPr>
        <w:t xml:space="preserve"> Philippines, Joint Circular on Adherence to IHL and Human Rights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87).</w:t>
      </w:r>
    </w:p>
    <w:bookmarkStart w:id="434" w:name="Fn_31_6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[63]</w:t>
      </w:r>
      <w:r w:rsidRPr="00BE407E">
        <w:rPr>
          <w:rFonts w:ascii="Times New Roman" w:eastAsia="Times New Roman" w:hAnsi="Times New Roman" w:cs="Times New Roman"/>
          <w:sz w:val="24"/>
          <w:szCs w:val="24"/>
        </w:rPr>
        <w:fldChar w:fldCharType="end"/>
      </w:r>
      <w:bookmarkEnd w:id="434"/>
      <w:r w:rsidRPr="00BE407E">
        <w:rPr>
          <w:rFonts w:ascii="Times New Roman" w:eastAsia="Times New Roman" w:hAnsi="Times New Roman" w:cs="Times New Roman"/>
          <w:sz w:val="24"/>
          <w:szCs w:val="24"/>
          <w:lang w:val="en-US"/>
        </w:rPr>
        <w:t xml:space="preserve"> UN General Assembly, Res. 51/108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96).</w:t>
      </w:r>
    </w:p>
    <w:bookmarkStart w:id="435" w:name="Fn_31_6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[64]</w:t>
      </w:r>
      <w:r w:rsidRPr="00BE407E">
        <w:rPr>
          <w:rFonts w:ascii="Times New Roman" w:eastAsia="Times New Roman" w:hAnsi="Times New Roman" w:cs="Times New Roman"/>
          <w:sz w:val="24"/>
          <w:szCs w:val="24"/>
        </w:rPr>
        <w:fldChar w:fldCharType="end"/>
      </w:r>
      <w:bookmarkEnd w:id="435"/>
      <w:r w:rsidRPr="00BE407E">
        <w:rPr>
          <w:rFonts w:ascii="Times New Roman" w:eastAsia="Times New Roman" w:hAnsi="Times New Roman" w:cs="Times New Roman"/>
          <w:sz w:val="24"/>
          <w:szCs w:val="24"/>
          <w:lang w:val="en-US"/>
        </w:rPr>
        <w:t xml:space="preserve"> European Court of Human Rights, </w:t>
      </w:r>
      <w:r w:rsidRPr="00BE407E">
        <w:rPr>
          <w:rFonts w:ascii="Times New Roman" w:eastAsia="Times New Roman" w:hAnsi="Times New Roman" w:cs="Times New Roman"/>
          <w:i/>
          <w:iCs/>
          <w:sz w:val="24"/>
          <w:szCs w:val="24"/>
          <w:lang w:val="en-US"/>
        </w:rPr>
        <w:t>Akdivar and Others v. Turkey</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356). The Court’s powers to provide “just satisfaction” are based on the European Convention for the Protection of Human Rights and Fundamental Freedoms, Article 41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303). The Inter-American Court of Human Rights has similar powers to provide “fair compensation” on the basis of the American Convention on Human Rights, Article 63(1)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312). The African Court of Human and Peoples’ Rights will have powers to order “the payment of fair compensation or reparation” on the basis of the Protocol to the African Charter on Human and Peoples’ Rights on the Establishment of an African Court of Human and Peoples’ Rights, Article 27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314).</w:t>
      </w:r>
    </w:p>
    <w:bookmarkStart w:id="436" w:name="Fn_31_6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[65]</w:t>
      </w:r>
      <w:r w:rsidRPr="00BE407E">
        <w:rPr>
          <w:rFonts w:ascii="Times New Roman" w:eastAsia="Times New Roman" w:hAnsi="Times New Roman" w:cs="Times New Roman"/>
          <w:sz w:val="24"/>
          <w:szCs w:val="24"/>
        </w:rPr>
        <w:fldChar w:fldCharType="end"/>
      </w:r>
      <w:bookmarkEnd w:id="436"/>
      <w:r w:rsidRPr="00BE407E">
        <w:rPr>
          <w:rFonts w:ascii="Times New Roman" w:eastAsia="Times New Roman" w:hAnsi="Times New Roman" w:cs="Times New Roman"/>
          <w:sz w:val="24"/>
          <w:szCs w:val="24"/>
          <w:lang w:val="en-US"/>
        </w:rPr>
        <w:t xml:space="preserve"> Agreement on Refugees and Displaced Persons annexed to the Dayton Accords, Article I(1)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316).</w:t>
      </w:r>
    </w:p>
    <w:bookmarkStart w:id="437" w:name="Fn_31_6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[66]</w:t>
      </w:r>
      <w:r w:rsidRPr="00BE407E">
        <w:rPr>
          <w:rFonts w:ascii="Times New Roman" w:eastAsia="Times New Roman" w:hAnsi="Times New Roman" w:cs="Times New Roman"/>
          <w:sz w:val="24"/>
          <w:szCs w:val="24"/>
        </w:rPr>
        <w:fldChar w:fldCharType="end"/>
      </w:r>
      <w:bookmarkEnd w:id="437"/>
      <w:r w:rsidRPr="00BE407E">
        <w:rPr>
          <w:rFonts w:ascii="Times New Roman" w:eastAsia="Times New Roman" w:hAnsi="Times New Roman" w:cs="Times New Roman"/>
          <w:sz w:val="24"/>
          <w:szCs w:val="24"/>
          <w:lang w:val="en-US"/>
        </w:rPr>
        <w:t xml:space="preserve"> UNMIK Regulation No. 2000/60, Section 2(2), (5) and (6)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156). The Housing and Property Claims Commission was established by UNMIK Regulation No. 1999/23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319).</w:t>
      </w:r>
    </w:p>
    <w:bookmarkStart w:id="438" w:name="Fn_31_6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[67]</w:t>
      </w:r>
      <w:r w:rsidRPr="00BE407E">
        <w:rPr>
          <w:rFonts w:ascii="Times New Roman" w:eastAsia="Times New Roman" w:hAnsi="Times New Roman" w:cs="Times New Roman"/>
          <w:sz w:val="24"/>
          <w:szCs w:val="24"/>
        </w:rPr>
        <w:fldChar w:fldCharType="end"/>
      </w:r>
      <w:bookmarkEnd w:id="438"/>
      <w:r w:rsidRPr="00BE407E">
        <w:rPr>
          <w:rFonts w:ascii="Times New Roman" w:eastAsia="Times New Roman" w:hAnsi="Times New Roman" w:cs="Times New Roman"/>
          <w:sz w:val="24"/>
          <w:szCs w:val="24"/>
          <w:lang w:val="en-US"/>
        </w:rPr>
        <w:t xml:space="preserve"> Comprehensive Agreement on Respect for Human Rights and IHL in the Philippines, Part III, Article 2(3)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318).</w:t>
      </w:r>
    </w:p>
    <w:bookmarkStart w:id="439" w:name="Fn_31_6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[68]</w:t>
      </w:r>
      <w:r w:rsidRPr="00BE407E">
        <w:rPr>
          <w:rFonts w:ascii="Times New Roman" w:eastAsia="Times New Roman" w:hAnsi="Times New Roman" w:cs="Times New Roman"/>
          <w:sz w:val="24"/>
          <w:szCs w:val="24"/>
        </w:rPr>
        <w:fldChar w:fldCharType="end"/>
      </w:r>
      <w:bookmarkEnd w:id="439"/>
      <w:r w:rsidRPr="00BE407E">
        <w:rPr>
          <w:rFonts w:ascii="Times New Roman" w:eastAsia="Times New Roman" w:hAnsi="Times New Roman" w:cs="Times New Roman"/>
          <w:sz w:val="24"/>
          <w:szCs w:val="24"/>
          <w:lang w:val="en-US"/>
        </w:rPr>
        <w:t xml:space="preserve"> See Comprehensive Agreement on Human Rights in Guatemala, Article VIII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152); Comprehensive Agreement on Respect for Human Rights and IHL in the Philippines, Part III, Article 2(3)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154); the legislation of the Russian Federation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184).</w:t>
      </w:r>
    </w:p>
    <w:bookmarkStart w:id="440" w:name="Fn_31_6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lastRenderedPageBreak/>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"refFn_31_69"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[69]</w:t>
      </w:r>
      <w:r w:rsidRPr="00BE407E">
        <w:rPr>
          <w:rFonts w:ascii="Times New Roman" w:eastAsia="Times New Roman" w:hAnsi="Times New Roman" w:cs="Times New Roman"/>
          <w:sz w:val="24"/>
          <w:szCs w:val="24"/>
        </w:rPr>
        <w:fldChar w:fldCharType="end"/>
      </w:r>
      <w:bookmarkEnd w:id="440"/>
      <w:r w:rsidRPr="00BE407E">
        <w:rPr>
          <w:rFonts w:ascii="Times New Roman" w:eastAsia="Times New Roman" w:hAnsi="Times New Roman" w:cs="Times New Roman"/>
          <w:sz w:val="24"/>
          <w:szCs w:val="24"/>
          <w:lang w:val="en-US"/>
        </w:rPr>
        <w:t xml:space="preserve"> See the practice of Chile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212), El Salvador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215) and Sri Lanka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233–234).</w:t>
      </w:r>
    </w:p>
    <w:bookmarkStart w:id="441" w:name="Fn_31_7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[70]</w:t>
      </w:r>
      <w:r w:rsidRPr="00BE407E">
        <w:rPr>
          <w:rFonts w:ascii="Times New Roman" w:eastAsia="Times New Roman" w:hAnsi="Times New Roman" w:cs="Times New Roman"/>
          <w:sz w:val="24"/>
          <w:szCs w:val="24"/>
        </w:rPr>
        <w:fldChar w:fldCharType="end"/>
      </w:r>
      <w:bookmarkEnd w:id="441"/>
      <w:r w:rsidRPr="00BE407E">
        <w:rPr>
          <w:rFonts w:ascii="Times New Roman" w:eastAsia="Times New Roman" w:hAnsi="Times New Roman" w:cs="Times New Roman"/>
          <w:sz w:val="24"/>
          <w:szCs w:val="24"/>
          <w:lang w:val="en-US"/>
        </w:rPr>
        <w:t xml:space="preserve"> See the practice of Chile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213).</w:t>
      </w:r>
    </w:p>
    <w:bookmarkStart w:id="442" w:name="Fn_31_7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[71]</w:t>
      </w:r>
      <w:r w:rsidRPr="00BE407E">
        <w:rPr>
          <w:rFonts w:ascii="Times New Roman" w:eastAsia="Times New Roman" w:hAnsi="Times New Roman" w:cs="Times New Roman"/>
          <w:sz w:val="24"/>
          <w:szCs w:val="24"/>
        </w:rPr>
        <w:fldChar w:fldCharType="end"/>
      </w:r>
      <w:bookmarkEnd w:id="442"/>
      <w:r w:rsidRPr="00BE407E">
        <w:rPr>
          <w:rFonts w:ascii="Times New Roman" w:eastAsia="Times New Roman" w:hAnsi="Times New Roman" w:cs="Times New Roman"/>
          <w:sz w:val="24"/>
          <w:szCs w:val="24"/>
          <w:lang w:val="en-US"/>
        </w:rPr>
        <w:t xml:space="preserve"> See the practice of Rwanda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232) and Zimbabwe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241).</w:t>
      </w:r>
    </w:p>
    <w:bookmarkStart w:id="443" w:name="Fn_31_7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[72]</w:t>
      </w:r>
      <w:r w:rsidRPr="00BE407E">
        <w:rPr>
          <w:rFonts w:ascii="Times New Roman" w:eastAsia="Times New Roman" w:hAnsi="Times New Roman" w:cs="Times New Roman"/>
          <w:sz w:val="24"/>
          <w:szCs w:val="24"/>
        </w:rPr>
        <w:fldChar w:fldCharType="end"/>
      </w:r>
      <w:bookmarkEnd w:id="443"/>
      <w:r w:rsidRPr="00BE407E">
        <w:rPr>
          <w:rFonts w:ascii="Times New Roman" w:eastAsia="Times New Roman" w:hAnsi="Times New Roman" w:cs="Times New Roman"/>
          <w:sz w:val="24"/>
          <w:szCs w:val="24"/>
          <w:lang w:val="en-US"/>
        </w:rPr>
        <w:t xml:space="preserve"> Agreement on Refugees and Displaced Persons annexed to the Dayton Accords, Article XI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153).</w:t>
      </w:r>
    </w:p>
    <w:bookmarkStart w:id="444" w:name="Fn_31_7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[73]</w:t>
      </w:r>
      <w:r w:rsidRPr="00BE407E">
        <w:rPr>
          <w:rFonts w:ascii="Times New Roman" w:eastAsia="Times New Roman" w:hAnsi="Times New Roman" w:cs="Times New Roman"/>
          <w:sz w:val="24"/>
          <w:szCs w:val="24"/>
        </w:rPr>
        <w:fldChar w:fldCharType="end"/>
      </w:r>
      <w:bookmarkEnd w:id="444"/>
      <w:r w:rsidRPr="00BE407E">
        <w:rPr>
          <w:rFonts w:ascii="Times New Roman" w:eastAsia="Times New Roman" w:hAnsi="Times New Roman" w:cs="Times New Roman"/>
          <w:sz w:val="24"/>
          <w:szCs w:val="24"/>
          <w:lang w:val="en-US"/>
        </w:rPr>
        <w:t xml:space="preserve"> UNMIK Regulation No. 2000/60, Section 2(2)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156).</w:t>
      </w:r>
    </w:p>
    <w:bookmarkStart w:id="445" w:name="Fn_31_74"/>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"refFn_31_74"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[74]</w:t>
      </w:r>
      <w:r w:rsidRPr="00BE407E">
        <w:rPr>
          <w:rFonts w:ascii="Times New Roman" w:eastAsia="Times New Roman" w:hAnsi="Times New Roman" w:cs="Times New Roman"/>
          <w:sz w:val="24"/>
          <w:szCs w:val="24"/>
        </w:rPr>
        <w:fldChar w:fldCharType="end"/>
      </w:r>
      <w:bookmarkEnd w:id="445"/>
      <w:r w:rsidRPr="00BE407E">
        <w:rPr>
          <w:rFonts w:ascii="Times New Roman" w:eastAsia="Times New Roman" w:hAnsi="Times New Roman" w:cs="Times New Roman"/>
          <w:sz w:val="24"/>
          <w:szCs w:val="24"/>
          <w:lang w:val="en-US"/>
        </w:rPr>
        <w:t xml:space="preserve"> UN Commission on Human Rights, Res. 1995/77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253); UN Sub-Commission on Human Rights, Res. 1993/23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254) and Res. 1995/5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255); UN Secretary-General, Report on the causes of conflict and the promotion of durable peace and sustainable development in Africa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258); UN Commission on the Truth for El Salvador, Report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262).</w:t>
      </w:r>
    </w:p>
    <w:bookmarkStart w:id="446" w:name="Fn_31_75"/>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"refFn_31_75"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[75]</w:t>
      </w:r>
      <w:r w:rsidRPr="00BE407E">
        <w:rPr>
          <w:rFonts w:ascii="Times New Roman" w:eastAsia="Times New Roman" w:hAnsi="Times New Roman" w:cs="Times New Roman"/>
          <w:sz w:val="24"/>
          <w:szCs w:val="24"/>
        </w:rPr>
        <w:fldChar w:fldCharType="end"/>
      </w:r>
      <w:bookmarkEnd w:id="446"/>
      <w:r w:rsidRPr="00BE407E">
        <w:rPr>
          <w:rFonts w:ascii="Times New Roman" w:eastAsia="Times New Roman" w:hAnsi="Times New Roman" w:cs="Times New Roman"/>
          <w:sz w:val="24"/>
          <w:szCs w:val="24"/>
          <w:lang w:val="en-US"/>
        </w:rPr>
        <w:t xml:space="preserve"> Spain, Note from the President of the Spanish Junta de Defensa Nacional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360).</w:t>
      </w:r>
    </w:p>
    <w:bookmarkStart w:id="447" w:name="Fn_31_76"/>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"refFn_31_76"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[76]</w:t>
      </w:r>
      <w:r w:rsidRPr="00BE407E">
        <w:rPr>
          <w:rFonts w:ascii="Times New Roman" w:eastAsia="Times New Roman" w:hAnsi="Times New Roman" w:cs="Times New Roman"/>
          <w:sz w:val="24"/>
          <w:szCs w:val="24"/>
        </w:rPr>
        <w:fldChar w:fldCharType="end"/>
      </w:r>
      <w:bookmarkEnd w:id="447"/>
      <w:r w:rsidRPr="00BE407E">
        <w:rPr>
          <w:rFonts w:ascii="Times New Roman" w:eastAsia="Times New Roman" w:hAnsi="Times New Roman" w:cs="Times New Roman"/>
          <w:sz w:val="24"/>
          <w:szCs w:val="24"/>
          <w:lang w:val="en-US"/>
        </w:rPr>
        <w:t xml:space="preserve"> Comprehensive Agreement on Respect for Human Rights and IHL in the Philippines, Part III, Article 2(3)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154).</w:t>
      </w:r>
    </w:p>
    <w:bookmarkStart w:id="448" w:name="Fn_31_77"/>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"refFn_31_77"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[77]</w:t>
      </w:r>
      <w:r w:rsidRPr="00BE407E">
        <w:rPr>
          <w:rFonts w:ascii="Times New Roman" w:eastAsia="Times New Roman" w:hAnsi="Times New Roman" w:cs="Times New Roman"/>
          <w:sz w:val="24"/>
          <w:szCs w:val="24"/>
        </w:rPr>
        <w:fldChar w:fldCharType="end"/>
      </w:r>
      <w:bookmarkEnd w:id="448"/>
      <w:r w:rsidRPr="00BE407E">
        <w:rPr>
          <w:rFonts w:ascii="Times New Roman" w:eastAsia="Times New Roman" w:hAnsi="Times New Roman" w:cs="Times New Roman"/>
          <w:sz w:val="24"/>
          <w:szCs w:val="24"/>
          <w:lang w:val="en-US"/>
        </w:rPr>
        <w:t xml:space="preserve"> Inter-American Commission on Human Rights, </w:t>
      </w:r>
      <w:r w:rsidRPr="00BE407E">
        <w:rPr>
          <w:rFonts w:ascii="Times New Roman" w:eastAsia="Times New Roman" w:hAnsi="Times New Roman" w:cs="Times New Roman"/>
          <w:i/>
          <w:iCs/>
          <w:sz w:val="24"/>
          <w:szCs w:val="24"/>
          <w:lang w:val="en-US"/>
        </w:rPr>
        <w:t>Monsignor Oscar Arnulfo Romero y Galdámez (El Salvador)</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357).</w:t>
      </w:r>
    </w:p>
    <w:bookmarkStart w:id="449" w:name="Fn_31_78"/>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"refFn_31_78"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[78]</w:t>
      </w:r>
      <w:r w:rsidRPr="00BE407E">
        <w:rPr>
          <w:rFonts w:ascii="Times New Roman" w:eastAsia="Times New Roman" w:hAnsi="Times New Roman" w:cs="Times New Roman"/>
          <w:sz w:val="24"/>
          <w:szCs w:val="24"/>
        </w:rPr>
        <w:fldChar w:fldCharType="end"/>
      </w:r>
      <w:bookmarkEnd w:id="449"/>
      <w:r w:rsidRPr="00BE407E">
        <w:rPr>
          <w:rFonts w:ascii="Times New Roman" w:eastAsia="Times New Roman" w:hAnsi="Times New Roman" w:cs="Times New Roman"/>
          <w:sz w:val="24"/>
          <w:szCs w:val="24"/>
          <w:lang w:val="en-US"/>
        </w:rPr>
        <w:t xml:space="preserve"> Inter-American Court of Human Rights, </w:t>
      </w:r>
      <w:r w:rsidRPr="00BE407E">
        <w:rPr>
          <w:rFonts w:ascii="Times New Roman" w:eastAsia="Times New Roman" w:hAnsi="Times New Roman" w:cs="Times New Roman"/>
          <w:i/>
          <w:iCs/>
          <w:sz w:val="24"/>
          <w:szCs w:val="24"/>
          <w:lang w:val="en-US"/>
        </w:rPr>
        <w:t>Street Children v. Guatemala</w:t>
      </w:r>
      <w:r w:rsidRPr="00BE407E">
        <w:rPr>
          <w:rFonts w:ascii="Times New Roman" w:eastAsia="Times New Roman" w:hAnsi="Times New Roman" w:cs="Times New Roman"/>
          <w:sz w:val="24"/>
          <w:szCs w:val="24"/>
          <w:lang w:val="en-US"/>
        </w:rPr>
        <w:t xml:space="preserve">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358).</w:t>
      </w:r>
    </w:p>
    <w:bookmarkStart w:id="450" w:name="Fn_31_79"/>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"refFn_31_79"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[79]</w:t>
      </w:r>
      <w:r w:rsidRPr="00BE407E">
        <w:rPr>
          <w:rFonts w:ascii="Times New Roman" w:eastAsia="Times New Roman" w:hAnsi="Times New Roman" w:cs="Times New Roman"/>
          <w:sz w:val="24"/>
          <w:szCs w:val="24"/>
        </w:rPr>
        <w:fldChar w:fldCharType="end"/>
      </w:r>
      <w:bookmarkEnd w:id="450"/>
      <w:r w:rsidRPr="00BE407E">
        <w:rPr>
          <w:rFonts w:ascii="Times New Roman" w:eastAsia="Times New Roman" w:hAnsi="Times New Roman" w:cs="Times New Roman"/>
          <w:sz w:val="24"/>
          <w:szCs w:val="24"/>
          <w:lang w:val="en-US"/>
        </w:rPr>
        <w:t xml:space="preserve"> Comprehensive Agreement on Respect for Human Rights and IHL in the Philippines, Part III, Article 2(3) and Part IV, Articles 1 and 6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xml:space="preserve">, § 318). </w:t>
      </w:r>
    </w:p>
    <w:bookmarkStart w:id="451" w:name="Fn_31_80"/>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"refFn_31_80"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[80]</w:t>
      </w:r>
      <w:r w:rsidRPr="00BE407E">
        <w:rPr>
          <w:rFonts w:ascii="Times New Roman" w:eastAsia="Times New Roman" w:hAnsi="Times New Roman" w:cs="Times New Roman"/>
          <w:sz w:val="24"/>
          <w:szCs w:val="24"/>
        </w:rPr>
        <w:fldChar w:fldCharType="end"/>
      </w:r>
      <w:bookmarkEnd w:id="451"/>
      <w:r w:rsidRPr="00BE407E">
        <w:rPr>
          <w:rFonts w:ascii="Times New Roman" w:eastAsia="Times New Roman" w:hAnsi="Times New Roman" w:cs="Times New Roman"/>
          <w:sz w:val="24"/>
          <w:szCs w:val="24"/>
          <w:lang w:val="en-US"/>
        </w:rPr>
        <w:t xml:space="preserve"> See the practice of the National Liberation Army (Colombia)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365).</w:t>
      </w:r>
    </w:p>
    <w:bookmarkStart w:id="452" w:name="Fn_31_81"/>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"refFn_31_81"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[81]</w:t>
      </w:r>
      <w:r w:rsidRPr="00BE407E">
        <w:rPr>
          <w:rFonts w:ascii="Times New Roman" w:eastAsia="Times New Roman" w:hAnsi="Times New Roman" w:cs="Times New Roman"/>
          <w:sz w:val="24"/>
          <w:szCs w:val="24"/>
        </w:rPr>
        <w:fldChar w:fldCharType="end"/>
      </w:r>
      <w:bookmarkEnd w:id="452"/>
      <w:r w:rsidRPr="00BE407E">
        <w:rPr>
          <w:rFonts w:ascii="Times New Roman" w:eastAsia="Times New Roman" w:hAnsi="Times New Roman" w:cs="Times New Roman"/>
          <w:sz w:val="24"/>
          <w:szCs w:val="24"/>
          <w:lang w:val="en-US"/>
        </w:rPr>
        <w:t xml:space="preserve"> UN Security Council, Res. 1071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346).</w:t>
      </w:r>
    </w:p>
    <w:bookmarkStart w:id="453" w:name="Fn_31_82"/>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"refFn_31_82"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[82]</w:t>
      </w:r>
      <w:r w:rsidRPr="00BE407E">
        <w:rPr>
          <w:rFonts w:ascii="Times New Roman" w:eastAsia="Times New Roman" w:hAnsi="Times New Roman" w:cs="Times New Roman"/>
          <w:sz w:val="24"/>
          <w:szCs w:val="24"/>
        </w:rPr>
        <w:fldChar w:fldCharType="end"/>
      </w:r>
      <w:bookmarkEnd w:id="453"/>
      <w:r w:rsidRPr="00BE407E">
        <w:rPr>
          <w:rFonts w:ascii="Times New Roman" w:eastAsia="Times New Roman" w:hAnsi="Times New Roman" w:cs="Times New Roman"/>
          <w:sz w:val="24"/>
          <w:szCs w:val="24"/>
          <w:lang w:val="en-US"/>
        </w:rPr>
        <w:t xml:space="preserve"> UN Commission on Human Rights, Res. 1998/70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348).</w:t>
      </w:r>
    </w:p>
    <w:bookmarkStart w:id="454" w:name="Fn_31_83"/>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lang w:val="en-US"/>
        </w:rPr>
        <w:instrText xml:space="preserve"> HYPERLINK "https://ihl-databases.icrc.org/customary-ihl/eng/docs/v1_rul_rule150" \l "refFn_31_83"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lang w:val="en-US"/>
        </w:rPr>
        <w:t>[83]</w:t>
      </w:r>
      <w:r w:rsidRPr="00BE407E">
        <w:rPr>
          <w:rFonts w:ascii="Times New Roman" w:eastAsia="Times New Roman" w:hAnsi="Times New Roman" w:cs="Times New Roman"/>
          <w:sz w:val="24"/>
          <w:szCs w:val="24"/>
        </w:rPr>
        <w:fldChar w:fldCharType="end"/>
      </w:r>
      <w:bookmarkEnd w:id="454"/>
      <w:r w:rsidRPr="00BE407E">
        <w:rPr>
          <w:rFonts w:ascii="Times New Roman" w:eastAsia="Times New Roman" w:hAnsi="Times New Roman" w:cs="Times New Roman"/>
          <w:sz w:val="24"/>
          <w:szCs w:val="24"/>
          <w:lang w:val="en-US"/>
        </w:rPr>
        <w:t xml:space="preserve"> UN Secretary-General, Report on the causes of conflict and the promotion of durable peace and sustainable development in Africa (</w:t>
      </w:r>
      <w:r w:rsidRPr="00BE407E">
        <w:rPr>
          <w:rFonts w:ascii="Times New Roman" w:eastAsia="Times New Roman" w:hAnsi="Times New Roman" w:cs="Times New Roman"/>
          <w:i/>
          <w:iCs/>
          <w:sz w:val="24"/>
          <w:szCs w:val="24"/>
          <w:lang w:val="en-US"/>
        </w:rPr>
        <w:t>ibid.</w:t>
      </w:r>
      <w:r w:rsidRPr="00BE407E">
        <w:rPr>
          <w:rFonts w:ascii="Times New Roman" w:eastAsia="Times New Roman" w:hAnsi="Times New Roman" w:cs="Times New Roman"/>
          <w:sz w:val="24"/>
          <w:szCs w:val="24"/>
          <w:lang w:val="en-US"/>
        </w:rPr>
        <w:t>, § 258).</w:t>
      </w:r>
    </w:p>
    <w:p w:rsidR="00490E70" w:rsidRPr="00530144" w:rsidRDefault="00490E70" w:rsidP="00490E70">
      <w:pPr>
        <w:rPr>
          <w:lang w:val="en-US"/>
        </w:rPr>
      </w:pPr>
    </w:p>
    <w:p w:rsidR="004D5C23" w:rsidRDefault="004D5C23">
      <w:pPr>
        <w:rPr>
          <w:lang w:val="en-US"/>
        </w:rPr>
      </w:pP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Practice Relating to Rule 150. Reparation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Note:</w:t>
      </w:r>
      <w:r w:rsidRPr="00BE407E">
        <w:rPr>
          <w:rFonts w:ascii="Times New Roman" w:eastAsia="Times New Roman" w:hAnsi="Times New Roman" w:cs="Times New Roman"/>
          <w:i/>
          <w:iCs/>
          <w:sz w:val="24"/>
          <w:szCs w:val="24"/>
        </w:rPr>
        <w:t xml:space="preserve"> Whilst it is too early to conclude on any rules of customary IHL on the matter, examples of practice on reparation by armed groups party to an armed conflict are included under Section B, and examples of practice on reparation by international organizations that are a party to an armed conflict are included under Section C. These sections have not been systematically researched thus far.</w:t>
      </w:r>
    </w:p>
    <w:p w:rsidR="00BE407E" w:rsidRPr="00BE407E" w:rsidRDefault="00BE407E" w:rsidP="00BE407E">
      <w:pPr>
        <w:spacing w:after="0" w:line="240" w:lineRule="auto"/>
        <w:rPr>
          <w:rFonts w:ascii="Times New Roman" w:eastAsia="Times New Roman" w:hAnsi="Times New Roman" w:cs="Times New Roman"/>
          <w:sz w:val="24"/>
          <w:szCs w:val="24"/>
        </w:rPr>
      </w:pPr>
      <w:hyperlink r:id="rId83" w:history="1">
        <w:r w:rsidRPr="00BE407E">
          <w:rPr>
            <w:rFonts w:ascii="Times New Roman" w:eastAsia="Times New Roman" w:hAnsi="Times New Roman" w:cs="Times New Roman"/>
            <w:color w:val="0000FF"/>
            <w:sz w:val="24"/>
            <w:szCs w:val="24"/>
            <w:u w:val="single"/>
          </w:rPr>
          <w:t>Section A. General</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Quick navigation</w:t>
      </w:r>
    </w:p>
    <w:p w:rsidR="00BE407E" w:rsidRPr="00BE407E" w:rsidRDefault="00BE407E" w:rsidP="00BE407E">
      <w:pPr>
        <w:spacing w:after="0" w:line="240" w:lineRule="auto"/>
        <w:rPr>
          <w:rFonts w:ascii="Times New Roman" w:eastAsia="Times New Roman" w:hAnsi="Times New Roman" w:cs="Times New Roman"/>
          <w:sz w:val="24"/>
          <w:szCs w:val="24"/>
        </w:rPr>
      </w:pPr>
      <w:hyperlink r:id="rId84" w:history="1">
        <w:r w:rsidRPr="00BE407E">
          <w:rPr>
            <w:rFonts w:ascii="Times New Roman" w:eastAsia="Times New Roman" w:hAnsi="Times New Roman" w:cs="Times New Roman"/>
            <w:color w:val="0000FF"/>
            <w:sz w:val="24"/>
            <w:szCs w:val="24"/>
            <w:u w:val="single"/>
          </w:rPr>
          <w:t xml:space="preserve">I. Treaties </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Paris Agreement on Reparation from 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1946 Paris Agreement on Reparation from Germany was concluded</w:t>
      </w:r>
      <w:r w:rsidRPr="00BE407E">
        <w:rPr>
          <w:rFonts w:ascii="Times New Roman" w:eastAsia="Times New Roman" w:hAnsi="Times New Roman" w:cs="Times New Roman"/>
          <w:sz w:val="24"/>
          <w:szCs w:val="24"/>
        </w:rPr>
        <w:br/>
        <w:t>in order to obtain an equitable distribution among [the signatory governments] of the total assets which … are or may be declared to be available as reparation from Germany … in order to establish an Inter-Allied Reparation Agency, and to settle an equitable procedure for the restitution of monetary gold.</w:t>
      </w:r>
      <w:r>
        <w:rPr>
          <w:rFonts w:ascii="Times New Roman" w:eastAsia="Times New Roman" w:hAnsi="Times New Roman" w:cs="Times New Roman"/>
          <w:noProof/>
          <w:sz w:val="24"/>
          <w:szCs w:val="24"/>
        </w:rPr>
        <w:drawing>
          <wp:inline distT="0" distB="0" distL="0" distR="0">
            <wp:extent cx="151130" cy="142875"/>
            <wp:effectExtent l="19050" t="0" r="1270" b="0"/>
            <wp:docPr id="2785" name="Imagen 27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Paris Agreement on Reparation from Germany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2(A) of Part I of the 1946 Paris Agreement on Reparation from Germany states:</w:t>
      </w:r>
      <w:r w:rsidRPr="00BE407E">
        <w:rPr>
          <w:rFonts w:ascii="Times New Roman" w:eastAsia="Times New Roman" w:hAnsi="Times New Roman" w:cs="Times New Roman"/>
          <w:sz w:val="24"/>
          <w:szCs w:val="24"/>
        </w:rPr>
        <w:br/>
        <w:t xml:space="preserve">The Signatory Governments agree among themselves that their respective shares of reparation, as determined by the present Agreement, shall be regarded by each of them as covering all its claims and those of its nationals against the former German </w:t>
      </w:r>
      <w:r w:rsidRPr="00BE407E">
        <w:rPr>
          <w:rFonts w:ascii="Times New Roman" w:eastAsia="Times New Roman" w:hAnsi="Times New Roman" w:cs="Times New Roman"/>
          <w:sz w:val="24"/>
          <w:szCs w:val="24"/>
        </w:rPr>
        <w:lastRenderedPageBreak/>
        <w:t>Government and its Agencies, of a governmental or private nature, arising out of the war (which are not otherwise provided for).</w:t>
      </w:r>
      <w:r>
        <w:rPr>
          <w:rFonts w:ascii="Times New Roman" w:eastAsia="Times New Roman" w:hAnsi="Times New Roman" w:cs="Times New Roman"/>
          <w:noProof/>
          <w:sz w:val="24"/>
          <w:szCs w:val="24"/>
        </w:rPr>
        <w:drawing>
          <wp:inline distT="0" distB="0" distL="0" distR="0">
            <wp:extent cx="151130" cy="142875"/>
            <wp:effectExtent l="19050" t="0" r="1270" b="0"/>
            <wp:docPr id="2786" name="Imagen 27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Article 8 of Part I of the 1946 Paris Agreement on Reparation from Germany contains provisions regarding the allocation of a reparation share to non-repatriable victims of German action. Article 8(I) provides: </w:t>
      </w:r>
      <w:r w:rsidRPr="00BE407E">
        <w:rPr>
          <w:rFonts w:ascii="Times New Roman" w:eastAsia="Times New Roman" w:hAnsi="Times New Roman" w:cs="Times New Roman"/>
          <w:sz w:val="24"/>
          <w:szCs w:val="24"/>
        </w:rPr>
        <w:br/>
        <w:t>Nothing in this Article shall be considered to prejudice the claims which individual refugees may have against a future German Government, except to the amount of the benefits that such refugees may have received from the sources referred to … above.</w:t>
      </w:r>
      <w:r>
        <w:rPr>
          <w:rFonts w:ascii="Times New Roman" w:eastAsia="Times New Roman" w:hAnsi="Times New Roman" w:cs="Times New Roman"/>
          <w:noProof/>
          <w:sz w:val="24"/>
          <w:szCs w:val="24"/>
        </w:rPr>
        <w:drawing>
          <wp:inline distT="0" distB="0" distL="0" distR="0">
            <wp:extent cx="151130" cy="142875"/>
            <wp:effectExtent l="19050" t="0" r="1270" b="0"/>
            <wp:docPr id="2787" name="Imagen 27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Austrian State Treaty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21 of the 1955 Austrian State Treaty, which in its preamble considers that “on 13 March 1938, Hitlerite Germany annexed Austria by force and incorporated its territory in the German Reich”, provides: “No reparation shall be exacted from Austria arising out of the existence of a state of war in Europe after 1 September 1939.”</w:t>
      </w:r>
      <w:r>
        <w:rPr>
          <w:rFonts w:ascii="Times New Roman" w:eastAsia="Times New Roman" w:hAnsi="Times New Roman" w:cs="Times New Roman"/>
          <w:noProof/>
          <w:sz w:val="24"/>
          <w:szCs w:val="24"/>
        </w:rPr>
        <w:drawing>
          <wp:inline distT="0" distB="0" distL="0" distR="0">
            <wp:extent cx="151130" cy="142875"/>
            <wp:effectExtent l="19050" t="0" r="1270" b="0"/>
            <wp:docPr id="2788" name="Imagen 27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Joint Declaration on Soviet-Japanese Relations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6 of the 1956 Joint Declaration on Soviet-Japanese Relations provides:</w:t>
      </w:r>
      <w:r w:rsidRPr="00BE407E">
        <w:rPr>
          <w:rFonts w:ascii="Times New Roman" w:eastAsia="Times New Roman" w:hAnsi="Times New Roman" w:cs="Times New Roman"/>
          <w:sz w:val="24"/>
          <w:szCs w:val="24"/>
        </w:rPr>
        <w:br/>
        <w:t>The Union of Soviet Socialist Republics renounces all reparation claims against Japan. The USSR and Japan agree to renounce all claims by either State, its institutions or citizens, against the other State, its institutions or citizens, which have arisen as a result of the war since 9 August 1945.</w:t>
      </w:r>
      <w:r>
        <w:rPr>
          <w:rFonts w:ascii="Times New Roman" w:eastAsia="Times New Roman" w:hAnsi="Times New Roman" w:cs="Times New Roman"/>
          <w:noProof/>
          <w:sz w:val="24"/>
          <w:szCs w:val="24"/>
        </w:rPr>
        <w:drawing>
          <wp:inline distT="0" distB="0" distL="0" distR="0">
            <wp:extent cx="151130" cy="142875"/>
            <wp:effectExtent l="19050" t="0" r="1270" b="0"/>
            <wp:docPr id="2789" name="Imagen 27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ICC Statute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Article 75 of the 1998 ICC Statute provides: </w:t>
      </w:r>
      <w:r w:rsidRPr="00BE407E">
        <w:rPr>
          <w:rFonts w:ascii="Times New Roman" w:eastAsia="Times New Roman" w:hAnsi="Times New Roman" w:cs="Times New Roman"/>
          <w:sz w:val="24"/>
          <w:szCs w:val="24"/>
        </w:rPr>
        <w:br/>
        <w:t xml:space="preserve">1. The Court shall establish principles relating to reparations to, or in respect of, victims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6. Nothing in this article shall be interpreted as prejudicing the rights of victims under national or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790" name="Imagen 27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Second Protocol to the Hague Convention for the Protection of Cultural Property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38 of the 1999 Second Protocol to the Hague Convention for the Protection of Cultural Property provides: “No provision in this Protocol relating to individual criminal responsibility shall affect the responsibility of States under international law, including the duty to provide reparation.”</w:t>
      </w:r>
      <w:r>
        <w:rPr>
          <w:rFonts w:ascii="Times New Roman" w:eastAsia="Times New Roman" w:hAnsi="Times New Roman" w:cs="Times New Roman"/>
          <w:noProof/>
          <w:sz w:val="24"/>
          <w:szCs w:val="24"/>
        </w:rPr>
        <w:drawing>
          <wp:inline distT="0" distB="0" distL="0" distR="0">
            <wp:extent cx="151130" cy="142875"/>
            <wp:effectExtent l="19050" t="0" r="1270" b="0"/>
            <wp:docPr id="2791" name="Imagen 27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Convention on Enforced Disappearance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2006 Convention on Enforced Disappearance provides: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Recalling </w:t>
      </w:r>
      <w:r w:rsidRPr="00BE407E">
        <w:rPr>
          <w:rFonts w:ascii="Times New Roman" w:eastAsia="Times New Roman" w:hAnsi="Times New Roman" w:cs="Times New Roman"/>
          <w:sz w:val="24"/>
          <w:szCs w:val="24"/>
        </w:rPr>
        <w:t>… relevant international instruments in the fields of human rights, humanitarian law and international criminal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Considering </w:t>
      </w:r>
      <w:r w:rsidRPr="00BE407E">
        <w:rPr>
          <w:rFonts w:ascii="Times New Roman" w:eastAsia="Times New Roman" w:hAnsi="Times New Roman" w:cs="Times New Roman"/>
          <w:sz w:val="24"/>
          <w:szCs w:val="24"/>
        </w:rPr>
        <w:t>the right of … victims [of enforced disappearance] to justice and to reparation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Article 24</w:t>
      </w:r>
      <w:r w:rsidRPr="00BE407E">
        <w:rPr>
          <w:rFonts w:ascii="Times New Roman" w:eastAsia="Times New Roman" w:hAnsi="Times New Roman" w:cs="Times New Roman"/>
          <w:sz w:val="24"/>
          <w:szCs w:val="24"/>
        </w:rPr>
        <w:br/>
        <w:t>1. For the purposes of this Convention, “victim” means the disappeared person and any individual who has suffered harm as the direct result of an enforced disappearance.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4. Each State Party shall ensure in its legal system that the victims of enforced disappearance have the right to obtain reparation and prompt, fair and adequate compensation.</w:t>
      </w:r>
      <w:r w:rsidRPr="00BE407E">
        <w:rPr>
          <w:rFonts w:ascii="Times New Roman" w:eastAsia="Times New Roman" w:hAnsi="Times New Roman" w:cs="Times New Roman"/>
          <w:sz w:val="24"/>
          <w:szCs w:val="24"/>
        </w:rPr>
        <w:br/>
        <w:t>5. The right to obtain reparation referred to in paragraph 4 of this article covers material and moral damages and, where appropriate, other forms of reparation such as: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Restitution;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Rehabilitation;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xml:space="preserve"> Satisfaction, including restoration of dignity and reputation;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lastRenderedPageBreak/>
        <w:t>(d)</w:t>
      </w:r>
      <w:r w:rsidRPr="00BE407E">
        <w:rPr>
          <w:rFonts w:ascii="Times New Roman" w:eastAsia="Times New Roman" w:hAnsi="Times New Roman" w:cs="Times New Roman"/>
          <w:sz w:val="24"/>
          <w:szCs w:val="24"/>
        </w:rPr>
        <w:t xml:space="preserve"> Guarantees of non-repetition.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6. Without prejudice to the obligation to continue the investigation until the fate of the disappeared person has been clarified, each State Party shall take the appropriate steps with regard to the legal situation of disappeared persons whose fate has not been clarified and that of their relatives, in fields such as social welfare, financial matters, family law and property rights.</w:t>
      </w:r>
      <w:r w:rsidRPr="00BE407E">
        <w:rPr>
          <w:rFonts w:ascii="Times New Roman" w:eastAsia="Times New Roman" w:hAnsi="Times New Roman" w:cs="Times New Roman"/>
          <w:sz w:val="24"/>
          <w:szCs w:val="24"/>
        </w:rPr>
        <w:br/>
        <w:t>7. Each State Party shall guarantee the right to form and participate freely in organizations and associations concerned with attempting to establish the circumstances of enforced disappearances and the fate of disappeared persons, and to assist victims of enforced disappearance.</w:t>
      </w:r>
      <w:r>
        <w:rPr>
          <w:rFonts w:ascii="Times New Roman" w:eastAsia="Times New Roman" w:hAnsi="Times New Roman" w:cs="Times New Roman"/>
          <w:noProof/>
          <w:sz w:val="24"/>
          <w:szCs w:val="24"/>
        </w:rPr>
        <w:drawing>
          <wp:inline distT="0" distB="0" distL="0" distR="0">
            <wp:extent cx="151130" cy="142875"/>
            <wp:effectExtent l="19050" t="0" r="1270" b="0"/>
            <wp:docPr id="2792" name="Imagen 27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85" w:history="1">
        <w:r w:rsidRPr="00BE407E">
          <w:rPr>
            <w:rFonts w:ascii="Times New Roman" w:eastAsia="Times New Roman" w:hAnsi="Times New Roman" w:cs="Times New Roman"/>
            <w:color w:val="0000FF"/>
            <w:sz w:val="24"/>
            <w:szCs w:val="24"/>
            <w:u w:val="single"/>
          </w:rPr>
          <w:t>II. Other Instruments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Basic Principles and Guidelines on the Right to a Remedy and Reparation for Victims of Violations of International Human Rights and Humanitarian Law (2000)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 of the 2000 Basic Principles and Guidelines on the Right to a Remedy and Reparation for Victims of Violations of International Human Rights and Humanitarian Law provides: “States shall ensure that domestic law is consistent with international legal obligations by: … making available adequate, effective and prompt reparation.”</w:t>
      </w:r>
      <w:r>
        <w:rPr>
          <w:rFonts w:ascii="Times New Roman" w:eastAsia="Times New Roman" w:hAnsi="Times New Roman" w:cs="Times New Roman"/>
          <w:noProof/>
          <w:sz w:val="24"/>
          <w:szCs w:val="24"/>
        </w:rPr>
        <w:drawing>
          <wp:inline distT="0" distB="0" distL="0" distR="0">
            <wp:extent cx="151130" cy="142875"/>
            <wp:effectExtent l="19050" t="0" r="1270" b="0"/>
            <wp:docPr id="2793" name="Imagen 27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3 of the 2000 Basic Principles and Guidelines on the Right to a Remedy and Reparation for Victims of Violations of International Human Rights and Humanitarian Law provides:</w:t>
      </w:r>
      <w:r w:rsidRPr="00BE407E">
        <w:rPr>
          <w:rFonts w:ascii="Times New Roman" w:eastAsia="Times New Roman" w:hAnsi="Times New Roman" w:cs="Times New Roman"/>
          <w:sz w:val="24"/>
          <w:szCs w:val="24"/>
        </w:rPr>
        <w:br/>
        <w:t xml:space="preserve">The obligation to respect, ensure respect for and enforce international … humanitarian law includes,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a State’s duty to: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Afford appropriate remedies to victims;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 Provide for or facilitate reparation to victims.</w:t>
      </w:r>
      <w:r>
        <w:rPr>
          <w:rFonts w:ascii="Times New Roman" w:eastAsia="Times New Roman" w:hAnsi="Times New Roman" w:cs="Times New Roman"/>
          <w:noProof/>
          <w:sz w:val="24"/>
          <w:szCs w:val="24"/>
        </w:rPr>
        <w:drawing>
          <wp:inline distT="0" distB="0" distL="0" distR="0">
            <wp:extent cx="151130" cy="142875"/>
            <wp:effectExtent l="19050" t="0" r="1270" b="0"/>
            <wp:docPr id="2794" name="Imagen 27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ILC Draft Articles on State Responsibility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31 of the 2001 ILC Draft Articles on State Responsibility provides:</w:t>
      </w:r>
      <w:r w:rsidRPr="00BE407E">
        <w:rPr>
          <w:rFonts w:ascii="Times New Roman" w:eastAsia="Times New Roman" w:hAnsi="Times New Roman" w:cs="Times New Roman"/>
          <w:sz w:val="24"/>
          <w:szCs w:val="24"/>
        </w:rPr>
        <w:br/>
        <w:t>1. The responsible State is under an obligation to make full reparation for the injury caused by the internationally wrongful act.</w:t>
      </w:r>
      <w:r w:rsidRPr="00BE407E">
        <w:rPr>
          <w:rFonts w:ascii="Times New Roman" w:eastAsia="Times New Roman" w:hAnsi="Times New Roman" w:cs="Times New Roman"/>
          <w:sz w:val="24"/>
          <w:szCs w:val="24"/>
        </w:rPr>
        <w:br/>
        <w:t>2. Injury includes any damage, whether material or moral, caused by the internationally wrongful act of a State.</w:t>
      </w:r>
      <w:r>
        <w:rPr>
          <w:rFonts w:ascii="Times New Roman" w:eastAsia="Times New Roman" w:hAnsi="Times New Roman" w:cs="Times New Roman"/>
          <w:noProof/>
          <w:sz w:val="24"/>
          <w:szCs w:val="24"/>
        </w:rPr>
        <w:drawing>
          <wp:inline distT="0" distB="0" distL="0" distR="0">
            <wp:extent cx="151130" cy="142875"/>
            <wp:effectExtent l="19050" t="0" r="1270" b="0"/>
            <wp:docPr id="2795" name="Imagen 27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Basic Principles and Guidelines on the Right to a Remedy and Reparation for Victims of Gross Violations of International Human Rights Law and Serious Violations of IHL (2005)</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Paragraphs 8, 9, 11 to 17 and 24 of the 2005 Basic Principles and Guidelines on the Right to a Remedy and Reparation for Victims of Gross Violations of International Human Rights Law and Serious Violations of International Humanitarian Law state:</w:t>
      </w:r>
      <w:r w:rsidRPr="00BE407E">
        <w:rPr>
          <w:rFonts w:ascii="Times New Roman" w:eastAsia="Times New Roman" w:hAnsi="Times New Roman" w:cs="Times New Roman"/>
          <w:sz w:val="24"/>
          <w:szCs w:val="24"/>
        </w:rPr>
        <w:br/>
        <w:t xml:space="preserve">8. For purposes of the present document, victims are persons who individually or collectively suffered harm, including physical or mental injury, emotional suffering, economic loss or substantial impairment of their fundamental rights, through acts or omissions that constitute gross violations of international human rights law, or serious violations of international humanitarian law. Where appropriate, and in accordance with domestic law, the term “victim” also includes the immediate family or dependants of the direct victim and persons who have suffered harm in intervening to assist victims in distress or to prevent victimization. </w:t>
      </w:r>
      <w:r w:rsidRPr="00BE407E">
        <w:rPr>
          <w:rFonts w:ascii="Times New Roman" w:eastAsia="Times New Roman" w:hAnsi="Times New Roman" w:cs="Times New Roman"/>
          <w:sz w:val="24"/>
          <w:szCs w:val="24"/>
        </w:rPr>
        <w:br/>
        <w:t>9. A person shall be considered a victim regardless of whether the perpetrator of the violation is identified, apprehended, prosecuted, or convicted and regardless of the familial relationship between the perpetrator and the victim.</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VII. Victims’ right to remedies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11. Remedies for gross violations of international human rights law and serious violations of international humanitarian law include the victim’s right to the following as provided for under international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Equal and effective access to justice;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Adequate, effective and prompt reparation for harm suffered;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Access to relevant information concerning violations and reparation mechanisms.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VIII. Access to justice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12. A victim of a gross violation of international human rights law or of a serious violation of international humanitarian law shall have equal access to an effective judicial remedy as provided for under international law. Other remedies available to the victim include access to administrative and other bodies, as well as mechanisms, modalities and proceedings conducted in accordance with domestic law. Obligations arising under international law to secure the right to access justice and fair and impartial proceedings shall be reflected in domestic laws. To that end, States should: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Disseminate, through public and private mechanisms, information about all available remedies for gross violations of international human rights law and serious violations of international humanitarian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Take measures to minimize the inconvenience to victims and their representatives, protect against unlawful interference with their privacy as appropriate and ensure their safety from intimidation and retaliation, as well as that of their families and witnesses, before, during and after judicial, administrative, or other proceedings that affect the interests of victims;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Provide proper assistance to victims seeking access to justice;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d</w:t>
      </w:r>
      <w:r w:rsidRPr="00BE407E">
        <w:rPr>
          <w:rFonts w:ascii="Times New Roman" w:eastAsia="Times New Roman" w:hAnsi="Times New Roman" w:cs="Times New Roman"/>
          <w:sz w:val="24"/>
          <w:szCs w:val="24"/>
        </w:rPr>
        <w:t>) Make available all appropriate legal, diplomatic and consular means to ensure that victims can exercise their rights to remedy for gross violations of international human rights law or serious violations of international humanitarian law.</w:t>
      </w:r>
      <w:r w:rsidRPr="00BE407E">
        <w:rPr>
          <w:rFonts w:ascii="Times New Roman" w:eastAsia="Times New Roman" w:hAnsi="Times New Roman" w:cs="Times New Roman"/>
          <w:sz w:val="24"/>
          <w:szCs w:val="24"/>
        </w:rPr>
        <w:br/>
        <w:t>13. In addition to individual access to justice, States should endeavour to develop procedures to allow groups of victims to present claims for reparation and to receive reparation, as appropriate.</w:t>
      </w:r>
      <w:r w:rsidRPr="00BE407E">
        <w:rPr>
          <w:rFonts w:ascii="Times New Roman" w:eastAsia="Times New Roman" w:hAnsi="Times New Roman" w:cs="Times New Roman"/>
          <w:sz w:val="24"/>
          <w:szCs w:val="24"/>
        </w:rPr>
        <w:br/>
        <w:t>14. An adequate, effective and prompt remedy for gross violations of international human rights law or serious violations of international humanitarian law should include all available and appropriate international processes in which a person may have legal standing and should be without prejudice to any other domestic remedies.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IX. Reparation for harm suffered</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15. Adequate, effective and prompt reparation is intended to promote justice by redressing gross violations of international human rights law or serious violations of international humanitarian law. Reparation should be proportional to the gravity of the violations and the harm suffered. In accordance with its domestic laws and international legal obligations, a State shall provide reparation to victims for acts or omissions which can be attributed to the State and constitute gross violations of international human rights law or serious violations of international humanitarian law. In cases where a person, a legal person, or other entity is found liable for reparation to a victim, such party should provide reparation to the victim or compensate the State if the State has already provided reparation to the victim.</w:t>
      </w:r>
      <w:r w:rsidRPr="00BE407E">
        <w:rPr>
          <w:rFonts w:ascii="Times New Roman" w:eastAsia="Times New Roman" w:hAnsi="Times New Roman" w:cs="Times New Roman"/>
          <w:sz w:val="24"/>
          <w:szCs w:val="24"/>
        </w:rPr>
        <w:br/>
        <w:t>16. States should endeavour to establish national programmes for reparation and other assistance to victims in the event that the parties liable for the harm suffered are unable or unwilling to meet their obligations.</w:t>
      </w:r>
      <w:r w:rsidRPr="00BE407E">
        <w:rPr>
          <w:rFonts w:ascii="Times New Roman" w:eastAsia="Times New Roman" w:hAnsi="Times New Roman" w:cs="Times New Roman"/>
          <w:sz w:val="24"/>
          <w:szCs w:val="24"/>
        </w:rPr>
        <w:br/>
        <w:t xml:space="preserve">17. States shall, with respect to claims by victims, enforce domestic judgements for </w:t>
      </w:r>
      <w:r w:rsidRPr="00BE407E">
        <w:rPr>
          <w:rFonts w:ascii="Times New Roman" w:eastAsia="Times New Roman" w:hAnsi="Times New Roman" w:cs="Times New Roman"/>
          <w:sz w:val="24"/>
          <w:szCs w:val="24"/>
        </w:rPr>
        <w:lastRenderedPageBreak/>
        <w:t>reparation against individuals or entities liable for the harm suffered and endeavour to enforce valid foreign legal judgements for reparation in accordance with domestic law and international legal obligations. To that end, States should provide under their domestic laws effective mechanisms for the enforcement of reparation judgements.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X. Access to relevant information concerning violations and reparation mechanisms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24. States should develop means of informing the general public and, in particular, victims of gross violations of international human rights law and serious violations of international humanitarian law of the rights and remedies addressed by these Basic Principles and Guidelines and of all available legal, medical, psychological, social, administrative and all other services to which victims may have a right of access. Moreover, victims and their representatives should be entitled to seek and obtain information on the causes leading to their victimization and on the causes and conditions pertaining to the gross violations of international human rights law and serious violations of international humanitarian law and to learn the truth in regard to these violations.</w:t>
      </w:r>
      <w:r>
        <w:rPr>
          <w:rFonts w:ascii="Times New Roman" w:eastAsia="Times New Roman" w:hAnsi="Times New Roman" w:cs="Times New Roman"/>
          <w:noProof/>
          <w:sz w:val="24"/>
          <w:szCs w:val="24"/>
        </w:rPr>
        <w:drawing>
          <wp:inline distT="0" distB="0" distL="0" distR="0">
            <wp:extent cx="151130" cy="142875"/>
            <wp:effectExtent l="19050" t="0" r="1270" b="0"/>
            <wp:docPr id="2796" name="Imagen 27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86" w:history="1">
        <w:r w:rsidRPr="00BE407E">
          <w:rPr>
            <w:rFonts w:ascii="Times New Roman" w:eastAsia="Times New Roman" w:hAnsi="Times New Roman" w:cs="Times New Roman"/>
            <w:color w:val="0000FF"/>
            <w:sz w:val="24"/>
            <w:szCs w:val="24"/>
            <w:u w:val="single"/>
          </w:rPr>
          <w:t>III. Military Manuals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Philippines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Joint Circular on Adherence to IHL and Human Rights (1991) of the Philippines states: </w:t>
      </w:r>
      <w:r w:rsidRPr="00BE407E">
        <w:rPr>
          <w:rFonts w:ascii="Times New Roman" w:eastAsia="Times New Roman" w:hAnsi="Times New Roman" w:cs="Times New Roman"/>
          <w:sz w:val="24"/>
          <w:szCs w:val="24"/>
        </w:rPr>
        <w:br/>
        <w:t>If, in the course of legitimate security/police operations, private properties are damaged, measures shall be undertaken whenever practicable, utilizing available unit’s manpower and equipment, to repair the damage caused as a matter of AFP/PNP [Armed Forces of the Philippines/Philippine National Police] Civic Action Policy.</w:t>
      </w:r>
      <w:r>
        <w:rPr>
          <w:rFonts w:ascii="Times New Roman" w:eastAsia="Times New Roman" w:hAnsi="Times New Roman" w:cs="Times New Roman"/>
          <w:noProof/>
          <w:sz w:val="24"/>
          <w:szCs w:val="24"/>
        </w:rPr>
        <w:drawing>
          <wp:inline distT="0" distB="0" distL="0" distR="0">
            <wp:extent cx="151130" cy="142875"/>
            <wp:effectExtent l="19050" t="0" r="1270" b="0"/>
            <wp:docPr id="2797" name="Imagen 27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Philippine Army Soldier’s Handbook on Human Rights and International Humanitarian Law (2006) provides: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During combat operation:</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12. </w:t>
      </w:r>
      <w:r w:rsidRPr="00BE407E">
        <w:rPr>
          <w:rFonts w:ascii="Times New Roman" w:eastAsia="Times New Roman" w:hAnsi="Times New Roman" w:cs="Times New Roman"/>
          <w:i/>
          <w:iCs/>
          <w:sz w:val="24"/>
          <w:szCs w:val="24"/>
        </w:rPr>
        <w:t>Avoid destroying crops, properties and possessions</w:t>
      </w:r>
      <w:r w:rsidRPr="00BE407E">
        <w:rPr>
          <w:rFonts w:ascii="Times New Roman" w:eastAsia="Times New Roman" w:hAnsi="Times New Roman" w:cs="Times New Roman"/>
          <w:sz w:val="24"/>
          <w:szCs w:val="24"/>
        </w:rPr>
        <w:t>. During military operations, avoid damaging plants and properties along the way. Avoid using incendiary that […] would set fire combustible materials such as “sawali,” “nipa” and other indigenous materials usually used for huts in the village. If unavoidable, pay for the damaged properties as soon as the combat operations are over or else repair or replace the damages.</w:t>
      </w:r>
      <w:r>
        <w:rPr>
          <w:rFonts w:ascii="Times New Roman" w:eastAsia="Times New Roman" w:hAnsi="Times New Roman" w:cs="Times New Roman"/>
          <w:noProof/>
          <w:sz w:val="24"/>
          <w:szCs w:val="24"/>
        </w:rPr>
        <w:drawing>
          <wp:inline distT="0" distB="0" distL="0" distR="0">
            <wp:extent cx="151130" cy="142875"/>
            <wp:effectExtent l="19050" t="0" r="1270" b="0"/>
            <wp:docPr id="2798" name="Imagen 27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Kingdom of Great Britain and Northern Ireland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UK LOAC Manual (2004) states:</w:t>
      </w:r>
      <w:r w:rsidRPr="00BE407E">
        <w:rPr>
          <w:rFonts w:ascii="Times New Roman" w:eastAsia="Times New Roman" w:hAnsi="Times New Roman" w:cs="Times New Roman"/>
          <w:sz w:val="24"/>
          <w:szCs w:val="24"/>
        </w:rPr>
        <w:br/>
        <w:t>It is a principle of international law that a state responsible for an internationally wrongful act is obliged to make full reparation for the injury caused by that act. This principle extends to the law of armed conflict in that a state is responsible for violations of the law committed by persons forming part of its armed forces and, if the case demands, is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799" name="Imagen 27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87" w:history="1">
        <w:r w:rsidRPr="00BE407E">
          <w:rPr>
            <w:rFonts w:ascii="Times New Roman" w:eastAsia="Times New Roman" w:hAnsi="Times New Roman" w:cs="Times New Roman"/>
            <w:color w:val="0000FF"/>
            <w:sz w:val="24"/>
            <w:szCs w:val="24"/>
            <w:u w:val="single"/>
          </w:rPr>
          <w:t>IV. National Legislation</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El Salvador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El Salvador’s Decree Creating the National Commission for Tracing Missing Children (2010) states: </w:t>
      </w:r>
      <w:r w:rsidRPr="00BE407E">
        <w:rPr>
          <w:rFonts w:ascii="Times New Roman" w:eastAsia="Times New Roman" w:hAnsi="Times New Roman" w:cs="Times New Roman"/>
          <w:sz w:val="24"/>
          <w:szCs w:val="24"/>
        </w:rPr>
        <w:br/>
        <w:t xml:space="preserve">Art. 1.- The National Commission for Tracing Girls and Boys Missing during the Internal Armed Conflict, which will be referred to as “Commission” or “Tracing </w:t>
      </w:r>
      <w:r w:rsidRPr="00BE407E">
        <w:rPr>
          <w:rFonts w:ascii="Times New Roman" w:eastAsia="Times New Roman" w:hAnsi="Times New Roman" w:cs="Times New Roman"/>
          <w:sz w:val="24"/>
          <w:szCs w:val="24"/>
        </w:rPr>
        <w:lastRenderedPageBreak/>
        <w:t>Commission” hereinafter.</w:t>
      </w:r>
      <w:r w:rsidRPr="00BE407E">
        <w:rPr>
          <w:rFonts w:ascii="Times New Roman" w:eastAsia="Times New Roman" w:hAnsi="Times New Roman" w:cs="Times New Roman"/>
          <w:sz w:val="24"/>
          <w:szCs w:val="24"/>
        </w:rPr>
        <w:br/>
        <w:t xml:space="preserve">… </w:t>
      </w:r>
      <w:r w:rsidRPr="00BE407E">
        <w:rPr>
          <w:rFonts w:ascii="Times New Roman" w:eastAsia="Times New Roman" w:hAnsi="Times New Roman" w:cs="Times New Roman"/>
          <w:sz w:val="24"/>
          <w:szCs w:val="24"/>
        </w:rPr>
        <w:br/>
        <w:t>Art. 3.- The Commission shall have the mandate to: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 Promote coordination with public institutions and the participation of private, national and international, organizations, … to [contribute to] … full reparation [of missing girls and boys].”</w:t>
      </w:r>
      <w:r>
        <w:rPr>
          <w:rFonts w:ascii="Times New Roman" w:eastAsia="Times New Roman" w:hAnsi="Times New Roman" w:cs="Times New Roman"/>
          <w:noProof/>
          <w:sz w:val="24"/>
          <w:szCs w:val="24"/>
        </w:rPr>
        <w:drawing>
          <wp:inline distT="0" distB="0" distL="0" distR="0">
            <wp:extent cx="151130" cy="142875"/>
            <wp:effectExtent l="19050" t="0" r="1270" b="0"/>
            <wp:docPr id="2800" name="Imagen 28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El Salvador’s Decree Creating the National Commission for Reparation to Victims (2010) states:</w:t>
      </w:r>
      <w:r w:rsidRPr="00BE407E">
        <w:rPr>
          <w:rFonts w:ascii="Times New Roman" w:eastAsia="Times New Roman" w:hAnsi="Times New Roman" w:cs="Times New Roman"/>
          <w:sz w:val="24"/>
          <w:szCs w:val="24"/>
        </w:rPr>
        <w:br/>
        <w:t>The “National Commission for Reparation to Victims of Violations of Human Rights that occurred in the context of the internal armed conflict”, hereinafter referred to as the “Commission” is created. … [The Commission’s] aim is to propose to the President of the Republic, through a duly founded report, the establishment of a presidential program for reparation to victims of serious violations of human rights.</w:t>
      </w:r>
      <w:r>
        <w:rPr>
          <w:rFonts w:ascii="Times New Roman" w:eastAsia="Times New Roman" w:hAnsi="Times New Roman" w:cs="Times New Roman"/>
          <w:noProof/>
          <w:sz w:val="24"/>
          <w:szCs w:val="24"/>
        </w:rPr>
        <w:drawing>
          <wp:inline distT="0" distB="0" distL="0" distR="0">
            <wp:extent cx="151130" cy="142875"/>
            <wp:effectExtent l="19050" t="0" r="1270" b="0"/>
            <wp:docPr id="2801" name="Imagen 28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the accomplishment of its functions, the Commission will take into account: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 standards for reparation [to victims] established by international human rights law and the jurisprudence of the Inter-American Court of Human Rights, in particular;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The opinion of Salvadoran non-governmental organizations that represent the interests of the victims of serious violations of human, referred to in article 7 of this Decree;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That reparations must have a collective character;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Previously elaborated reports on the situation of human rights in the country in the context of the internal armed conflict;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 The fiscal, economic and financial situation of the country.</w:t>
      </w:r>
      <w:r>
        <w:rPr>
          <w:rFonts w:ascii="Times New Roman" w:eastAsia="Times New Roman" w:hAnsi="Times New Roman" w:cs="Times New Roman"/>
          <w:noProof/>
          <w:sz w:val="24"/>
          <w:szCs w:val="24"/>
        </w:rPr>
        <w:drawing>
          <wp:inline distT="0" distB="0" distL="0" distR="0">
            <wp:extent cx="151130" cy="142875"/>
            <wp:effectExtent l="19050" t="0" r="1270" b="0"/>
            <wp:docPr id="2802" name="Imagen 28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Commission will exclusively circumscribe its work to the serious violations of human rights that took place in the context of the internal armed conflict, which ended on 16 January 1992 with the signature of the “Chapultepec Agreement” [El Salvador Peace Agreement].</w:t>
      </w:r>
      <w:r w:rsidRPr="00BE407E">
        <w:rPr>
          <w:rFonts w:ascii="Times New Roman" w:eastAsia="Times New Roman" w:hAnsi="Times New Roman" w:cs="Times New Roman"/>
          <w:sz w:val="24"/>
          <w:szCs w:val="24"/>
        </w:rPr>
        <w:br/>
        <w:t>The reparation processes, initiated by the State in fulfilment of the reports or rulings of the competent international or national organisms, will be carried out and completed without prejudice to the fulfilment of the responsibilities that this Decree grants to the Commission.</w:t>
      </w:r>
      <w:r>
        <w:rPr>
          <w:rFonts w:ascii="Times New Roman" w:eastAsia="Times New Roman" w:hAnsi="Times New Roman" w:cs="Times New Roman"/>
          <w:noProof/>
          <w:sz w:val="24"/>
          <w:szCs w:val="24"/>
        </w:rPr>
        <w:drawing>
          <wp:inline distT="0" distB="0" distL="0" distR="0">
            <wp:extent cx="151130" cy="142875"/>
            <wp:effectExtent l="19050" t="0" r="1270" b="0"/>
            <wp:docPr id="2803" name="Imagen 28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Georgia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Georgia’s Law on Occupied Territories (2008) states: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Protection of Human Rights and Cultural Monuments in the Occupied Territories.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3. The responsibility of the Russian Federation, as the State carrying out the military occupation, to reimburse moral and material damages inflicted in the Occupied Territories upon citizens of Georgia, persons without citizenship, and citizens of foreign countries who entered the territory of Georgia and moved to the Occupied Territory … [with] the required permission shall be determined in accordance with the norms and principles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804" name="Imagen 28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Liberia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Liberia’s Act to Establish the Truth and Reconciliation Commission (2005) states: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Preamble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Considering that the civil conflict was generally characterized by gross violations of human rights and the widespread commission of gruesome and heinous crimes against humanity in further violation of international humanitarian laws and standards;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lastRenderedPageBreak/>
        <w:t>Article VII. Functions and Powers</w:t>
      </w:r>
      <w:r w:rsidRPr="00BE407E">
        <w:rPr>
          <w:rFonts w:ascii="Times New Roman" w:eastAsia="Times New Roman" w:hAnsi="Times New Roman" w:cs="Times New Roman"/>
          <w:i/>
          <w:iCs/>
          <w:sz w:val="24"/>
          <w:szCs w:val="24"/>
        </w:rPr>
        <w:br/>
        <w:t xml:space="preserve">Section 26. </w:t>
      </w:r>
      <w:r w:rsidRPr="00BE407E">
        <w:rPr>
          <w:rFonts w:ascii="Times New Roman" w:eastAsia="Times New Roman" w:hAnsi="Times New Roman" w:cs="Times New Roman"/>
          <w:sz w:val="24"/>
          <w:szCs w:val="24"/>
        </w:rPr>
        <w:t>The TRC [Truth and Reconciliation Commission] shall enjoy and exercise such functions and powers as are relevant for the realization of its mandates. Its functions and powers shall include, but not be limited to: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 Making recommendations to the Head of State with regard to … [r]eparations and rehabilitation of victims and perpetrators in need of specialized psycho-social and other rehabilitative services.</w:t>
      </w:r>
      <w:r>
        <w:rPr>
          <w:rFonts w:ascii="Times New Roman" w:eastAsia="Times New Roman" w:hAnsi="Times New Roman" w:cs="Times New Roman"/>
          <w:noProof/>
          <w:sz w:val="24"/>
          <w:szCs w:val="24"/>
        </w:rPr>
        <w:drawing>
          <wp:inline distT="0" distB="0" distL="0" distR="0">
            <wp:extent cx="151130" cy="142875"/>
            <wp:effectExtent l="19050" t="0" r="1270" b="0"/>
            <wp:docPr id="2805" name="Imagen 28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Law Creating the Comprehensive Reparations Plan (2005) states:</w:t>
      </w:r>
      <w:r w:rsidRPr="00BE407E">
        <w:rPr>
          <w:rFonts w:ascii="Times New Roman" w:eastAsia="Times New Roman" w:hAnsi="Times New Roman" w:cs="Times New Roman"/>
          <w:sz w:val="24"/>
          <w:szCs w:val="24"/>
        </w:rPr>
        <w:br/>
        <w:t>The purpose of the present law is to create the legal framework for the Comprehensive Reparations Plan – CRP for victims of the violence that took place between May 1980 and November 2000 in accordance with the conclusions and recommendations in the report of the Truth and Reconciliation Commission.</w:t>
      </w:r>
      <w:r>
        <w:rPr>
          <w:rFonts w:ascii="Times New Roman" w:eastAsia="Times New Roman" w:hAnsi="Times New Roman" w:cs="Times New Roman"/>
          <w:noProof/>
          <w:sz w:val="24"/>
          <w:szCs w:val="24"/>
        </w:rPr>
        <w:drawing>
          <wp:inline distT="0" distB="0" distL="0" distR="0">
            <wp:extent cx="151130" cy="142875"/>
            <wp:effectExtent l="19050" t="0" r="1270" b="0"/>
            <wp:docPr id="2806" name="Imagen 28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For purposes of the present law, beneficiary is the victim, relatives of the victims or groups who … were subjected to a violation of their human rights on an individual basis and those who experienced harm to the social fabric [of their community] by being subjected to a violation of their collective rights[. They] … shall benefit from the Comprehensive Reparations Plan recommended by the Truth and Reconciliation Commission.</w:t>
      </w:r>
      <w:r>
        <w:rPr>
          <w:rFonts w:ascii="Times New Roman" w:eastAsia="Times New Roman" w:hAnsi="Times New Roman" w:cs="Times New Roman"/>
          <w:noProof/>
          <w:sz w:val="24"/>
          <w:szCs w:val="24"/>
        </w:rPr>
        <w:drawing>
          <wp:inline distT="0" distB="0" distL="0" distR="0">
            <wp:extent cx="151130" cy="142875"/>
            <wp:effectExtent l="19050" t="0" r="1270" b="0"/>
            <wp:docPr id="2807" name="Imagen 28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For purposes of the present law, victims are considered to be persons or groups of persons who have experienced acts or omissions that constitute human rights violations such as enforced disappearance, kidnapping, extrajudicial execution, murder, forced displacement, arbitrary detention, forced recruitment, torture, rape or killings, as well as the relatives of persons who died or disappeared within the timeframe stipulated by Article 1 of the present law.</w:t>
      </w:r>
      <w:r>
        <w:rPr>
          <w:rFonts w:ascii="Times New Roman" w:eastAsia="Times New Roman" w:hAnsi="Times New Roman" w:cs="Times New Roman"/>
          <w:noProof/>
          <w:sz w:val="24"/>
          <w:szCs w:val="24"/>
        </w:rPr>
        <w:drawing>
          <wp:inline distT="0" distB="0" distL="0" distR="0">
            <wp:extent cx="151130" cy="142875"/>
            <wp:effectExtent l="19050" t="0" r="1270" b="0"/>
            <wp:docPr id="2808" name="Imagen 28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Regulations to the Law Creating the Comprehensive Reparations Plan (2006) state: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Reparations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are actions taken by the State for the benefit of the victims of the process of violence mentioned in Article 3 of the Law [Creating the Comprehensive Reparations Plan] in order to explicitly recognize them as victims. [Such actions have the objective] of providing the victims with access to justice, restitution of their rights, the resolution of after-effects of human rights violations as well as material and moral reparation, be it specific or symbolic, for the harm suffered.</w:t>
      </w:r>
      <w:r>
        <w:rPr>
          <w:rFonts w:ascii="Times New Roman" w:eastAsia="Times New Roman" w:hAnsi="Times New Roman" w:cs="Times New Roman"/>
          <w:noProof/>
          <w:sz w:val="24"/>
          <w:szCs w:val="24"/>
        </w:rPr>
        <w:drawing>
          <wp:inline distT="0" distB="0" distL="0" distR="0">
            <wp:extent cx="151130" cy="142875"/>
            <wp:effectExtent l="19050" t="0" r="1270" b="0"/>
            <wp:docPr id="2809" name="Imagen 28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State action regarding reparations shall be based on concurrent and specific actions carried out by State entities and shall be aimed at promoting programmes of reparations that allow victims of the process of violence to obtain restitution for the rights violations they experienced during the internal armed conflict.</w:t>
      </w:r>
      <w:r>
        <w:rPr>
          <w:rFonts w:ascii="Times New Roman" w:eastAsia="Times New Roman" w:hAnsi="Times New Roman" w:cs="Times New Roman"/>
          <w:noProof/>
          <w:sz w:val="24"/>
          <w:szCs w:val="24"/>
        </w:rPr>
        <w:drawing>
          <wp:inline distT="0" distB="0" distL="0" distR="0">
            <wp:extent cx="151130" cy="142875"/>
            <wp:effectExtent l="19050" t="0" r="1270" b="0"/>
            <wp:docPr id="2810" name="Imagen 28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determination and allocation of reparations for victims and beneficiaries under any reparations programme for victims and beneficiaries shall be carried out in a way that treats persons in the same situation equally and proportionately and that treats differently persons in different situations.</w:t>
      </w:r>
      <w:r>
        <w:rPr>
          <w:rFonts w:ascii="Times New Roman" w:eastAsia="Times New Roman" w:hAnsi="Times New Roman" w:cs="Times New Roman"/>
          <w:noProof/>
          <w:sz w:val="24"/>
          <w:szCs w:val="24"/>
        </w:rPr>
        <w:drawing>
          <wp:inline distT="0" distB="0" distL="0" distR="0">
            <wp:extent cx="151130" cy="142875"/>
            <wp:effectExtent l="19050" t="0" r="1270" b="0"/>
            <wp:docPr id="2811" name="Imagen 28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determination and allocation of reparations under any reparations programme for victims and beneficiaries shall be carried out without any distinction, exclusion, restriction or preference of any nature that would have the objective or consequence of annulling or discrediting the acknowledgment, allocation and enjoyment of the reparations in conditions of equality.</w:t>
      </w:r>
      <w:r>
        <w:rPr>
          <w:rFonts w:ascii="Times New Roman" w:eastAsia="Times New Roman" w:hAnsi="Times New Roman" w:cs="Times New Roman"/>
          <w:noProof/>
          <w:sz w:val="24"/>
          <w:szCs w:val="24"/>
        </w:rPr>
        <w:drawing>
          <wp:inline distT="0" distB="0" distL="0" distR="0">
            <wp:extent cx="151130" cy="142875"/>
            <wp:effectExtent l="19050" t="0" r="1270" b="0"/>
            <wp:docPr id="2812" name="Imagen 28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Comprehensive Reparations Plan … has the following objectives: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d) To provide reparation and/or compensate for the human, social, moral, material, and economic harm caused by the process of violence to the affected persons, families, indigenous communities and populations.</w:t>
      </w:r>
      <w:r>
        <w:rPr>
          <w:rFonts w:ascii="Times New Roman" w:eastAsia="Times New Roman" w:hAnsi="Times New Roman" w:cs="Times New Roman"/>
          <w:noProof/>
          <w:sz w:val="24"/>
          <w:szCs w:val="24"/>
        </w:rPr>
        <w:drawing>
          <wp:inline distT="0" distB="0" distL="0" distR="0">
            <wp:extent cx="151130" cy="142875"/>
            <wp:effectExtent l="19050" t="0" r="1270" b="0"/>
            <wp:docPr id="2813" name="Imagen 28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Victims shall be considered to be any persons or groups of persons who during the process of violence suffered from acts or omissions that violated international human rights law, such as: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extrajudicial execution,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murder,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enforced disappearance,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rape,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 torture,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 kidnapping,</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 forced displacement,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 arbitrary detention,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 forced recruitment,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 violation of due process.</w:t>
      </w:r>
      <w:r>
        <w:rPr>
          <w:rFonts w:ascii="Times New Roman" w:eastAsia="Times New Roman" w:hAnsi="Times New Roman" w:cs="Times New Roman"/>
          <w:noProof/>
          <w:sz w:val="24"/>
          <w:szCs w:val="24"/>
        </w:rPr>
        <w:drawing>
          <wp:inline distT="0" distB="0" distL="0" distR="0">
            <wp:extent cx="151130" cy="142875"/>
            <wp:effectExtent l="19050" t="0" r="1270" b="0"/>
            <wp:docPr id="2814" name="Imagen 28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Uruguay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Uruguay’s Law on Cooperation with the ICC (2006) states:</w:t>
      </w:r>
      <w:r w:rsidRPr="00BE407E">
        <w:rPr>
          <w:rFonts w:ascii="Times New Roman" w:eastAsia="Times New Roman" w:hAnsi="Times New Roman" w:cs="Times New Roman"/>
          <w:sz w:val="24"/>
          <w:szCs w:val="24"/>
        </w:rPr>
        <w:br/>
        <w:t>The State shall be responsible for the reparation of victims of the crimes set out in Titles I to III of Part II of the present law [which include war crimes] committed in the territory of the Republic or abroad by agents of the State or by persons who were not agents of the State but who acted under the authorization, support or acquiescence of State agents.</w:t>
      </w:r>
      <w:r>
        <w:rPr>
          <w:rFonts w:ascii="Times New Roman" w:eastAsia="Times New Roman" w:hAnsi="Times New Roman" w:cs="Times New Roman"/>
          <w:noProof/>
          <w:sz w:val="24"/>
          <w:szCs w:val="24"/>
        </w:rPr>
        <w:drawing>
          <wp:inline distT="0" distB="0" distL="0" distR="0">
            <wp:extent cx="151130" cy="142875"/>
            <wp:effectExtent l="19050" t="0" r="1270" b="0"/>
            <wp:docPr id="2815" name="Imagen 28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88" w:history="1">
        <w:r w:rsidRPr="00BE407E">
          <w:rPr>
            <w:rFonts w:ascii="Times New Roman" w:eastAsia="Times New Roman" w:hAnsi="Times New Roman" w:cs="Times New Roman"/>
            <w:color w:val="0000FF"/>
            <w:sz w:val="24"/>
            <w:szCs w:val="24"/>
            <w:u w:val="single"/>
          </w:rPr>
          <w:t>V. National Case-law</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Colombia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2007, in the </w:t>
      </w:r>
      <w:r w:rsidRPr="00BE407E">
        <w:rPr>
          <w:rFonts w:ascii="Times New Roman" w:eastAsia="Times New Roman" w:hAnsi="Times New Roman" w:cs="Times New Roman"/>
          <w:i/>
          <w:iCs/>
          <w:sz w:val="24"/>
          <w:szCs w:val="24"/>
        </w:rPr>
        <w:t>Constitutional Case No. C-291/07</w:t>
      </w:r>
      <w:r w:rsidRPr="00BE407E">
        <w:rPr>
          <w:rFonts w:ascii="Times New Roman" w:eastAsia="Times New Roman" w:hAnsi="Times New Roman" w:cs="Times New Roman"/>
          <w:sz w:val="24"/>
          <w:szCs w:val="24"/>
        </w:rPr>
        <w:t>, the Plenary Chamber of Colombia’s Constitutional Court stated:</w:t>
      </w:r>
      <w:r w:rsidRPr="00BE407E">
        <w:rPr>
          <w:rFonts w:ascii="Times New Roman" w:eastAsia="Times New Roman" w:hAnsi="Times New Roman" w:cs="Times New Roman"/>
          <w:sz w:val="24"/>
          <w:szCs w:val="24"/>
        </w:rPr>
        <w:br/>
        <w:t>At the international level, the State obligation to respect and ensure respect for international humanitarian law is found in Article 1 common to the 1949 Geneva Conventions and has acquired customary status.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[T]he general obligation to respect and ensure respect for international humanitarian law is the foundation for a number of more specific duties such as … the duty to … provide reparations for war crimes, crimes against humanity and genocide committed during internal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2816" name="Imagen 28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2010, in the </w:t>
      </w:r>
      <w:r w:rsidRPr="00BE407E">
        <w:rPr>
          <w:rFonts w:ascii="Times New Roman" w:eastAsia="Times New Roman" w:hAnsi="Times New Roman" w:cs="Times New Roman"/>
          <w:i/>
          <w:iCs/>
          <w:sz w:val="24"/>
          <w:szCs w:val="24"/>
        </w:rPr>
        <w:t>Kaplan case</w:t>
      </w:r>
      <w:r w:rsidRPr="00BE407E">
        <w:rPr>
          <w:rFonts w:ascii="Times New Roman" w:eastAsia="Times New Roman" w:hAnsi="Times New Roman" w:cs="Times New Roman"/>
          <w:sz w:val="24"/>
          <w:szCs w:val="24"/>
        </w:rPr>
        <w:t>, France’s Paris Administrative Court was called to rule on a matter of compensation related to art works despoiled in occupied France during World War II:</w:t>
      </w:r>
      <w:r w:rsidRPr="00BE407E">
        <w:rPr>
          <w:rFonts w:ascii="Times New Roman" w:eastAsia="Times New Roman" w:hAnsi="Times New Roman" w:cs="Times New Roman"/>
          <w:sz w:val="24"/>
          <w:szCs w:val="24"/>
        </w:rPr>
        <w:br/>
        <w:t xml:space="preserve">[T]he Commission for the Compensation of Victims of Despoliation received an application for compensation regarding … pieces of art that were deposited in the safe of a bank in Bordeaux in 1941. According to the inventory of the deposit, there were 151 pieces, including 78 paintings, and all of them were seized by the occupying forces on 15 March 1943, while three of them were returned after the conflict. [The applicants] allege that the commission should have assessed the amount of the damage caused by the despoliation … with regards to [the value of the property at the] date when the damage was assessed rather than its value as recognized in 1962 by the German government … [The applicants allege also that] the prime minister, by adopting [the assessment of the damage as] recommended by the commission, violated the principle </w:t>
      </w:r>
      <w:r w:rsidRPr="00BE407E">
        <w:rPr>
          <w:rFonts w:ascii="Times New Roman" w:eastAsia="Times New Roman" w:hAnsi="Times New Roman" w:cs="Times New Roman"/>
          <w:sz w:val="24"/>
          <w:szCs w:val="24"/>
        </w:rPr>
        <w:lastRenderedPageBreak/>
        <w:t xml:space="preserve">of integral reparation.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[A]ccording to article 1 of the Decree [No. 99-778] of 10 September 1999: “… a commission is established before the prime minister with the mandate of reviewing individual claims submitted by victims or their legal heirs or assignees in order to receive reparation for damages following the despoliation of their property resulting from anti-Semitic legislation adopted during the Occupation by either the occupying power or the Vichy government”.</w:t>
      </w:r>
      <w:r w:rsidRPr="00BE407E">
        <w:rPr>
          <w:rFonts w:ascii="Times New Roman" w:eastAsia="Times New Roman" w:hAnsi="Times New Roman" w:cs="Times New Roman"/>
          <w:sz w:val="24"/>
          <w:szCs w:val="24"/>
        </w:rPr>
        <w:br/>
        <w:t>… This decree does not aim at ensuring the integral reparation of the damage, but rather at allowing the State to restore the balance destroyed by the damage in a fashion that appears to be the most exact possible and taking into account in particular the difficulties related to the long time elapsed since the facts, the diversity of the stolen property and the determination of its value.</w:t>
      </w:r>
      <w:r>
        <w:rPr>
          <w:rFonts w:ascii="Times New Roman" w:eastAsia="Times New Roman" w:hAnsi="Times New Roman" w:cs="Times New Roman"/>
          <w:noProof/>
          <w:sz w:val="24"/>
          <w:szCs w:val="24"/>
        </w:rPr>
        <w:drawing>
          <wp:inline distT="0" distB="0" distL="0" distR="0">
            <wp:extent cx="151130" cy="142875"/>
            <wp:effectExtent l="19050" t="0" r="1270" b="0"/>
            <wp:docPr id="2817" name="Imagen 28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Greece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w:t>
      </w:r>
      <w:r w:rsidRPr="00BE407E">
        <w:rPr>
          <w:rFonts w:ascii="Times New Roman" w:eastAsia="Times New Roman" w:hAnsi="Times New Roman" w:cs="Times New Roman"/>
          <w:i/>
          <w:iCs/>
          <w:sz w:val="24"/>
          <w:szCs w:val="24"/>
        </w:rPr>
        <w:t xml:space="preserve">Case No. 894/2001 </w:t>
      </w:r>
      <w:r w:rsidRPr="00BE407E">
        <w:rPr>
          <w:rFonts w:ascii="Times New Roman" w:eastAsia="Times New Roman" w:hAnsi="Times New Roman" w:cs="Times New Roman"/>
          <w:sz w:val="24"/>
          <w:szCs w:val="24"/>
        </w:rPr>
        <w:t>in 2001, Greece’s Court of Appeal of Piraeus stated:</w:t>
      </w:r>
      <w:r w:rsidRPr="00BE407E">
        <w:rPr>
          <w:rFonts w:ascii="Times New Roman" w:eastAsia="Times New Roman" w:hAnsi="Times New Roman" w:cs="Times New Roman"/>
          <w:sz w:val="24"/>
          <w:szCs w:val="24"/>
        </w:rPr>
        <w:br/>
        <w:t>The international responsibility of the belligerent party was considered in the past as a responsibility towards the states and not the individuals, since the latter were only exceptionally recognized as subjects of international law … However the individuals are already recognized as direct subjects of international law in many sectors (e.g. human rights) and this is the contemporary tendency in international relations … [T]herefore it should be accepted that the violation of the Regulation of Laws and Customs of War on Land, annexed to the fourth Hague Convention (19th October 1907) … creates an individual right for reparation of the victims of the violation and therefore the plaintiffs can raise against the German state an individual claim before the Greek courts.</w:t>
      </w:r>
      <w:r>
        <w:rPr>
          <w:rFonts w:ascii="Times New Roman" w:eastAsia="Times New Roman" w:hAnsi="Times New Roman" w:cs="Times New Roman"/>
          <w:noProof/>
          <w:sz w:val="24"/>
          <w:szCs w:val="24"/>
        </w:rPr>
        <w:drawing>
          <wp:inline distT="0" distB="0" distL="0" distR="0">
            <wp:extent cx="151130" cy="142875"/>
            <wp:effectExtent l="19050" t="0" r="1270" b="0"/>
            <wp:docPr id="2818" name="Imagen 28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Nepal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2009, in the </w:t>
      </w:r>
      <w:r w:rsidRPr="00BE407E">
        <w:rPr>
          <w:rFonts w:ascii="Times New Roman" w:eastAsia="Times New Roman" w:hAnsi="Times New Roman" w:cs="Times New Roman"/>
          <w:i/>
          <w:iCs/>
          <w:sz w:val="24"/>
          <w:szCs w:val="24"/>
        </w:rPr>
        <w:t>Bhandari case</w:t>
      </w:r>
      <w:r w:rsidRPr="00BE407E">
        <w:rPr>
          <w:rFonts w:ascii="Times New Roman" w:eastAsia="Times New Roman" w:hAnsi="Times New Roman" w:cs="Times New Roman"/>
          <w:sz w:val="24"/>
          <w:szCs w:val="24"/>
        </w:rPr>
        <w:t>, Nepal’s Supreme Court described the facts of the case as follows:</w:t>
      </w:r>
      <w:r w:rsidRPr="00BE407E">
        <w:rPr>
          <w:rFonts w:ascii="Times New Roman" w:eastAsia="Times New Roman" w:hAnsi="Times New Roman" w:cs="Times New Roman"/>
          <w:sz w:val="24"/>
          <w:szCs w:val="24"/>
        </w:rPr>
        <w:br/>
        <w:t xml:space="preserve">The petitioners who were living in their own ancestral place have been wandering as … landless paupers and internal refugees in different parts of the country due to the conflict that started in the year 1996 following which the Maoists seized their land, house, industry, factory including movable and immovable property allegedly for professing political faith opposed by the Maoists. Since the internally displaced families had played [a] very important role during the movement of 2006/2007 they were confident that following the success of the movement, peace and order would be restored in the country resulting in the onset of New Nepal. Then movable and immovable property seized during the conflict would be easily returned and all the families would be allowed to settle in their respective settlements and make their living. As expected, the movement was successful and the Interim Constitution of Nepal, 2007, was promulgated which guaranteed fundamental rights and also inscribed that the property seized during the armed conflict would be returned. But their fate took a further downturn. </w:t>
      </w:r>
      <w:r w:rsidRPr="00BE407E">
        <w:rPr>
          <w:rFonts w:ascii="Times New Roman" w:eastAsia="Times New Roman" w:hAnsi="Times New Roman" w:cs="Times New Roman"/>
          <w:sz w:val="24"/>
          <w:szCs w:val="24"/>
        </w:rPr>
        <w:br/>
        <w:t>The Government of Nepal, the political parties and the respondents who were signatory to Art 5.1.8 of the Comprehensive Peace Agreement annexed to the Constitution pursuant Article 166(3) did not return the seized movable and immovable property of the petitioners. Complaints were filed a number of times for the return of the property before the political party who were supposedly called the vanguards of the New Nepal, before the Human Rights Commission and the Nepal[ese] Government. However, no initiative was taken [by] them.</w:t>
      </w:r>
      <w:r>
        <w:rPr>
          <w:rFonts w:ascii="Times New Roman" w:eastAsia="Times New Roman" w:hAnsi="Times New Roman" w:cs="Times New Roman"/>
          <w:noProof/>
          <w:sz w:val="24"/>
          <w:szCs w:val="24"/>
        </w:rPr>
        <w:drawing>
          <wp:inline distT="0" distB="0" distL="0" distR="0">
            <wp:extent cx="151130" cy="142875"/>
            <wp:effectExtent l="19050" t="0" r="1270" b="0"/>
            <wp:docPr id="2819" name="Imagen 28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At a time following the conclusion of the peace agreement, when the parties who were in conflict have tried to re-establish the[ir] relations in a new way, a question may be raised as to whether … scratching the issue of injustice of the past would not jeopardize the already established new relations. In this, there may also be people who would like to see justice and peace as mutually opposing. True, one cannot always say that every past atrocity should be settled through judicial process and [the] payment of reparation. Several disputes that occur in the course of the conflict may be settled by dialogue and amicable settlement forged between the parties. Inconveniences of the people may be removed by infrastructure development as well. But when incidents causing damage to the life, body and property occur or where violations of humanitarian laws also take place, such matters need to be dealt with by providing rehabilitation and reparation where the nature of [the] case so demands, and in others through the judicial process. Where violations of humanitarian laws result in the destruction of life and property, in such cases if due attention is not paid to such incidents, this may give rise to growth or flourishing of impunity. The impunity in reality is a situation opposed to the rule of law. Whether in peace or war, there are fundamental principles of rule of law that unite the society, and if they are disregarded, then justification of living in such society vanishes.</w:t>
      </w:r>
      <w:r w:rsidRPr="00BE407E">
        <w:rPr>
          <w:rFonts w:ascii="Times New Roman" w:eastAsia="Times New Roman" w:hAnsi="Times New Roman" w:cs="Times New Roman"/>
          <w:sz w:val="24"/>
          <w:szCs w:val="24"/>
        </w:rPr>
        <w:br/>
        <w:t>Therefore, there should be no negligence in the enforcement of human rights and humanitarian laws. Rather every situation of violations of human rights laws and humanitarian laws should be brought within the legal process and taken to the right conclusion. The society should be assured of the protection that could be offered by the law. If the State tries to escape from shouldering responsibility that result from the acts causing damage to [a] person’s body and property or gross violations of h umanitarian laws, then the impact caused by such incidents to the person, family or society lingers. They may at any time and in any pretext resurface in the society in the form of reaction. Therefore, until the impacts of the conflicts are satisfactorily resolved, sustainable peace seems to be impossible. For that reason also the proper management of transitional justice appears important.</w:t>
      </w:r>
      <w:r>
        <w:rPr>
          <w:rFonts w:ascii="Times New Roman" w:eastAsia="Times New Roman" w:hAnsi="Times New Roman" w:cs="Times New Roman"/>
          <w:noProof/>
          <w:sz w:val="24"/>
          <w:szCs w:val="24"/>
        </w:rPr>
        <w:drawing>
          <wp:inline distT="0" distB="0" distL="0" distR="0">
            <wp:extent cx="151130" cy="142875"/>
            <wp:effectExtent l="19050" t="0" r="1270" b="0"/>
            <wp:docPr id="2820" name="Imagen 28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2009, in the </w:t>
      </w:r>
      <w:r w:rsidRPr="00BE407E">
        <w:rPr>
          <w:rFonts w:ascii="Times New Roman" w:eastAsia="Times New Roman" w:hAnsi="Times New Roman" w:cs="Times New Roman"/>
          <w:i/>
          <w:iCs/>
          <w:sz w:val="24"/>
          <w:szCs w:val="24"/>
        </w:rPr>
        <w:t>Fujimori case</w:t>
      </w:r>
      <w:r w:rsidRPr="00BE407E">
        <w:rPr>
          <w:rFonts w:ascii="Times New Roman" w:eastAsia="Times New Roman" w:hAnsi="Times New Roman" w:cs="Times New Roman"/>
          <w:sz w:val="24"/>
          <w:szCs w:val="24"/>
        </w:rPr>
        <w:t>, the Special Criminal Chamber of Peru’s Supreme Court of Justice was called upon to decide whether a former Peruvian president incurred criminal and civil liability for acts committed in 1991 and 1992 in the context of anti-terror operations, including the abduction of two individuals (the so-called SIE Basement Case) and the murder and injury of numerous individuals in Barrios Altos and at the so-called La Cantuta university in Lima. All of these acts were carried out by State officials whilst [the accused] was president. The court held:</w:t>
      </w:r>
      <w:r w:rsidRPr="00BE407E">
        <w:rPr>
          <w:rFonts w:ascii="Times New Roman" w:eastAsia="Times New Roman" w:hAnsi="Times New Roman" w:cs="Times New Roman"/>
          <w:sz w:val="24"/>
          <w:szCs w:val="24"/>
        </w:rPr>
        <w:br/>
        <w:t>[T]o the extent that the acts before us qualify as “… gross violations of international human rights law and serious violations of international humanitarian law constituting crimes under international law, …” as identified in the fourth principle [of the Basic Principles and Guidelines on the Right to a Remedy and Reparation for Victims of Gross Violations of International Human Rights Law and Serious Violations of IHL (2005)], the provisions of the [aforementioned] Basic Principles and Guidelines are applicable before domestic courts.</w:t>
      </w:r>
      <w:r>
        <w:rPr>
          <w:rFonts w:ascii="Times New Roman" w:eastAsia="Times New Roman" w:hAnsi="Times New Roman" w:cs="Times New Roman"/>
          <w:noProof/>
          <w:sz w:val="24"/>
          <w:szCs w:val="24"/>
        </w:rPr>
        <w:drawing>
          <wp:inline distT="0" distB="0" distL="0" distR="0">
            <wp:extent cx="151130" cy="142875"/>
            <wp:effectExtent l="19050" t="0" r="1270" b="0"/>
            <wp:docPr id="2821" name="Imagen 28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2006, in the </w:t>
      </w:r>
      <w:r w:rsidRPr="00BE407E">
        <w:rPr>
          <w:rFonts w:ascii="Times New Roman" w:eastAsia="Times New Roman" w:hAnsi="Times New Roman" w:cs="Times New Roman"/>
          <w:i/>
          <w:iCs/>
          <w:sz w:val="24"/>
          <w:szCs w:val="24"/>
        </w:rPr>
        <w:t>El Masri case</w:t>
      </w:r>
      <w:r w:rsidRPr="00BE407E">
        <w:rPr>
          <w:rFonts w:ascii="Times New Roman" w:eastAsia="Times New Roman" w:hAnsi="Times New Roman" w:cs="Times New Roman"/>
          <w:sz w:val="24"/>
          <w:szCs w:val="24"/>
        </w:rPr>
        <w:t>, a civil suit in which the plaintiff claimed to have been an innocent victim of the US extraordinary rendition program and sought redress from the former Director of the Central Intelligence Agency, private corporations allegedly involved in the program, and unknown employees of both the CIA and the private corporations, the Court granted the Government’s motion to dismiss, finding that the claim of State secrets was valid. The Court stated:</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[I]t is important to note that, unlike other privileges, the state secrets privilege is absolute and therefore once a court is satisfied that the claim is validly asserted, the privilege is not subject to a judicial balancing of the various interests at stake.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[T]he substance of El-Masri’s publicly available complaint alleges a clandestine intelligence program, and the means and methods the foreign intelligence services of this and other countries used to carry out the program. And, as the public declaration makes pellucidly clear, any admission or denial of these allegations by defendants in this case would reveal the means and methods employed pursuant to this clandestine program and such a revelation would present a grave risk of injury to national security.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To succeed on his claims, El-Masri would have to prove that he was abducted, detained, and subjected to cruel and degrading treatment, all as part of the United States’ extraordinary rendition program. As noted above, any answer to the complaint by the defendants risks the disclosure of specific details about the rendition argument.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[W]hile dismissal of the complaint deprives El-Masri of an American judicial forum for vindicating his claims, well-established and controlling legal principles require that in the present circumstances, El-Masri’s private interests must give way to the national interest in preserving state secrets. The United States’ motion to dismiss must therefore be granted.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It is important to emphasize that the result reached here is required by settled, controlling law. It is in no way an adjudication of, or comment on, the merit or lack of merit of El-Masri’s complaint. Nor does this ruling comment or rule in any way on the truth or falsity of his factual allegations; they may be true or false, in whole or in part. Further, it is also important that nothing in this ruling should be taken as a sign of judicial approval or disapproval of rendition programs; it is not intended to do either. In times of war, our country, chiefly through the Executive Branch, must often take exceptional steps to thwart the enemy. Of course, reasonable and patriotic Americans are still free to disagree about the propriety and efficacy of those exceptional steps. But what this decision holds is that these steps are not proper grist for the judicial mill where, as here, state secrets are at the center of the suit and the privilege is validly invoked.</w:t>
      </w:r>
      <w:r w:rsidRPr="00BE407E">
        <w:rPr>
          <w:rFonts w:ascii="Times New Roman" w:eastAsia="Times New Roman" w:hAnsi="Times New Roman" w:cs="Times New Roman"/>
          <w:sz w:val="24"/>
          <w:szCs w:val="24"/>
        </w:rPr>
        <w:br/>
        <w:t>Finally, it is worth noting that putting aside all the legal issues, if El-Masri’s allegations are true or essentially true, then all fair-minded people, including those who believe that state secrets must be protected, that this lawsuit cannot proceed, and that renditions are a necessary step to take in this war, must also agree that El-Masri has suffered injuries as a result of our country’s mistake and deserves a remedy. Yet, it is also clear from the result reached here that the only sources of that remedy must be the Executive Branch or the Legislative Branch, not the Judicial Branch.</w:t>
      </w:r>
      <w:r>
        <w:rPr>
          <w:rFonts w:ascii="Times New Roman" w:eastAsia="Times New Roman" w:hAnsi="Times New Roman" w:cs="Times New Roman"/>
          <w:noProof/>
          <w:sz w:val="24"/>
          <w:szCs w:val="24"/>
        </w:rPr>
        <w:drawing>
          <wp:inline distT="0" distB="0" distL="0" distR="0">
            <wp:extent cx="151130" cy="142875"/>
            <wp:effectExtent l="19050" t="0" r="1270" b="0"/>
            <wp:docPr id="2822" name="Imagen 28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89" w:history="1">
        <w:r w:rsidRPr="00BE407E">
          <w:rPr>
            <w:rFonts w:ascii="Times New Roman" w:eastAsia="Times New Roman" w:hAnsi="Times New Roman" w:cs="Times New Roman"/>
            <w:color w:val="0000FF"/>
            <w:sz w:val="24"/>
            <w:szCs w:val="24"/>
            <w:u w:val="single"/>
          </w:rPr>
          <w:t>VI. Other National Practice</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Bosnia and Herzegovina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in its oral pleadings before the ICJ in the Application of the Convention on the Prevention and Punishment of the Crime of Genocide case (Bosnia and Herzegovina v. Serbia and Montenegro), Bosnia and Herzegovina stated:</w:t>
      </w:r>
      <w:r w:rsidRPr="00BE407E">
        <w:rPr>
          <w:rFonts w:ascii="Times New Roman" w:eastAsia="Times New Roman" w:hAnsi="Times New Roman" w:cs="Times New Roman"/>
          <w:sz w:val="24"/>
          <w:szCs w:val="24"/>
        </w:rPr>
        <w:br/>
        <w:t xml:space="preserve">1. the basic principle, enunciated by the [Permanent Court of International Justice] in the </w:t>
      </w:r>
      <w:r w:rsidRPr="00BE407E">
        <w:rPr>
          <w:rFonts w:ascii="Times New Roman" w:eastAsia="Times New Roman" w:hAnsi="Times New Roman" w:cs="Times New Roman"/>
          <w:i/>
          <w:iCs/>
          <w:sz w:val="24"/>
          <w:szCs w:val="24"/>
        </w:rPr>
        <w:t xml:space="preserve">Factory at Chorzów </w:t>
      </w:r>
      <w:r w:rsidRPr="00BE407E">
        <w:rPr>
          <w:rFonts w:ascii="Times New Roman" w:eastAsia="Times New Roman" w:hAnsi="Times New Roman" w:cs="Times New Roman"/>
          <w:sz w:val="24"/>
          <w:szCs w:val="24"/>
        </w:rPr>
        <w:t xml:space="preserve">case, “is that reparation must, as far as possible, wipe out all the consequences of the illegal act and re-establish the situation which would, in all </w:t>
      </w:r>
      <w:r w:rsidRPr="00BE407E">
        <w:rPr>
          <w:rFonts w:ascii="Times New Roman" w:eastAsia="Times New Roman" w:hAnsi="Times New Roman" w:cs="Times New Roman"/>
          <w:sz w:val="24"/>
          <w:szCs w:val="24"/>
        </w:rPr>
        <w:lastRenderedPageBreak/>
        <w:t>probability, have existed if that act has not been committed”; this basic principle is incorporated in Article 31 of the 2001 Articles of the International Law Commission [ILC];</w:t>
      </w:r>
      <w:r w:rsidRPr="00BE407E">
        <w:rPr>
          <w:rFonts w:ascii="Times New Roman" w:eastAsia="Times New Roman" w:hAnsi="Times New Roman" w:cs="Times New Roman"/>
          <w:sz w:val="24"/>
          <w:szCs w:val="24"/>
        </w:rPr>
        <w:br/>
        <w:t>2. pursuant to the provisions of Article 34 of those same Articles, “[f]ull reparation for the injury caused by the internationally wrongful act shall take the form of restitution, compensation and satisfaction …”;</w:t>
      </w:r>
      <w:r w:rsidRPr="00BE407E">
        <w:rPr>
          <w:rFonts w:ascii="Times New Roman" w:eastAsia="Times New Roman" w:hAnsi="Times New Roman" w:cs="Times New Roman"/>
          <w:sz w:val="24"/>
          <w:szCs w:val="24"/>
        </w:rPr>
        <w:br/>
        <w:t>3. inasmuch as making restitution means “to re-establish the situation which existed before the wrongful act was committed” – this being a quotation from the ILC – it constitutes a prime means of reparation, since it is, by definition, the one best suited to effectively ensuring full redress for the injury sustained;</w:t>
      </w:r>
      <w:r w:rsidRPr="00BE407E">
        <w:rPr>
          <w:rFonts w:ascii="Times New Roman" w:eastAsia="Times New Roman" w:hAnsi="Times New Roman" w:cs="Times New Roman"/>
          <w:sz w:val="24"/>
          <w:szCs w:val="24"/>
        </w:rPr>
        <w:br/>
        <w:t xml:space="preserve">4. however, to the extent that </w:t>
      </w:r>
      <w:r w:rsidRPr="00BE407E">
        <w:rPr>
          <w:rFonts w:ascii="Times New Roman" w:eastAsia="Times New Roman" w:hAnsi="Times New Roman" w:cs="Times New Roman"/>
          <w:i/>
          <w:iCs/>
          <w:sz w:val="24"/>
          <w:szCs w:val="24"/>
        </w:rPr>
        <w:t xml:space="preserve">restitutio in integrum </w:t>
      </w:r>
      <w:r w:rsidRPr="00BE407E">
        <w:rPr>
          <w:rFonts w:ascii="Times New Roman" w:eastAsia="Times New Roman" w:hAnsi="Times New Roman" w:cs="Times New Roman"/>
          <w:sz w:val="24"/>
          <w:szCs w:val="24"/>
        </w:rPr>
        <w:t>proves materially impossible or “out of all proportion to the benefit deriving from restitution instead of compensation”, reparation may take the form of compensation involving “payment of a sum corresponding to the value which a restitution in kind would bear”;</w:t>
      </w:r>
      <w:r w:rsidRPr="00BE407E">
        <w:rPr>
          <w:rFonts w:ascii="Times New Roman" w:eastAsia="Times New Roman" w:hAnsi="Times New Roman" w:cs="Times New Roman"/>
          <w:sz w:val="24"/>
          <w:szCs w:val="24"/>
        </w:rPr>
        <w:br/>
        <w:t>5. and lastly, “[t]he State responsible for an internationally wrongful act is under an obligation to give satisfaction for the injury caused by that act insofar as it cannot be made good by restitution or compensation”.</w:t>
      </w:r>
      <w:r>
        <w:rPr>
          <w:rFonts w:ascii="Times New Roman" w:eastAsia="Times New Roman" w:hAnsi="Times New Roman" w:cs="Times New Roman"/>
          <w:noProof/>
          <w:sz w:val="24"/>
          <w:szCs w:val="24"/>
        </w:rPr>
        <w:drawing>
          <wp:inline distT="0" distB="0" distL="0" distR="0">
            <wp:extent cx="151130" cy="142875"/>
            <wp:effectExtent l="19050" t="0" r="1270" b="0"/>
            <wp:docPr id="2823" name="Imagen 28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Chile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in its fifth periodic report to the Human Rights Committee, Chile stated:</w:t>
      </w:r>
      <w:r w:rsidRPr="00BE407E">
        <w:rPr>
          <w:rFonts w:ascii="Times New Roman" w:eastAsia="Times New Roman" w:hAnsi="Times New Roman" w:cs="Times New Roman"/>
          <w:sz w:val="24"/>
          <w:szCs w:val="24"/>
        </w:rPr>
        <w:br/>
        <w:t>Since March 1990, Chile’s democratic governments have been committed to taking legal and administrative measures to establish the truth and provide justice and reparation for the victims of human rights violations committed under the military regime. Such measures began to be implemented virtually from the moment President Patricio Aylwin took office, through the work carried out in 1990 by the National Commission on Truth and Reconciliation and the publication of its report in February 1991.</w:t>
      </w:r>
      <w:r>
        <w:rPr>
          <w:rFonts w:ascii="Times New Roman" w:eastAsia="Times New Roman" w:hAnsi="Times New Roman" w:cs="Times New Roman"/>
          <w:noProof/>
          <w:sz w:val="24"/>
          <w:szCs w:val="24"/>
        </w:rPr>
        <w:drawing>
          <wp:inline distT="0" distB="0" distL="0" distR="0">
            <wp:extent cx="151130" cy="142875"/>
            <wp:effectExtent l="19050" t="0" r="1270" b="0"/>
            <wp:docPr id="2824" name="Imagen 28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Right to effective redress, compensation and rehabilitation for the victims of torture and other ill-treatment</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 xml:space="preserve">141. The right to fair and adequate compensation for the victims of torture is guaranteed under the general provisions and principles of Chilean legislation. Every offence is followed up by criminal proceedings in order to investigate the punishable act and punish the persons responsible for it, as well as civil proceedings to provide redress for the civil consequences of the offence. Such civil proceedings, one of the purposes of which may be to seek compensation for damage caused, may originate in the criminal proceedings themselves. In conformity with the general provisions of Chilean law, the victim of torture, certain family members and the heirs of a person who has suffered torture and died as a consequence may initiate civil proceedings to seek compensation.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Redress for victims of political imprisonment and torture during the military regime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142. The President’s proposal on human rights “No tomorrow without yesterday” expressly states that Chile owes a debt to those persons who suffered unfair and humiliating deprivation of liberty during the military regime, often accompanied by torture, and who have not been recognized as the victims of repression nor been granted any compensation.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National Commission on Political Prisoners and Torture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 xml:space="preserve">143. As a result of the President’s proposal, the National Commission on Political Prisoners and Torture was established as an advisory body to the President. Its functions were (a) to classify persons who suffered deprivation of liberty and torture on political grounds during the period between 11 September 1973 and 10 March 1990, and (b) to propose to the President the conditions, characteristics, forms and methods of compensation that could be granted to persons recognized as political prisoners or </w:t>
      </w:r>
      <w:r w:rsidRPr="00BE407E">
        <w:rPr>
          <w:rFonts w:ascii="Times New Roman" w:eastAsia="Times New Roman" w:hAnsi="Times New Roman" w:cs="Times New Roman"/>
          <w:sz w:val="24"/>
          <w:szCs w:val="24"/>
        </w:rPr>
        <w:lastRenderedPageBreak/>
        <w:t>victims of torture who had not already received any benefits by way of compensation on those grounds.</w:t>
      </w:r>
      <w:r w:rsidRPr="00BE407E">
        <w:rPr>
          <w:rFonts w:ascii="Times New Roman" w:eastAsia="Times New Roman" w:hAnsi="Times New Roman" w:cs="Times New Roman"/>
          <w:sz w:val="24"/>
          <w:szCs w:val="24"/>
        </w:rPr>
        <w:br/>
        <w:t>144. The Commission launched its activities on 11 November 2003 in the Metropolitan Region, and on 10 December in the other regions and in Chilean consulates abroad. One year later it issued a report describing the historical context in which the torture had taken place, the attitude of the different State bodies to this practice, the different periods and types of political imprisonment and torture in Chile, the methods of torture used, places of detention, the profile of the victims and the effects of this abuse on them. In a year of activity the Commission received testimony from 35,868 people, of whom 28,000 residents in Chile and abroad were classified as victims; the remaining 7,000 testimonies were reviewed by the Commission, which classified a further 1,204 persons as victims. All the victims recognized by the Commission receive an annual pension and benefits from the Programme of Compensation and Comprehensive Health Care (PRAIS).</w:t>
      </w:r>
      <w:r>
        <w:rPr>
          <w:rFonts w:ascii="Times New Roman" w:eastAsia="Times New Roman" w:hAnsi="Times New Roman" w:cs="Times New Roman"/>
          <w:noProof/>
          <w:sz w:val="24"/>
          <w:szCs w:val="24"/>
        </w:rPr>
        <w:drawing>
          <wp:inline distT="0" distB="0" distL="0" distR="0">
            <wp:extent cx="151130" cy="142875"/>
            <wp:effectExtent l="19050" t="0" r="1270" b="0"/>
            <wp:docPr id="2825" name="Imagen 28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[footnotes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Croatia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views and comments on the 1997 Draft Basic Principles and Guidelines on the Right to Reparation for Victims of [Gross] Violations of Human Rights and International Humanitarian Law, as they were then called, Croatia stated:</w:t>
      </w:r>
      <w:r w:rsidRPr="00BE407E">
        <w:rPr>
          <w:rFonts w:ascii="Times New Roman" w:eastAsia="Times New Roman" w:hAnsi="Times New Roman" w:cs="Times New Roman"/>
          <w:sz w:val="24"/>
          <w:szCs w:val="24"/>
        </w:rPr>
        <w:br/>
        <w:t>It is clear that the right to claim reparation for violations of human rights and international humanitarian law should be given primarily to the direct victim; in cases where the direct victim is unable to claim or precluded from claiming reparation, such right should be enjoyed by the descendants of the direct victim, and subsidiarily to the persons closely connected with the direct victim.</w:t>
      </w:r>
      <w:r>
        <w:rPr>
          <w:rFonts w:ascii="Times New Roman" w:eastAsia="Times New Roman" w:hAnsi="Times New Roman" w:cs="Times New Roman"/>
          <w:noProof/>
          <w:sz w:val="24"/>
          <w:szCs w:val="24"/>
        </w:rPr>
        <w:drawing>
          <wp:inline distT="0" distB="0" distL="0" distR="0">
            <wp:extent cx="151130" cy="142875"/>
            <wp:effectExtent l="19050" t="0" r="1270" b="0"/>
            <wp:docPr id="2826" name="Imagen 28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El Salvador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2009, in its written replies to the Committee against Torture concerning its second periodic report, El Salvador stated:</w:t>
      </w:r>
      <w:r w:rsidRPr="00BE407E">
        <w:rPr>
          <w:rFonts w:ascii="Times New Roman" w:eastAsia="Times New Roman" w:hAnsi="Times New Roman" w:cs="Times New Roman"/>
          <w:sz w:val="24"/>
          <w:szCs w:val="24"/>
        </w:rPr>
        <w:br/>
        <w:t>4. Indicate: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If a reparation program for victims [persons disappeared during the armed conflict of 1980 to 1992, including children] has been implemented; and if not the reasons for this.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If a comprehensive program for the search of disappeared persons exists.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10. With regards to subparagraphs c) and d), there is, to date, no comprehensive program for reparation to victims, favouring disappeared children; however, in the context of the work of the Inter-institutional Tracing Commission, psychological attention has been given to the found children and to their adoptive and biological families; as well as social assistance to these children in accordance with their needs (medical care, judicial and financial assistance, family reunion workshops, communication with their families abroad, among others).</w:t>
      </w:r>
      <w:r w:rsidRPr="00BE407E">
        <w:rPr>
          <w:rFonts w:ascii="Times New Roman" w:eastAsia="Times New Roman" w:hAnsi="Times New Roman" w:cs="Times New Roman"/>
          <w:sz w:val="24"/>
          <w:szCs w:val="24"/>
        </w:rPr>
        <w:br/>
        <w:t xml:space="preserve">11. On this point, it should be mentioned that given the new government vision, it has included as part of its 2009–2014 Government Program in the framework of Political Reform – Human Rights – a strategic guideline on “justice, reparation and truth” … [The latter will] establish the “Promotion and guarantee of a justice, truth and reparation policy for current and past grave violations of human rights. A comprehensive reparation policy – material and moral – will be adopted for victims of these violations”, as well as a “ … State reparation program for victims of violations of human rights with a legal basis, State resources and the cooperation of the international community”. In the context of Social Reform … Policy for Childhood and Ad olescence … [the government has] a commitment to … [grant] “social support to families when their sons or daughters are in a difficult situation or at risk, such as: … 3) aid to families of sons </w:t>
      </w:r>
      <w:r w:rsidRPr="00BE407E">
        <w:rPr>
          <w:rFonts w:ascii="Times New Roman" w:eastAsia="Times New Roman" w:hAnsi="Times New Roman" w:cs="Times New Roman"/>
          <w:sz w:val="24"/>
          <w:szCs w:val="24"/>
        </w:rPr>
        <w:lastRenderedPageBreak/>
        <w:t>and daughters disappeared during the war, among others”; and the commitment of the government of President Mauricio Funes Cartagena to implement the above-mentioned strategic guidelines.</w:t>
      </w:r>
      <w:r>
        <w:rPr>
          <w:rFonts w:ascii="Times New Roman" w:eastAsia="Times New Roman" w:hAnsi="Times New Roman" w:cs="Times New Roman"/>
          <w:noProof/>
          <w:sz w:val="24"/>
          <w:szCs w:val="24"/>
        </w:rPr>
        <w:drawing>
          <wp:inline distT="0" distB="0" distL="0" distR="0">
            <wp:extent cx="151130" cy="142875"/>
            <wp:effectExtent l="19050" t="0" r="1270" b="0"/>
            <wp:docPr id="2827" name="Imagen 28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2009, in its written replies to the Committee on the Rights of the Child concerning its third and fourth periodic reports, El Salvador stated in regard to the progress made and the current situation of the search for children who disappeared during the internal armed conflict:</w:t>
      </w:r>
      <w:r w:rsidRPr="00BE407E">
        <w:rPr>
          <w:rFonts w:ascii="Times New Roman" w:eastAsia="Times New Roman" w:hAnsi="Times New Roman" w:cs="Times New Roman"/>
          <w:sz w:val="24"/>
          <w:szCs w:val="24"/>
        </w:rPr>
        <w:br/>
        <w:t>62. … El Salvador, through its Minister for Foreign Affairs, has established an official dialogue with the Association for the Search for Disappeared Children, in furtherance of its obligations to comply with the judgement [of the Inter-American Court of Human Rights] in the case [on the disappearance] of the Serrano Cruz sisters and with the Court’s demands in other cases of disappeared children. It should be borne in mind that the Serrano Cruz judgement, although related to a specific case, contemplates a programme of reparation for all victims of enforced disappearance in El Salvador, including the creation of the aforementioned search commission, but also a webpage and the establishment of a genetic database. In the particular case of the Serrano sisters, progress has been made in medical care and in the approval of psychosocial attention by an expert known to the Serrano Cruz family. El Salvador wishes to inform the Committee of its determination to comply with these pending obligations in good faith and to the extent of its possibilities.</w:t>
      </w:r>
      <w:r w:rsidRPr="00BE407E">
        <w:rPr>
          <w:rFonts w:ascii="Times New Roman" w:eastAsia="Times New Roman" w:hAnsi="Times New Roman" w:cs="Times New Roman"/>
          <w:sz w:val="24"/>
          <w:szCs w:val="24"/>
        </w:rPr>
        <w:br/>
        <w:t>63. At the previously mentioned hearing of 6 November 2009 [on five cases of disappeared children, held in Washington, D.C.] before the Inter-American Commission on Human Rights, El Salvador radically altered its former positions regarding the problem of children who disappeared during the armed conflict. It recognized the existence of a pattern of child disappearances during that period, fully acknowledged the rights of victims to truth, justice and reparation, and promised to endeavour to discharge in good faith its international human rights obligations in this matter.</w:t>
      </w:r>
      <w:r w:rsidRPr="00BE407E">
        <w:rPr>
          <w:rFonts w:ascii="Times New Roman" w:eastAsia="Times New Roman" w:hAnsi="Times New Roman" w:cs="Times New Roman"/>
          <w:sz w:val="24"/>
          <w:szCs w:val="24"/>
        </w:rPr>
        <w:br/>
        <w:t>64. In connection with that hearing, the Office of the Public Prosecutor of the Republic officially informed the Ministry of Foreign Affairs of its decision to conduct a criminal investigation into five cases of disappeared children which had not been adequately dealt with in the past …</w:t>
      </w:r>
      <w:r w:rsidRPr="00BE407E">
        <w:rPr>
          <w:rFonts w:ascii="Times New Roman" w:eastAsia="Times New Roman" w:hAnsi="Times New Roman" w:cs="Times New Roman"/>
          <w:sz w:val="24"/>
          <w:szCs w:val="24"/>
        </w:rPr>
        <w:br/>
        <w:t>65. These changes hold out the prospect of a historic breakthrough … in honouring and providing redress to the victims.</w:t>
      </w:r>
      <w:r>
        <w:rPr>
          <w:rFonts w:ascii="Times New Roman" w:eastAsia="Times New Roman" w:hAnsi="Times New Roman" w:cs="Times New Roman"/>
          <w:noProof/>
          <w:sz w:val="24"/>
          <w:szCs w:val="24"/>
        </w:rPr>
        <w:drawing>
          <wp:inline distT="0" distB="0" distL="0" distR="0">
            <wp:extent cx="151130" cy="142875"/>
            <wp:effectExtent l="19050" t="0" r="1270" b="0"/>
            <wp:docPr id="2828" name="Imagen 28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2010, in its written replies to the Human Rights Committee concerning its sixth periodic report, El Salvador stated in response to a question on the recommendation to review the General Amnesty for Consolidation of Peace Act of 1993:</w:t>
      </w:r>
      <w:r w:rsidRPr="00BE407E">
        <w:rPr>
          <w:rFonts w:ascii="Times New Roman" w:eastAsia="Times New Roman" w:hAnsi="Times New Roman" w:cs="Times New Roman"/>
          <w:sz w:val="24"/>
          <w:szCs w:val="24"/>
        </w:rPr>
        <w:br/>
        <w:t>As the State has already mentioned to the Committee against Torture, since the new Government assumed its functions on 1 June 2009, … the State of El Salvador has recognized the rights of victims of violations of human rights to know the truth, to have access to justice and to receive adequate reparations.</w:t>
      </w:r>
      <w:r>
        <w:rPr>
          <w:rFonts w:ascii="Times New Roman" w:eastAsia="Times New Roman" w:hAnsi="Times New Roman" w:cs="Times New Roman"/>
          <w:noProof/>
          <w:sz w:val="24"/>
          <w:szCs w:val="24"/>
        </w:rPr>
        <w:drawing>
          <wp:inline distT="0" distB="0" distL="0" distR="0">
            <wp:extent cx="151130" cy="142875"/>
            <wp:effectExtent l="19050" t="0" r="1270" b="0"/>
            <wp:docPr id="2829" name="Imagen 28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11. With regard to the reparation of victims of serious violations of human rights that occurred in the context of internal armed conflict [1980–1992], the State recognizes that this obligation has not been fulfilled despite the recommendations that have been emitted by several international bodies. As a result of the above, in the context of the new Government of the Republic, … the State has decided to advance in the process of implementation of this obligation. In this sense, Executive Decree No. 57 of 5 May 2010, creating the “National Commission for Reparation to Victims of Grave Violations of Human Rights that occurred in the context of the internal armed conflict”, was approved.</w:t>
      </w:r>
      <w:r w:rsidRPr="00BE407E">
        <w:rPr>
          <w:rFonts w:ascii="Times New Roman" w:eastAsia="Times New Roman" w:hAnsi="Times New Roman" w:cs="Times New Roman"/>
          <w:sz w:val="24"/>
          <w:szCs w:val="24"/>
        </w:rPr>
        <w:br/>
        <w:t xml:space="preserve">12. This Commission, composed of high officials of the current Government, will have </w:t>
      </w:r>
      <w:r w:rsidRPr="00BE407E">
        <w:rPr>
          <w:rFonts w:ascii="Times New Roman" w:eastAsia="Times New Roman" w:hAnsi="Times New Roman" w:cs="Times New Roman"/>
          <w:sz w:val="24"/>
          <w:szCs w:val="24"/>
        </w:rPr>
        <w:lastRenderedPageBreak/>
        <w:t>the mandate of designing a comprehensive collective reparations program with a working procedure that will necessarily include the participation of victims of serious violations of human rights that occurred during the internal armed conflict through civil society organizations representing them.</w:t>
      </w:r>
      <w:r>
        <w:rPr>
          <w:rFonts w:ascii="Times New Roman" w:eastAsia="Times New Roman" w:hAnsi="Times New Roman" w:cs="Times New Roman"/>
          <w:noProof/>
          <w:sz w:val="24"/>
          <w:szCs w:val="24"/>
        </w:rPr>
        <w:drawing>
          <wp:inline distT="0" distB="0" distL="0" distR="0">
            <wp:extent cx="151130" cy="142875"/>
            <wp:effectExtent l="19050" t="0" r="1270" b="0"/>
            <wp:docPr id="2830" name="Imagen 28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61. … [I]n the context of the current Government of El Salvador (which assumed its functions on 1 June 2009), the state has recognized that practices such as the enforced disappearance of persons took place in the context of the internal armed conflict, causing profound suffering to the affected families.</w:t>
      </w:r>
      <w:r w:rsidRPr="00BE407E">
        <w:rPr>
          <w:rFonts w:ascii="Times New Roman" w:eastAsia="Times New Roman" w:hAnsi="Times New Roman" w:cs="Times New Roman"/>
          <w:sz w:val="24"/>
          <w:szCs w:val="24"/>
        </w:rPr>
        <w:br/>
        <w:t>In addition, it has recognized the right of the families of victims of enforced disappearance to know the truth on the whereabouts of their loved ones, to have access to a judicial remedy and to obtain reparations in accordance with the standards of International Human Rights Law applicable to El Salvador.</w:t>
      </w:r>
      <w:r w:rsidRPr="00BE407E">
        <w:rPr>
          <w:rFonts w:ascii="Times New Roman" w:eastAsia="Times New Roman" w:hAnsi="Times New Roman" w:cs="Times New Roman"/>
          <w:sz w:val="24"/>
          <w:szCs w:val="24"/>
        </w:rPr>
        <w:br/>
        <w:t>62. This recognition of state responsibility materialized in a public act of reparation that met the internationally recognized standards for this type of state act. It was presided by the head of the Executive Branch, …, Constitutional President of El Salvador, on the occasion of the 18th Anniversary of the Peace Agreement on 16 January 2010. In this event, the President, on behalf of the Salvadoran State, asked for forgiveness to those who were victims of grave violations of human rights during the past internal conflict, due to acts like the enforced disappearance of persons. This act of pardon was extended to the families that have not been able to finish their grieving process due to the unknown whereabouts of their loved ones and to not having had the protection of the [State’s] institutions. During the same event, the President of El Salvador signed an Executive Decree for the creation of the “National Commission for Tracing Boys and Girls Missing during the internal armed conflict” in accordance with the standards required by the Inter-American Court of Human Rights; he also announced the creation of a “National Commission for Reparation to victims of grave violations of human rights that occurred in the context of the internal armed conflict”, which has been recently established by an Executive Decree in May 2010.</w:t>
      </w:r>
      <w:r>
        <w:rPr>
          <w:rFonts w:ascii="Times New Roman" w:eastAsia="Times New Roman" w:hAnsi="Times New Roman" w:cs="Times New Roman"/>
          <w:noProof/>
          <w:sz w:val="24"/>
          <w:szCs w:val="24"/>
        </w:rPr>
        <w:drawing>
          <wp:inline distT="0" distB="0" distL="0" distR="0">
            <wp:extent cx="151130" cy="142875"/>
            <wp:effectExtent l="19050" t="0" r="1270" b="0"/>
            <wp:docPr id="2831" name="Imagen 28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[O]n 18 January 2010, Executive Decree No. 5, giving legal validity to the current “National Commission for Tracing Boys and Girls Missing during the internal armed conflict”, was published in the Official Journal. … This Commission, … which will be instituted in July 2010, will have within its functions … promoting the right of victims to have access to justice, among others.</w:t>
      </w:r>
      <w:r>
        <w:rPr>
          <w:rFonts w:ascii="Times New Roman" w:eastAsia="Times New Roman" w:hAnsi="Times New Roman" w:cs="Times New Roman"/>
          <w:noProof/>
          <w:sz w:val="24"/>
          <w:szCs w:val="24"/>
        </w:rPr>
        <w:drawing>
          <wp:inline distT="0" distB="0" distL="0" distR="0">
            <wp:extent cx="151130" cy="142875"/>
            <wp:effectExtent l="19050" t="0" r="1270" b="0"/>
            <wp:docPr id="2832" name="Imagen 28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written statement submitted to the ICJ in Legal Consequences of the Construction of a Wall in the Occupied Palestinian Territory in 2004, France stated:</w:t>
      </w:r>
      <w:r w:rsidRPr="00BE407E">
        <w:rPr>
          <w:rFonts w:ascii="Times New Roman" w:eastAsia="Times New Roman" w:hAnsi="Times New Roman" w:cs="Times New Roman"/>
          <w:sz w:val="24"/>
          <w:szCs w:val="24"/>
        </w:rPr>
        <w:br/>
        <w:t xml:space="preserve">As the Permanent Court of International Justice stated in a famous passage: “The essential principle contained in the actual notion of an illegal act … is that reparation must, as far as possible, wipe out all the consequences of the illegal act and reestablish the situation which would, in all probability, have existed if that act had not been committed” [Permanent Court of International Justice, </w:t>
      </w:r>
      <w:r w:rsidRPr="00BE407E">
        <w:rPr>
          <w:rFonts w:ascii="Times New Roman" w:eastAsia="Times New Roman" w:hAnsi="Times New Roman" w:cs="Times New Roman"/>
          <w:i/>
          <w:iCs/>
          <w:sz w:val="24"/>
          <w:szCs w:val="24"/>
        </w:rPr>
        <w:t xml:space="preserve">Factory at Chorzów, Judgment No. 13, </w:t>
      </w:r>
      <w:r w:rsidRPr="00BE407E">
        <w:rPr>
          <w:rFonts w:ascii="Times New Roman" w:eastAsia="Times New Roman" w:hAnsi="Times New Roman" w:cs="Times New Roman"/>
          <w:sz w:val="24"/>
          <w:szCs w:val="24"/>
        </w:rPr>
        <w:t xml:space="preserve">13 September 1928, </w:t>
      </w:r>
      <w:r w:rsidRPr="00BE407E">
        <w:rPr>
          <w:rFonts w:ascii="Times New Roman" w:eastAsia="Times New Roman" w:hAnsi="Times New Roman" w:cs="Times New Roman"/>
          <w:i/>
          <w:iCs/>
          <w:sz w:val="24"/>
          <w:szCs w:val="24"/>
        </w:rPr>
        <w:t>Series A, No. 17</w:t>
      </w:r>
      <w:r w:rsidRPr="00BE407E">
        <w:rPr>
          <w:rFonts w:ascii="Times New Roman" w:eastAsia="Times New Roman" w:hAnsi="Times New Roman" w:cs="Times New Roman"/>
          <w:sz w:val="24"/>
          <w:szCs w:val="24"/>
        </w:rPr>
        <w:t>, p. 47].</w:t>
      </w:r>
      <w:r>
        <w:rPr>
          <w:rFonts w:ascii="Times New Roman" w:eastAsia="Times New Roman" w:hAnsi="Times New Roman" w:cs="Times New Roman"/>
          <w:noProof/>
          <w:sz w:val="24"/>
          <w:szCs w:val="24"/>
        </w:rPr>
        <w:drawing>
          <wp:inline distT="0" distB="0" distL="0" distR="0">
            <wp:extent cx="151130" cy="142875"/>
            <wp:effectExtent l="19050" t="0" r="1270" b="0"/>
            <wp:docPr id="2833" name="Imagen 28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1995, in reply to a question from members of the Lower House of Parliament with respect to reparation payments to Greek victims of the German National Socialist regime, the German Government stated:</w:t>
      </w:r>
      <w:r w:rsidRPr="00BE407E">
        <w:rPr>
          <w:rFonts w:ascii="Times New Roman" w:eastAsia="Times New Roman" w:hAnsi="Times New Roman" w:cs="Times New Roman"/>
          <w:sz w:val="24"/>
          <w:szCs w:val="24"/>
        </w:rPr>
        <w:br/>
        <w:t xml:space="preserve">The … alleged claims of Greece with regard to Germany are claims for reparation … After 50 years have passed since the end of the war and [after] decades of peaceful, trustingly and fruitful co-operation of the Federal Republic of Germany with the international community of States, the issue of reparations has lost its legitimacy. Since </w:t>
      </w:r>
      <w:r w:rsidRPr="00BE407E">
        <w:rPr>
          <w:rFonts w:ascii="Times New Roman" w:eastAsia="Times New Roman" w:hAnsi="Times New Roman" w:cs="Times New Roman"/>
          <w:sz w:val="24"/>
          <w:szCs w:val="24"/>
        </w:rPr>
        <w:lastRenderedPageBreak/>
        <w:t>the end of the Second World War, Germany has made reparations to a high degree, which, according to general public international law, the States concerned should use to compensate their nationals … Additionally, reparations [made] 50 years after the end of hostilities would constitute an exception without precedence in the practice of public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834" name="Imagen 28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2009, in reply to a Minor Interpellation in the Bundestag (Lower House of Parliament) titled “Gaza War”, Germany’s Federal Government wrote: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Does the Federal Government consider it necessary to require Israel to make reparation for Gaza in order to repair the damage caused by the war?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principle a State’s responsibility under international law is only engaged in case the State acted contrary to international law. In this respect, reference is made to the answers to questions 2 and 4.</w:t>
      </w:r>
      <w:r>
        <w:rPr>
          <w:rFonts w:ascii="Times New Roman" w:eastAsia="Times New Roman" w:hAnsi="Times New Roman" w:cs="Times New Roman"/>
          <w:noProof/>
          <w:sz w:val="24"/>
          <w:szCs w:val="24"/>
        </w:rPr>
        <w:drawing>
          <wp:inline distT="0" distB="0" distL="0" distR="0">
            <wp:extent cx="151130" cy="142875"/>
            <wp:effectExtent l="19050" t="0" r="1270" b="0"/>
            <wp:docPr id="2835" name="Imagen 28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a) Is it correct that the Federal Government still considers the Gaza-Strip as territory occupied by Israel?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If so, does the Federal Government share the view that the conflict between Israel and the Palestinians constitutes an international armed conflict?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 If not, why not?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On 12 September 2005, Israel withdrew from the Gaza Strip after 38 years. However, it continues to exercise control over the borders and airspace of the Gaza Strip. The Federal Government is thus of the view that the civilian population in the Palestinian territories occupied by Israel is protected by international humanitarian law, in particular the [1949] Geneva Convention IV relative to the Protection of Civilian Persons in Time of War. This remains the case as long as Israel is exercising effective control over the Gaza Strip as occupying power. Therefore, in the Federal Government’s view, the provisions of the Geneva Convention IV relative to the Protection of Civilian Persons in Times of War apply to the armed confrontations between Israel and Hamas in Gaza.</w:t>
      </w:r>
      <w:r>
        <w:rPr>
          <w:rFonts w:ascii="Times New Roman" w:eastAsia="Times New Roman" w:hAnsi="Times New Roman" w:cs="Times New Roman"/>
          <w:noProof/>
          <w:sz w:val="24"/>
          <w:szCs w:val="24"/>
        </w:rPr>
        <w:drawing>
          <wp:inline distT="0" distB="0" distL="0" distR="0">
            <wp:extent cx="151130" cy="142875"/>
            <wp:effectExtent l="19050" t="0" r="1270" b="0"/>
            <wp:docPr id="2836" name="Imagen 28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4. How does the Federal Government justify its position that despite the allegations of independent international observers that Israel committed war crimes and human rights violations during the recent war in the Gaza Strip, the creation of an International Commission to investigate such allegations is to be blocked?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Federal Government has always emphasized that fundamental rules of international humanitarian law must also be respected in Gaza … An investigation commission of the United Nations which examines attacks against UN installations and operations during the Gaza war began its work on 12 February 2009 and will report to the Secretary General of the United Nations after completing its investigations. The Federal Government agrees with its partners in the European Union that the result of these investigations should not be pre-empted. This common position is also reflected in the Council conclusions of 26 and 27 January 2009: “The Council reminds all parties to the conflict to fully respect human rights and comply with their obligations under international humanitarian law and will follow closely investigations into alleged violations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2837" name="Imagen 28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Indonesia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written statement submitted to the ICJ in Legal Consequences of the Construction of a Wall in the Occupied Palestinian Territory in 2004, Indonesia stated:</w:t>
      </w:r>
      <w:r w:rsidRPr="00BE407E">
        <w:rPr>
          <w:rFonts w:ascii="Times New Roman" w:eastAsia="Times New Roman" w:hAnsi="Times New Roman" w:cs="Times New Roman"/>
          <w:sz w:val="24"/>
          <w:szCs w:val="24"/>
        </w:rPr>
        <w:br/>
        <w:t>Israel is under legal obligations to restore land and private properties forcibly seized for the construction of the Wall, to pay full compensation, to annul all measures enacted regarding the Wall, [and] to cease restriction on freedom of movement in the Occupied Palestine Territory, including East Jerusalem.</w:t>
      </w:r>
      <w:r>
        <w:rPr>
          <w:rFonts w:ascii="Times New Roman" w:eastAsia="Times New Roman" w:hAnsi="Times New Roman" w:cs="Times New Roman"/>
          <w:noProof/>
          <w:sz w:val="24"/>
          <w:szCs w:val="24"/>
        </w:rPr>
        <w:drawing>
          <wp:inline distT="0" distB="0" distL="0" distR="0">
            <wp:extent cx="151130" cy="142875"/>
            <wp:effectExtent l="19050" t="0" r="1270" b="0"/>
            <wp:docPr id="2838" name="Imagen 28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Jordan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In its written statement submitted to the ICJ in Legal Consequences of the Construction of a Wall in the Occupied Palestinian Territory in 2004, Jordan stated:</w:t>
      </w:r>
      <w:r w:rsidRPr="00BE407E">
        <w:rPr>
          <w:rFonts w:ascii="Times New Roman" w:eastAsia="Times New Roman" w:hAnsi="Times New Roman" w:cs="Times New Roman"/>
          <w:sz w:val="24"/>
          <w:szCs w:val="24"/>
        </w:rPr>
        <w:br/>
        <w:t>5.288 There is no doubt that in international law the breach of an international obligation carries with it the obligation to make adequate reparation.</w:t>
      </w:r>
      <w:r w:rsidRPr="00BE407E">
        <w:rPr>
          <w:rFonts w:ascii="Times New Roman" w:eastAsia="Times New Roman" w:hAnsi="Times New Roman" w:cs="Times New Roman"/>
          <w:sz w:val="24"/>
          <w:szCs w:val="24"/>
        </w:rPr>
        <w:br/>
        <w:t xml:space="preserve">5.289 Where the breaches of international law are not merely breaches occurring in what may be termed a “civil” context (such as the expropriation of property without compensation) but occur in a context which is delictual, involving, in particular, the use of force in breach of the United Nations Charter and rules of international law having the character of </w:t>
      </w:r>
      <w:r w:rsidRPr="00BE407E">
        <w:rPr>
          <w:rFonts w:ascii="Times New Roman" w:eastAsia="Times New Roman" w:hAnsi="Times New Roman" w:cs="Times New Roman"/>
          <w:i/>
          <w:iCs/>
          <w:sz w:val="24"/>
          <w:szCs w:val="24"/>
        </w:rPr>
        <w:t>ius cogens</w:t>
      </w:r>
      <w:r w:rsidRPr="00BE407E">
        <w:rPr>
          <w:rFonts w:ascii="Times New Roman" w:eastAsia="Times New Roman" w:hAnsi="Times New Roman" w:cs="Times New Roman"/>
          <w:sz w:val="24"/>
          <w:szCs w:val="24"/>
        </w:rPr>
        <w:t>, the nature of the reparation to be made will need to reflect the more serious basis of liability.</w:t>
      </w:r>
      <w:r w:rsidRPr="00BE407E">
        <w:rPr>
          <w:rFonts w:ascii="Times New Roman" w:eastAsia="Times New Roman" w:hAnsi="Times New Roman" w:cs="Times New Roman"/>
          <w:sz w:val="24"/>
          <w:szCs w:val="24"/>
        </w:rPr>
        <w:br/>
        <w:t xml:space="preserve">5.290 Moreover, where a breach of international law has been accompanied by a deliberate intention to cause harm to those affected, the normal rule that reparation is only due in respect of the normal and reasonably foreseeable consequences of an unlawful act is extended so as to cover also those deliberately intended consequences.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5.296 Where the primary remedy for the unlawful act (restitution) is not available, the principle of effective reparation requires extensive compensation. Against the background of the requirement that reparation must be “full” and that the injury for which reparation is due “includes </w:t>
      </w:r>
      <w:r w:rsidRPr="00BE407E">
        <w:rPr>
          <w:rFonts w:ascii="Times New Roman" w:eastAsia="Times New Roman" w:hAnsi="Times New Roman" w:cs="Times New Roman"/>
          <w:i/>
          <w:iCs/>
          <w:sz w:val="24"/>
          <w:szCs w:val="24"/>
        </w:rPr>
        <w:t>any</w:t>
      </w:r>
      <w:r w:rsidRPr="00BE407E">
        <w:rPr>
          <w:rFonts w:ascii="Times New Roman" w:eastAsia="Times New Roman" w:hAnsi="Times New Roman" w:cs="Times New Roman"/>
          <w:sz w:val="24"/>
          <w:szCs w:val="24"/>
        </w:rPr>
        <w:t xml:space="preserve"> damage, whether material or moral, caused by the internationally wrongful act of a State (Article 31.2), Article 36 of the [International Law Commission’s] Articles on State Responsibility provides: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 The State responsible for an internationally wrongful act is under an obligation to compensate for the damage caused thereby, insofar as such damage is not made good by restitution.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2. The compensation shall cover </w:t>
      </w:r>
      <w:r w:rsidRPr="00BE407E">
        <w:rPr>
          <w:rFonts w:ascii="Times New Roman" w:eastAsia="Times New Roman" w:hAnsi="Times New Roman" w:cs="Times New Roman"/>
          <w:i/>
          <w:iCs/>
          <w:sz w:val="24"/>
          <w:szCs w:val="24"/>
        </w:rPr>
        <w:t>any</w:t>
      </w:r>
      <w:r w:rsidRPr="00BE407E">
        <w:rPr>
          <w:rFonts w:ascii="Times New Roman" w:eastAsia="Times New Roman" w:hAnsi="Times New Roman" w:cs="Times New Roman"/>
          <w:sz w:val="24"/>
          <w:szCs w:val="24"/>
        </w:rPr>
        <w:t xml:space="preserve"> financially assessable damage including loss of profits insofar as it is established.”</w:t>
      </w:r>
      <w:r>
        <w:rPr>
          <w:rFonts w:ascii="Times New Roman" w:eastAsia="Times New Roman" w:hAnsi="Times New Roman" w:cs="Times New Roman"/>
          <w:noProof/>
          <w:sz w:val="24"/>
          <w:szCs w:val="24"/>
        </w:rPr>
        <w:drawing>
          <wp:inline distT="0" distB="0" distL="0" distR="0">
            <wp:extent cx="151130" cy="142875"/>
            <wp:effectExtent l="19050" t="0" r="1270" b="0"/>
            <wp:docPr id="2839" name="Imagen 28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Kuwait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According to the Report on the Practice of Kuwait, it is Kuwait’s </w:t>
      </w:r>
      <w:r w:rsidRPr="00BE407E">
        <w:rPr>
          <w:rFonts w:ascii="Times New Roman" w:eastAsia="Times New Roman" w:hAnsi="Times New Roman" w:cs="Times New Roman"/>
          <w:i/>
          <w:iCs/>
          <w:sz w:val="24"/>
          <w:szCs w:val="24"/>
        </w:rPr>
        <w:t>opinio juris</w:t>
      </w:r>
      <w:r w:rsidRPr="00BE407E">
        <w:rPr>
          <w:rFonts w:ascii="Times New Roman" w:eastAsia="Times New Roman" w:hAnsi="Times New Roman" w:cs="Times New Roman"/>
          <w:sz w:val="24"/>
          <w:szCs w:val="24"/>
        </w:rPr>
        <w:t xml:space="preserve"> that States that cause damage to the environment are under a duty to remedy such damage.</w:t>
      </w:r>
      <w:r>
        <w:rPr>
          <w:rFonts w:ascii="Times New Roman" w:eastAsia="Times New Roman" w:hAnsi="Times New Roman" w:cs="Times New Roman"/>
          <w:noProof/>
          <w:sz w:val="24"/>
          <w:szCs w:val="24"/>
        </w:rPr>
        <w:drawing>
          <wp:inline distT="0" distB="0" distL="0" distR="0">
            <wp:extent cx="151130" cy="142875"/>
            <wp:effectExtent l="19050" t="0" r="1270" b="0"/>
            <wp:docPr id="2840" name="Imagen 28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Malaysia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written statement submitted to the ICJ in Legal Consequences of the Construction of a Wall in the Occupied Palestinian Territory in 2004, Malaysia stated: </w:t>
      </w:r>
      <w:r w:rsidRPr="00BE407E">
        <w:rPr>
          <w:rFonts w:ascii="Times New Roman" w:eastAsia="Times New Roman" w:hAnsi="Times New Roman" w:cs="Times New Roman"/>
          <w:sz w:val="24"/>
          <w:szCs w:val="24"/>
        </w:rPr>
        <w:br/>
        <w:t>Israel is obliged to make reparation to the Palestinian Authority, as well as to the individual victims concerned, for all the internationally wrongful acts committed by the construction and maintenance of the Wall.</w:t>
      </w:r>
      <w:r>
        <w:rPr>
          <w:rFonts w:ascii="Times New Roman" w:eastAsia="Times New Roman" w:hAnsi="Times New Roman" w:cs="Times New Roman"/>
          <w:noProof/>
          <w:sz w:val="24"/>
          <w:szCs w:val="24"/>
        </w:rPr>
        <w:drawing>
          <wp:inline distT="0" distB="0" distL="0" distR="0">
            <wp:extent cx="151130" cy="142875"/>
            <wp:effectExtent l="19050" t="0" r="1270" b="0"/>
            <wp:docPr id="2841" name="Imagen 28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On the one hand, Israel is under an obligation to put an end to the unlawful situation; on the other hand, it is required to make reparation for the damage caused by construction of the Wall. This leads to the application of the primary principle in the matter, namely that of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which involves the destruction of the Wall and the restoration of the </w:t>
      </w:r>
      <w:r w:rsidRPr="00BE407E">
        <w:rPr>
          <w:rFonts w:ascii="Times New Roman" w:eastAsia="Times New Roman" w:hAnsi="Times New Roman" w:cs="Times New Roman"/>
          <w:i/>
          <w:iCs/>
          <w:sz w:val="24"/>
          <w:szCs w:val="24"/>
        </w:rPr>
        <w:t>status quo ante</w:t>
      </w:r>
      <w:r w:rsidRPr="00BE407E">
        <w:rPr>
          <w:rFonts w:ascii="Times New Roman" w:eastAsia="Times New Roman" w:hAnsi="Times New Roman" w:cs="Times New Roman"/>
          <w:sz w:val="24"/>
          <w:szCs w:val="24"/>
        </w:rPr>
        <w:t>.</w:t>
      </w:r>
      <w:r>
        <w:rPr>
          <w:rFonts w:ascii="Times New Roman" w:eastAsia="Times New Roman" w:hAnsi="Times New Roman" w:cs="Times New Roman"/>
          <w:noProof/>
          <w:sz w:val="24"/>
          <w:szCs w:val="24"/>
        </w:rPr>
        <w:drawing>
          <wp:inline distT="0" distB="0" distL="0" distR="0">
            <wp:extent cx="151130" cy="142875"/>
            <wp:effectExtent l="19050" t="0" r="1270" b="0"/>
            <wp:docPr id="2842" name="Imagen 28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its fourth periodic report to the Committee against Torture, Peru stated: </w:t>
      </w:r>
      <w:r w:rsidRPr="00BE407E">
        <w:rPr>
          <w:rFonts w:ascii="Times New Roman" w:eastAsia="Times New Roman" w:hAnsi="Times New Roman" w:cs="Times New Roman"/>
          <w:sz w:val="24"/>
          <w:szCs w:val="24"/>
        </w:rPr>
        <w:br/>
        <w:t>120. The TRC [Truth and Reconciliation Commission] laid down the duty and right to compensate the victims of violence in the following terms: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According to international human rights law, the responsibility of the State arises when the latter fails to fulfil its primary obligation to respect and ensure respect for internally recognized human rights. This obligation includes … </w:t>
      </w:r>
      <w:r w:rsidRPr="00BE407E">
        <w:rPr>
          <w:rFonts w:ascii="Times New Roman" w:eastAsia="Times New Roman" w:hAnsi="Times New Roman" w:cs="Times New Roman"/>
          <w:i/>
          <w:iCs/>
          <w:sz w:val="24"/>
          <w:szCs w:val="24"/>
        </w:rPr>
        <w:t>the duty to provide compensation for victims</w:t>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 xml:space="preserve">121. Insofar as, according to the TRC, the Peruvian State has the duty to offer due compensation to all victims of violence, including torture victims, the TRC recommended a Comprehensive Plan for Reparations, the general objective of which is: “to repair and compensate the violation of human rights as well as social, moral and material losses or damage suffered by victims as a result of internal armed conflict.” This plan makes provision for various types of reparations … </w:t>
      </w:r>
      <w:r w:rsidRPr="00BE407E">
        <w:rPr>
          <w:rFonts w:ascii="Times New Roman" w:eastAsia="Times New Roman" w:hAnsi="Times New Roman" w:cs="Times New Roman"/>
          <w:sz w:val="24"/>
          <w:szCs w:val="24"/>
        </w:rPr>
        <w:br/>
        <w:t>Comprehensive Plan for Reparations includes torture victims: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Generally speaking, the TRC considers that victims include … all persons or groups of persons who for the purposes of or on account of the internal armed conflict which the country underwent between May 1980 and November 2000 have been subjected to any acts or omissions that violate the rules of international human rights law, such as: enforced disappearance, abduction, extrajudicial execution, assassination, enforced displacement, arbitrary arrest and violation of due process, enforced recruitment, torture, rape, and wounds, injuries or death inflicted in the course of attacks that violate international humanitarian law.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123. In order to follow up the TRC’s recommendations and to coordinate the implementation of public policies specifically aimed at the fulfilment of peace, reconciliation and collective reparation goals, the High Level Multisectoral Committee was set up with responsibility for monitoring State actions and policies in the areas of peace, collective reparation and national reconciliation. Within one year of the issue of the TRC’s final report, the High Level Committee found that a number of steps had been taken to achieve collective reparations, including the following: approval of the Framework Programme of State Action in the Area of Peace, Reparation and National Reconciliation; the Supreme Decree extending the benefits of comprehensive health insurance to the victims of internal conflict suffering from mental health problems; and the Ministerial Decision setting up a list of victims’ organizations.</w:t>
      </w:r>
      <w:r>
        <w:rPr>
          <w:rFonts w:ascii="Times New Roman" w:eastAsia="Times New Roman" w:hAnsi="Times New Roman" w:cs="Times New Roman"/>
          <w:noProof/>
          <w:sz w:val="24"/>
          <w:szCs w:val="24"/>
        </w:rPr>
        <w:drawing>
          <wp:inline distT="0" distB="0" distL="0" distR="0">
            <wp:extent cx="151130" cy="142875"/>
            <wp:effectExtent l="19050" t="0" r="1270" b="0"/>
            <wp:docPr id="2843" name="Imagen 28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 footnotes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Saudi Arabia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written statement submitted to the ICJ in </w:t>
      </w:r>
      <w:r w:rsidRPr="00BE407E">
        <w:rPr>
          <w:rFonts w:ascii="Times New Roman" w:eastAsia="Times New Roman" w:hAnsi="Times New Roman" w:cs="Times New Roman"/>
          <w:i/>
          <w:iCs/>
          <w:sz w:val="24"/>
          <w:szCs w:val="24"/>
        </w:rPr>
        <w:t>Legal Consequences of the Construction of a Wall in the Occupied Palestinian Territory</w:t>
      </w:r>
      <w:r w:rsidRPr="00BE407E">
        <w:rPr>
          <w:rFonts w:ascii="Times New Roman" w:eastAsia="Times New Roman" w:hAnsi="Times New Roman" w:cs="Times New Roman"/>
          <w:sz w:val="24"/>
          <w:szCs w:val="24"/>
        </w:rPr>
        <w:t xml:space="preserve"> in 2004, Saudi Arabia stated regarding the obligation to make reparation arising from an internationally wrongful act:</w:t>
      </w:r>
      <w:r w:rsidRPr="00BE407E">
        <w:rPr>
          <w:rFonts w:ascii="Times New Roman" w:eastAsia="Times New Roman" w:hAnsi="Times New Roman" w:cs="Times New Roman"/>
          <w:sz w:val="24"/>
          <w:szCs w:val="24"/>
        </w:rPr>
        <w:br/>
        <w:t>The Separation Wall is an international wrongful act by the occupying Power and thus entails its international responsibility. There are legal consequences. The first obligation is to cease performance of the internationally wrongful act, not to repeat it, and to make full reparation. Reparation includes restitution, which in this case requires destruction of the Separation Wall, compensation and satisfaction.</w:t>
      </w:r>
      <w:r>
        <w:rPr>
          <w:rFonts w:ascii="Times New Roman" w:eastAsia="Times New Roman" w:hAnsi="Times New Roman" w:cs="Times New Roman"/>
          <w:noProof/>
          <w:sz w:val="24"/>
          <w:szCs w:val="24"/>
        </w:rPr>
        <w:drawing>
          <wp:inline distT="0" distB="0" distL="0" distR="0">
            <wp:extent cx="151130" cy="142875"/>
            <wp:effectExtent l="19050" t="0" r="1270" b="0"/>
            <wp:docPr id="2844" name="Imagen 28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2008, in its written replies to the Human Rights Committee concerning its fifth periodic report, Spain stated with regard to the reparation measures that have been granted to victims of torture: “[N]ote should be taken of the recent adoption of Act. No. 52/2007 of 26 December 2007, which recognizes and extends rights and introduces measures in favour of victims of persecution or violence during the civil war and the dictatorship”.</w:t>
      </w:r>
      <w:r>
        <w:rPr>
          <w:rFonts w:ascii="Times New Roman" w:eastAsia="Times New Roman" w:hAnsi="Times New Roman" w:cs="Times New Roman"/>
          <w:noProof/>
          <w:sz w:val="24"/>
          <w:szCs w:val="24"/>
        </w:rPr>
        <w:drawing>
          <wp:inline distT="0" distB="0" distL="0" distR="0">
            <wp:extent cx="151130" cy="142875"/>
            <wp:effectExtent l="19050" t="0" r="1270" b="0"/>
            <wp:docPr id="2845" name="Imagen 28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Uganda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Annexure to the Agreement on Accountability and Reconciliation signed between the Government of the Republic of Uganda and the Lord’s Resistance Army/Movement in 2007, the contracting Parties, </w:t>
      </w:r>
      <w:r w:rsidRPr="00BE407E">
        <w:rPr>
          <w:rFonts w:ascii="Times New Roman" w:eastAsia="Times New Roman" w:hAnsi="Times New Roman" w:cs="Times New Roman"/>
          <w:sz w:val="24"/>
          <w:szCs w:val="24"/>
        </w:rPr>
        <w:br/>
        <w:t>[h]aving signed the Principal Agreement by which the parties committed themselves to implementing accountability and reconciliation with respect to the conflict;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w:t>
      </w:r>
      <w:r w:rsidRPr="00BE407E">
        <w:rPr>
          <w:rFonts w:ascii="Times New Roman" w:eastAsia="Times New Roman" w:hAnsi="Times New Roman" w:cs="Times New Roman"/>
          <w:sz w:val="24"/>
          <w:szCs w:val="24"/>
        </w:rPr>
        <w:br/>
        <w:t>[decided that t]he Government shall by law establish a body to be conferred with all the necessary powers and immunities [to inquire into the past and related matters], whose functions shall include: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 to make recommendations for the most appropriate modalities for implementing a regime of reparations, taking into account the principles set out in the Principal Agreement.</w:t>
      </w:r>
      <w:r>
        <w:rPr>
          <w:rFonts w:ascii="Times New Roman" w:eastAsia="Times New Roman" w:hAnsi="Times New Roman" w:cs="Times New Roman"/>
          <w:noProof/>
          <w:sz w:val="24"/>
          <w:szCs w:val="24"/>
        </w:rPr>
        <w:drawing>
          <wp:inline distT="0" distB="0" distL="0" distR="0">
            <wp:extent cx="151130" cy="142875"/>
            <wp:effectExtent l="19050" t="0" r="1270" b="0"/>
            <wp:docPr id="2846" name="Imagen 28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16. The Government shall establish the necessary arrangements for making reparations to victims of the conflict in accordance with the terms of the Principal Agreement.</w:t>
      </w:r>
      <w:r w:rsidRPr="00BE407E">
        <w:rPr>
          <w:rFonts w:ascii="Times New Roman" w:eastAsia="Times New Roman" w:hAnsi="Times New Roman" w:cs="Times New Roman"/>
          <w:sz w:val="24"/>
          <w:szCs w:val="24"/>
        </w:rPr>
        <w:br/>
        <w:t>17. Prior to establishing arrangements for reparations, the Government shall review the financial and institutional requirements for reparations, in order to ensure the adoption of the most effective mechanisms for reparations.</w:t>
      </w:r>
      <w:r w:rsidRPr="00BE407E">
        <w:rPr>
          <w:rFonts w:ascii="Times New Roman" w:eastAsia="Times New Roman" w:hAnsi="Times New Roman" w:cs="Times New Roman"/>
          <w:sz w:val="24"/>
          <w:szCs w:val="24"/>
        </w:rPr>
        <w:br/>
        <w:t>18. In reviewing the question of reparations, consideration shall be given to clarifying and determining the procedures for reparations.</w:t>
      </w:r>
      <w:r>
        <w:rPr>
          <w:rFonts w:ascii="Times New Roman" w:eastAsia="Times New Roman" w:hAnsi="Times New Roman" w:cs="Times New Roman"/>
          <w:noProof/>
          <w:sz w:val="24"/>
          <w:szCs w:val="24"/>
        </w:rPr>
        <w:drawing>
          <wp:inline distT="0" distB="0" distL="0" distR="0">
            <wp:extent cx="151130" cy="142875"/>
            <wp:effectExtent l="19050" t="0" r="1270" b="0"/>
            <wp:docPr id="2847" name="Imagen 28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2001, a draft concurrent resolution was put before the US Congress for it to call upon the government of Japan to “immediately pay reparations to the victims of [sexual enslavement of young women during colonial occupation of Asia and the Pacific Islands during the Second World War, known to the world as ‘comfort women’]”.</w:t>
      </w:r>
      <w:r>
        <w:rPr>
          <w:rFonts w:ascii="Times New Roman" w:eastAsia="Times New Roman" w:hAnsi="Times New Roman" w:cs="Times New Roman"/>
          <w:noProof/>
          <w:sz w:val="24"/>
          <w:szCs w:val="24"/>
        </w:rPr>
        <w:drawing>
          <wp:inline distT="0" distB="0" distL="0" distR="0">
            <wp:extent cx="151130" cy="142875"/>
            <wp:effectExtent l="19050" t="0" r="1270" b="0"/>
            <wp:docPr id="2848" name="Imagen 28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2005, the US Department of Justice submitted a Statement of Interest of the United States to the US District Court for the Eastern District of New York prior to that court’s consideration of </w:t>
      </w:r>
      <w:r w:rsidRPr="00BE407E">
        <w:rPr>
          <w:rFonts w:ascii="Times New Roman" w:eastAsia="Times New Roman" w:hAnsi="Times New Roman" w:cs="Times New Roman"/>
          <w:i/>
          <w:iCs/>
          <w:sz w:val="24"/>
          <w:szCs w:val="24"/>
        </w:rPr>
        <w:t>Agent Orange Product Liability Litigation (The Vietnam Association for Victims of Agent Orange/Dioxin, et al. v. Dow Chemical Company, et al)</w:t>
      </w:r>
      <w:r w:rsidRPr="00BE407E">
        <w:rPr>
          <w:rFonts w:ascii="Times New Roman" w:eastAsia="Times New Roman" w:hAnsi="Times New Roman" w:cs="Times New Roman"/>
          <w:sz w:val="24"/>
          <w:szCs w:val="24"/>
        </w:rPr>
        <w:t>. That statement reiterated the US position that no rule of international law barred the use of chemical herbicides in war generally nor barred the destruction of crops intended for use by enemy forces. With regard to reparations, it stated:</w:t>
      </w:r>
      <w:r w:rsidRPr="00BE407E">
        <w:rPr>
          <w:rFonts w:ascii="Times New Roman" w:eastAsia="Times New Roman" w:hAnsi="Times New Roman" w:cs="Times New Roman"/>
          <w:sz w:val="24"/>
          <w:szCs w:val="24"/>
        </w:rPr>
        <w:br/>
        <w:t>[I]n light of the traditional rule of international law that war reparations are the subject of government-to-government negotiations, and not individual claims, recognizing such federal common law claims would be truly extraordinary.</w:t>
      </w:r>
      <w:r w:rsidRPr="00BE407E">
        <w:rPr>
          <w:rFonts w:ascii="Times New Roman" w:eastAsia="Times New Roman" w:hAnsi="Times New Roman" w:cs="Times New Roman"/>
          <w:sz w:val="24"/>
          <w:szCs w:val="24"/>
        </w:rPr>
        <w:br/>
        <w:t xml:space="preserve">War reparations include “all the loss and damage to which … Governments and their nationals have been subjected as a consequence of the war imposed upon them.” </w:t>
      </w:r>
      <w:r w:rsidRPr="00BE407E">
        <w:rPr>
          <w:rFonts w:ascii="Times New Roman" w:eastAsia="Times New Roman" w:hAnsi="Times New Roman" w:cs="Times New Roman"/>
          <w:i/>
          <w:iCs/>
          <w:sz w:val="24"/>
          <w:szCs w:val="24"/>
        </w:rPr>
        <w:t>Burger-Fischer v. Degussa</w:t>
      </w:r>
      <w:r w:rsidRPr="00BE407E">
        <w:rPr>
          <w:rFonts w:ascii="Times New Roman" w:eastAsia="Times New Roman" w:hAnsi="Times New Roman" w:cs="Times New Roman"/>
          <w:sz w:val="24"/>
          <w:szCs w:val="24"/>
        </w:rPr>
        <w:t xml:space="preserve"> AG, 65 F. Supp. 2d 248, 275 (D.NJ. 1999), quoting The Versatile Treaty, art. 231. See also Black’s Law Dictionary at 1325 (8th ed. 2004) (defining reparations as “[c]ompensation for an injury or wrong, esp. for wartime damages or breach of an international obligation”). Claims based upon the United States’ use of chemical herbicides as a tool of war readily fall within the scope of war reparations clai ms.</w:t>
      </w:r>
      <w:r w:rsidRPr="00BE407E">
        <w:rPr>
          <w:rFonts w:ascii="Times New Roman" w:eastAsia="Times New Roman" w:hAnsi="Times New Roman" w:cs="Times New Roman"/>
          <w:sz w:val="24"/>
          <w:szCs w:val="24"/>
        </w:rPr>
        <w:br/>
        <w:t xml:space="preserve">Yet such war reparations claims have traditionally been, and as a matter of customary international law are, the subject of government-to-government negotiations, as opposed to private lawsuits. “Under international law claims for compensation by individuals harmed by war-related activity belong exclusively to the state of which the individual is a citizen.” Burger-Fischer. 65 F. Supp. at 273. Thus, “[l]ike other claims for violation of an international obligation, a state’s claim for a violation that caused injury to rights or interests of private persons </w:t>
      </w:r>
      <w:r w:rsidRPr="00BE407E">
        <w:rPr>
          <w:rFonts w:ascii="Times New Roman" w:eastAsia="Times New Roman" w:hAnsi="Times New Roman" w:cs="Times New Roman"/>
          <w:i/>
          <w:iCs/>
          <w:sz w:val="24"/>
          <w:szCs w:val="24"/>
        </w:rPr>
        <w:t>is a claim of the state and is under the state’s control</w:t>
      </w:r>
      <w:r w:rsidRPr="00BE407E">
        <w:rPr>
          <w:rFonts w:ascii="Times New Roman" w:eastAsia="Times New Roman" w:hAnsi="Times New Roman" w:cs="Times New Roman"/>
          <w:sz w:val="24"/>
          <w:szCs w:val="24"/>
        </w:rPr>
        <w:t xml:space="preserve">… Any reparation is, in principle, for the violation of the obligation to the state, and any payment made is to the state.” Restatement (3d) Foreign Relations § 902, comment i (emphasis added); cf </w:t>
      </w:r>
      <w:r w:rsidRPr="00BE407E">
        <w:rPr>
          <w:rFonts w:ascii="Times New Roman" w:eastAsia="Times New Roman" w:hAnsi="Times New Roman" w:cs="Times New Roman"/>
          <w:i/>
          <w:iCs/>
          <w:sz w:val="24"/>
          <w:szCs w:val="24"/>
        </w:rPr>
        <w:t>Am. Ins. Ass’n v. Garamendi</w:t>
      </w:r>
      <w:r w:rsidRPr="00BE407E">
        <w:rPr>
          <w:rFonts w:ascii="Times New Roman" w:eastAsia="Times New Roman" w:hAnsi="Times New Roman" w:cs="Times New Roman"/>
          <w:sz w:val="24"/>
          <w:szCs w:val="24"/>
        </w:rPr>
        <w:t>, 539 U.S. 396, 416 (2003) (“[historically, wartime claims against even nominally private entities have become issues in international diplomacy”).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This latter point undermines any assertion that private claims for war reparations are as widely accepted as the eighteenth century paradigms discussed in </w:t>
      </w:r>
      <w:r w:rsidRPr="00BE407E">
        <w:rPr>
          <w:rFonts w:ascii="Times New Roman" w:eastAsia="Times New Roman" w:hAnsi="Times New Roman" w:cs="Times New Roman"/>
          <w:i/>
          <w:iCs/>
          <w:sz w:val="24"/>
          <w:szCs w:val="24"/>
        </w:rPr>
        <w:t>Sosa</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Sosa v. Alvarez-Machain</w:t>
      </w:r>
      <w:r w:rsidRPr="00BE407E">
        <w:rPr>
          <w:rFonts w:ascii="Times New Roman" w:eastAsia="Times New Roman" w:hAnsi="Times New Roman" w:cs="Times New Roman"/>
          <w:sz w:val="24"/>
          <w:szCs w:val="24"/>
        </w:rPr>
        <w:t xml:space="preserve">, US Supreme Court, 2004]. To the contrary, it establishes precisely the opposite – as a matter of international law war reparations claims such as plaintiffs’ belong to states and not to individuals. To jettison this legal principle in order to recognize individual causes of actions for plaintiffs’ claims would run counter to </w:t>
      </w:r>
      <w:r w:rsidRPr="00BE407E">
        <w:rPr>
          <w:rFonts w:ascii="Times New Roman" w:eastAsia="Times New Roman" w:hAnsi="Times New Roman" w:cs="Times New Roman"/>
          <w:i/>
          <w:iCs/>
          <w:sz w:val="24"/>
          <w:szCs w:val="24"/>
        </w:rPr>
        <w:t>Sosa’s</w:t>
      </w:r>
      <w:r w:rsidRPr="00BE407E">
        <w:rPr>
          <w:rFonts w:ascii="Times New Roman" w:eastAsia="Times New Roman" w:hAnsi="Times New Roman" w:cs="Times New Roman"/>
          <w:sz w:val="24"/>
          <w:szCs w:val="24"/>
        </w:rPr>
        <w:t xml:space="preserve"> admonition that the practical consequences of recognizing new causes of action “must” inform the Court’s judgment in crafting federal common law. In sum, the determination of whether, when, and how to pay reparations for conduct of the United States’ Armed Forces should stay where it has been for the past two-hundred-plus years by virtue of both the Constitution and principles of customary international law – with the Political Branches of government. For this reason as well, the Court should not recognize any federal common law cause of action in this case.</w:t>
      </w:r>
      <w:r>
        <w:rPr>
          <w:rFonts w:ascii="Times New Roman" w:eastAsia="Times New Roman" w:hAnsi="Times New Roman" w:cs="Times New Roman"/>
          <w:noProof/>
          <w:sz w:val="24"/>
          <w:szCs w:val="24"/>
        </w:rPr>
        <w:drawing>
          <wp:inline distT="0" distB="0" distL="0" distR="0">
            <wp:extent cx="151130" cy="142875"/>
            <wp:effectExtent l="19050" t="0" r="1270" b="0"/>
            <wp:docPr id="2849" name="Imagen 28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2005, in its second periodic report to the Committee Against Torture, the United States stated that it “continues to hold the view that in addition to monetary compensation, States should take steps to make available other forms of remedial benefits to victims of torture, including medical and psychiatric treatment as well as social and legal services”.</w:t>
      </w:r>
      <w:r>
        <w:rPr>
          <w:rFonts w:ascii="Times New Roman" w:eastAsia="Times New Roman" w:hAnsi="Times New Roman" w:cs="Times New Roman"/>
          <w:noProof/>
          <w:sz w:val="24"/>
          <w:szCs w:val="24"/>
        </w:rPr>
        <w:drawing>
          <wp:inline distT="0" distB="0" distL="0" distR="0">
            <wp:extent cx="151130" cy="142875"/>
            <wp:effectExtent l="19050" t="0" r="1270" b="0"/>
            <wp:docPr id="2850" name="Imagen 28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0" w:history="1">
        <w:r w:rsidRPr="00BE407E">
          <w:rPr>
            <w:rFonts w:ascii="Times New Roman" w:eastAsia="Times New Roman" w:hAnsi="Times New Roman" w:cs="Times New Roman"/>
            <w:color w:val="0000FF"/>
            <w:sz w:val="24"/>
            <w:szCs w:val="24"/>
            <w:u w:val="single"/>
          </w:rPr>
          <w:t>VII. United Nations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General Assembly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1993 on the conflict in the former Yugoslavia, the UN General Assembly recognized “the right of victims of ‘ethnic cleansing’ to receive just reparation for their losses” and urged all parties “to fulfil their agreements to this end”.</w:t>
      </w:r>
      <w:r>
        <w:rPr>
          <w:rFonts w:ascii="Times New Roman" w:eastAsia="Times New Roman" w:hAnsi="Times New Roman" w:cs="Times New Roman"/>
          <w:noProof/>
          <w:sz w:val="24"/>
          <w:szCs w:val="24"/>
        </w:rPr>
        <w:drawing>
          <wp:inline distT="0" distB="0" distL="0" distR="0">
            <wp:extent cx="151130" cy="142875"/>
            <wp:effectExtent l="19050" t="0" r="1270" b="0"/>
            <wp:docPr id="2851" name="Imagen 28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1994 on the conflict in the former Yugoslavia, the UN General Assembly recognized “the right of victims of ethnic cleansing to receive just reparation for their losses” and urged all parties “to fulfil their agreements to this end”.</w:t>
      </w:r>
      <w:r>
        <w:rPr>
          <w:rFonts w:ascii="Times New Roman" w:eastAsia="Times New Roman" w:hAnsi="Times New Roman" w:cs="Times New Roman"/>
          <w:noProof/>
          <w:sz w:val="24"/>
          <w:szCs w:val="24"/>
        </w:rPr>
        <w:drawing>
          <wp:inline distT="0" distB="0" distL="0" distR="0">
            <wp:extent cx="151130" cy="142875"/>
            <wp:effectExtent l="19050" t="0" r="1270" b="0"/>
            <wp:docPr id="2852" name="Imagen 28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1996 on Afghanistan, the UN General Assembly urged the Afghan authorities “to provide efficient and effective remedies to the victims of grave violations of human rights and of accepted humanitarian rules”.</w:t>
      </w:r>
      <w:r>
        <w:rPr>
          <w:rFonts w:ascii="Times New Roman" w:eastAsia="Times New Roman" w:hAnsi="Times New Roman" w:cs="Times New Roman"/>
          <w:noProof/>
          <w:sz w:val="24"/>
          <w:szCs w:val="24"/>
        </w:rPr>
        <w:drawing>
          <wp:inline distT="0" distB="0" distL="0" distR="0">
            <wp:extent cx="151130" cy="142875"/>
            <wp:effectExtent l="19050" t="0" r="1270" b="0"/>
            <wp:docPr id="2853" name="Imagen 28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2001, the UN General Assembly adopted a resolution entitled “Responsibility of States for internationally wrongful acts”, to which the 2001 ILC Draft Articles on State Responsibility, and thus Article 31 entitled “Reparation”, was annexed. In the resolution, the General Assembly took note of the Draft Articles and commended them to the attention of governments “without prejudice to the question of their future adoption or other appropriate action”.</w:t>
      </w:r>
      <w:r>
        <w:rPr>
          <w:rFonts w:ascii="Times New Roman" w:eastAsia="Times New Roman" w:hAnsi="Times New Roman" w:cs="Times New Roman"/>
          <w:noProof/>
          <w:sz w:val="24"/>
          <w:szCs w:val="24"/>
        </w:rPr>
        <w:drawing>
          <wp:inline distT="0" distB="0" distL="0" distR="0">
            <wp:extent cx="151130" cy="142875"/>
            <wp:effectExtent l="19050" t="0" r="1270" b="0"/>
            <wp:docPr id="2854" name="Imagen 28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2003 on torture and other cruel, inhuman or degrading treatment or punishment, the UN General Assembly stressed:</w:t>
      </w:r>
      <w:r w:rsidRPr="00BE407E">
        <w:rPr>
          <w:rFonts w:ascii="Times New Roman" w:eastAsia="Times New Roman" w:hAnsi="Times New Roman" w:cs="Times New Roman"/>
          <w:sz w:val="24"/>
          <w:szCs w:val="24"/>
        </w:rPr>
        <w:br/>
        <w:t>… that national legal systems should ensure that the victims of [torture or other cruel, inhuman or degrading treatment or punishment] obtain redress, are awarded fair and adequate compensation and receive appropriate social and medical rehabilitation, and encourages the development of rehabilitation centres for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2855" name="Imagen 28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resolution adopted in 2004 during an emergency special session on the Advisory Opinion of the ICJ on the </w:t>
      </w:r>
      <w:r w:rsidRPr="00BE407E">
        <w:rPr>
          <w:rFonts w:ascii="Times New Roman" w:eastAsia="Times New Roman" w:hAnsi="Times New Roman" w:cs="Times New Roman"/>
          <w:i/>
          <w:iCs/>
          <w:sz w:val="24"/>
          <w:szCs w:val="24"/>
        </w:rPr>
        <w:t>Legal Consequences of the Construction</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of a Wall in the Occupied Palestinian Territory</w:t>
      </w:r>
      <w:r w:rsidRPr="00BE407E">
        <w:rPr>
          <w:rFonts w:ascii="Times New Roman" w:eastAsia="Times New Roman" w:hAnsi="Times New Roman" w:cs="Times New Roman"/>
          <w:sz w:val="24"/>
          <w:szCs w:val="24"/>
        </w:rPr>
        <w:t>, including in and around East Jerusalem, the UN General Assembly:</w:t>
      </w:r>
      <w:r w:rsidRPr="00BE407E">
        <w:rPr>
          <w:rFonts w:ascii="Times New Roman" w:eastAsia="Times New Roman" w:hAnsi="Times New Roman" w:cs="Times New Roman"/>
          <w:sz w:val="24"/>
          <w:szCs w:val="24"/>
        </w:rPr>
        <w:br/>
        <w:t xml:space="preserve">Having received with respect the advisory opinion of the Court on the Legal Consequences of the Construction of a Wall in the Occupied Palestinian Territory, </w:t>
      </w:r>
      <w:r w:rsidRPr="00BE407E">
        <w:rPr>
          <w:rFonts w:ascii="Times New Roman" w:eastAsia="Times New Roman" w:hAnsi="Times New Roman" w:cs="Times New Roman"/>
          <w:sz w:val="24"/>
          <w:szCs w:val="24"/>
        </w:rPr>
        <w:lastRenderedPageBreak/>
        <w:t>rendered on 9 July 2004,</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Noting in particular </w:t>
      </w:r>
      <w:r w:rsidRPr="00BE407E">
        <w:rPr>
          <w:rFonts w:ascii="Times New Roman" w:eastAsia="Times New Roman" w:hAnsi="Times New Roman" w:cs="Times New Roman"/>
          <w:sz w:val="24"/>
          <w:szCs w:val="24"/>
        </w:rPr>
        <w:t>that the Court replied to the question put forth by the General Assembly in resolution ES-10/14 as follows: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Israel is under an obligation to terminate its breaches of international law; it is under an obligation to cease forthwith the works of construction of the wall being built in the Occupied Palestinian Territory, including in and around East Jerusalem, to dismantle forthwith the structure therein situated, and to repeal or render ineffective forthwith all legislative and regulatory acts relating thereto, in accordance with paragraph 151 of this Opinion;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Israel is under an obligation to make reparation for all damage caused by the construction of the wall in the Occupied Palestinian Territory, including in and around East Jerusalem;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 xml:space="preserve">Demands </w:t>
      </w:r>
      <w:r w:rsidRPr="00BE407E">
        <w:rPr>
          <w:rFonts w:ascii="Times New Roman" w:eastAsia="Times New Roman" w:hAnsi="Times New Roman" w:cs="Times New Roman"/>
          <w:sz w:val="24"/>
          <w:szCs w:val="24"/>
        </w:rPr>
        <w:t>that Israel, the occupying Power, comply with its legal obligations as mentioned in the advisory opinion.</w:t>
      </w:r>
      <w:r>
        <w:rPr>
          <w:rFonts w:ascii="Times New Roman" w:eastAsia="Times New Roman" w:hAnsi="Times New Roman" w:cs="Times New Roman"/>
          <w:noProof/>
          <w:sz w:val="24"/>
          <w:szCs w:val="24"/>
        </w:rPr>
        <w:drawing>
          <wp:inline distT="0" distB="0" distL="0" distR="0">
            <wp:extent cx="151130" cy="142875"/>
            <wp:effectExtent l="19050" t="0" r="1270" b="0"/>
            <wp:docPr id="2856" name="Imagen 28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2004 on Israeli practices affecting the human rights of the Palestinian people in the Occupied Palestinian Territory, including East Jerusalem,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Demands </w:t>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that Israel, the occupying Power, comply with its legal obligations under international law, as mentioned in the advisory opinion rendered on 9 July 2004 by the International Court of Justice and as demanded in resolution ES-10/15 and resolution ES-10/13 of 21 October 2003, and that it cease the construction of the wall in the Occupied Palestinian Territory, including in and around East Jerusalem, dismantle forthwith the structure situated therein, repeal or render ineffective all legislative and regulatory acts relating thereto, and make reparation for all damage caused by the construction of the wall.</w:t>
      </w:r>
      <w:r>
        <w:rPr>
          <w:rFonts w:ascii="Times New Roman" w:eastAsia="Times New Roman" w:hAnsi="Times New Roman" w:cs="Times New Roman"/>
          <w:noProof/>
          <w:sz w:val="24"/>
          <w:szCs w:val="24"/>
        </w:rPr>
        <w:drawing>
          <wp:inline distT="0" distB="0" distL="0" distR="0">
            <wp:extent cx="151130" cy="142875"/>
            <wp:effectExtent l="19050" t="0" r="1270" b="0"/>
            <wp:docPr id="2857" name="Imagen 28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2004 on torture and other cruel, inhuman or degrading treatment or punishment,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Stresses </w:t>
      </w:r>
      <w:r w:rsidRPr="00BE407E">
        <w:rPr>
          <w:rFonts w:ascii="Times New Roman" w:eastAsia="Times New Roman" w:hAnsi="Times New Roman" w:cs="Times New Roman"/>
          <w:sz w:val="24"/>
          <w:szCs w:val="24"/>
        </w:rPr>
        <w:t>that national legal systems must ensure that victims of torture and other cruel, inhuman or degrading treatment or punishment obtain redress, are awarded fair and adequate compensation and receive appropriate social and medical rehabilitation, urges Governments to take effective measures to this end, and in this regard encourages the development of rehabilitation centres.</w:t>
      </w:r>
      <w:r>
        <w:rPr>
          <w:rFonts w:ascii="Times New Roman" w:eastAsia="Times New Roman" w:hAnsi="Times New Roman" w:cs="Times New Roman"/>
          <w:noProof/>
          <w:sz w:val="24"/>
          <w:szCs w:val="24"/>
        </w:rPr>
        <w:drawing>
          <wp:inline distT="0" distB="0" distL="0" distR="0">
            <wp:extent cx="151130" cy="142875"/>
            <wp:effectExtent l="19050" t="0" r="1270" b="0"/>
            <wp:docPr id="2858" name="Imagen 28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Israeli practices affecting the human rights of the Palestinian people in the Occupied Palestinian Territory, including East Jerusalem,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Demands </w:t>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that Israel, the occupying Power, comply with its legal obligations under international law, as mentioned in the advisory opinion rendered on 9 July 2004 by the International Court of Justice and as demanded in resolution ES-10/15 and resolution ES-10/13 of 21 October 2003, and that it immediately cease the construction of the wall in the Occupied Palestinian Territory, including in and around East Jerusalem, dismantle forthwith the structure situated therein, repeal or render ineffective all legislative and regulatory acts relating thereto, and make reparation for all damage caused by the construction of the wall.</w:t>
      </w:r>
      <w:r>
        <w:rPr>
          <w:rFonts w:ascii="Times New Roman" w:eastAsia="Times New Roman" w:hAnsi="Times New Roman" w:cs="Times New Roman"/>
          <w:noProof/>
          <w:sz w:val="24"/>
          <w:szCs w:val="24"/>
        </w:rPr>
        <w:drawing>
          <wp:inline distT="0" distB="0" distL="0" distR="0">
            <wp:extent cx="151130" cy="142875"/>
            <wp:effectExtent l="19050" t="0" r="1270" b="0"/>
            <wp:docPr id="2859" name="Imagen 28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entitled “Basic Principles and Guidelines on the Right to a Remedy and Reparation for Victims of Gross Violations of International Human Rights Law and Serious Violations of International Humanitarian Law”,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lastRenderedPageBreak/>
        <w:t>Affirming</w:t>
      </w:r>
      <w:r w:rsidRPr="00BE407E">
        <w:rPr>
          <w:rFonts w:ascii="Times New Roman" w:eastAsia="Times New Roman" w:hAnsi="Times New Roman" w:cs="Times New Roman"/>
          <w:sz w:val="24"/>
          <w:szCs w:val="24"/>
        </w:rPr>
        <w:t xml:space="preserve"> the importance of addressing the question of remedies and reparation for victims of gross violations of international human rights law and serious violations of international humanitarian law in a systematic and thorough way at the national and international levels,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Recognizing</w:t>
      </w:r>
      <w:r w:rsidRPr="00BE407E">
        <w:rPr>
          <w:rFonts w:ascii="Times New Roman" w:eastAsia="Times New Roman" w:hAnsi="Times New Roman" w:cs="Times New Roman"/>
          <w:sz w:val="24"/>
          <w:szCs w:val="24"/>
        </w:rPr>
        <w:t xml:space="preserve"> that in honouring the victims’ right to benefit from remedies and reparation, the international community keeps faith with the plight of victims, survivors and future human generations.</w:t>
      </w:r>
      <w:r>
        <w:rPr>
          <w:rFonts w:ascii="Times New Roman" w:eastAsia="Times New Roman" w:hAnsi="Times New Roman" w:cs="Times New Roman"/>
          <w:noProof/>
          <w:sz w:val="24"/>
          <w:szCs w:val="24"/>
        </w:rPr>
        <w:drawing>
          <wp:inline distT="0" distB="0" distL="0" distR="0">
            <wp:extent cx="151130" cy="142875"/>
            <wp:effectExtent l="19050" t="0" r="1270" b="0"/>
            <wp:docPr id="2860" name="Imagen 28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torture and other cruel, inhuman or degrading treatment or punishment,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Stresses </w:t>
      </w:r>
      <w:r w:rsidRPr="00BE407E">
        <w:rPr>
          <w:rFonts w:ascii="Times New Roman" w:eastAsia="Times New Roman" w:hAnsi="Times New Roman" w:cs="Times New Roman"/>
          <w:sz w:val="24"/>
          <w:szCs w:val="24"/>
        </w:rPr>
        <w:t>that national legal systems must ensure that victims of torture and other cruel, inhuman or degrading treatment or punishment obtain redress, are awarded fair and adequate compensation and receive appropriate social and medical rehabilitation, urges States to take effective measures to this end, and in this regard encourages the development of rehabilitation centres.</w:t>
      </w:r>
      <w:r>
        <w:rPr>
          <w:rFonts w:ascii="Times New Roman" w:eastAsia="Times New Roman" w:hAnsi="Times New Roman" w:cs="Times New Roman"/>
          <w:noProof/>
          <w:sz w:val="24"/>
          <w:szCs w:val="24"/>
        </w:rPr>
        <w:drawing>
          <wp:inline distT="0" distB="0" distL="0" distR="0">
            <wp:extent cx="151130" cy="142875"/>
            <wp:effectExtent l="19050" t="0" r="1270" b="0"/>
            <wp:docPr id="2861" name="Imagen 28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the situation in Afghanistan,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Continues to emphasize</w:t>
      </w:r>
      <w:r w:rsidRPr="00BE407E">
        <w:rPr>
          <w:rFonts w:ascii="Times New Roman" w:eastAsia="Times New Roman" w:hAnsi="Times New Roman" w:cs="Times New Roman"/>
          <w:sz w:val="24"/>
          <w:szCs w:val="24"/>
        </w:rPr>
        <w:t xml:space="preserve"> the necessity of investigating allegations of current and past violations of human rights and of international humanitarian law, including violations committed against persons belonging to ethnic and religious minorities, as well as against women and girls, [and] of facilitating the provision of efficient and effective remedies to the victims.</w:t>
      </w:r>
      <w:r>
        <w:rPr>
          <w:rFonts w:ascii="Times New Roman" w:eastAsia="Times New Roman" w:hAnsi="Times New Roman" w:cs="Times New Roman"/>
          <w:noProof/>
          <w:sz w:val="24"/>
          <w:szCs w:val="24"/>
        </w:rPr>
        <w:drawing>
          <wp:inline distT="0" distB="0" distL="0" distR="0">
            <wp:extent cx="151130" cy="142875"/>
            <wp:effectExtent l="19050" t="0" r="1270" b="0"/>
            <wp:docPr id="2862" name="Imagen 28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the commemoration of the two-hundredth anniversary of the abolition of the transatlantic slave trade,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Recalling</w:t>
      </w:r>
      <w:r w:rsidRPr="00BE407E">
        <w:rPr>
          <w:rFonts w:ascii="Times New Roman" w:eastAsia="Times New Roman" w:hAnsi="Times New Roman" w:cs="Times New Roman"/>
          <w:sz w:val="24"/>
          <w:szCs w:val="24"/>
        </w:rPr>
        <w:t xml:space="preserve"> that slavery and the slave trade were declared a crime against humanity by the World Conference against Racism, Racial Discrimination, Xenophobia and Related Intolerance, held in Durban, South Africa, from 31 August to 8 September 2001,</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t>
      </w:r>
      <w:r w:rsidRPr="00BE407E">
        <w:rPr>
          <w:rFonts w:ascii="Times New Roman" w:eastAsia="Times New Roman" w:hAnsi="Times New Roman" w:cs="Times New Roman"/>
          <w:i/>
          <w:iCs/>
          <w:sz w:val="24"/>
          <w:szCs w:val="24"/>
        </w:rPr>
        <w:br/>
        <w:t>Recalling</w:t>
      </w:r>
      <w:r w:rsidRPr="00BE407E">
        <w:rPr>
          <w:rFonts w:ascii="Times New Roman" w:eastAsia="Times New Roman" w:hAnsi="Times New Roman" w:cs="Times New Roman"/>
          <w:sz w:val="24"/>
          <w:szCs w:val="24"/>
        </w:rPr>
        <w:t xml:space="preserve"> paragraphs 98 to 106 of the Durban Declaration, and emphasizing, in particular, the importance of the “provision of effective remedies, recourse, redress, and compensatory and other measures at the national, regional and international levels”, aimed at countering the continued impact of slavery and the slave trade.</w:t>
      </w:r>
      <w:r>
        <w:rPr>
          <w:rFonts w:ascii="Times New Roman" w:eastAsia="Times New Roman" w:hAnsi="Times New Roman" w:cs="Times New Roman"/>
          <w:noProof/>
          <w:sz w:val="24"/>
          <w:szCs w:val="24"/>
        </w:rPr>
        <w:drawing>
          <wp:inline distT="0" distB="0" distL="0" distR="0">
            <wp:extent cx="151130" cy="142875"/>
            <wp:effectExtent l="19050" t="0" r="1270" b="0"/>
            <wp:docPr id="2863" name="Imagen 28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Israeli practices affecting the human rights of the Palestinian people in the Occupied Palestinian Territory, including East Jerusalem,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Demands </w:t>
      </w:r>
      <w:r w:rsidRPr="00BE407E">
        <w:rPr>
          <w:rFonts w:ascii="Times New Roman" w:eastAsia="Times New Roman" w:hAnsi="Times New Roman" w:cs="Times New Roman"/>
          <w:sz w:val="24"/>
          <w:szCs w:val="24"/>
        </w:rPr>
        <w:t>that Israel, the occupying Power, comply with its legal obligations under international law, as mentioned in the advisory opinion rendered on 9 July 2004 by the International Court of Justice and as demanded in resolutions ES-10/15 of 20 July 2004 and ES-10/13 of 21 October 2003, and that it immediately cease the construction of the wall in the Occupied Palestinian Territory, including in and around East Jerusalem, dismantle forthwith the structure situated therein, repeal or render ineffective all legislative and regulatory acts relating thereto, and make reparation for all damage caused by the construction of the wall, which has gravely impacted the human rights and the socio-economic living conditions of the Palestinian people.</w:t>
      </w:r>
      <w:r>
        <w:rPr>
          <w:rFonts w:ascii="Times New Roman" w:eastAsia="Times New Roman" w:hAnsi="Times New Roman" w:cs="Times New Roman"/>
          <w:noProof/>
          <w:sz w:val="24"/>
          <w:szCs w:val="24"/>
        </w:rPr>
        <w:drawing>
          <wp:inline distT="0" distB="0" distL="0" distR="0">
            <wp:extent cx="151130" cy="142875"/>
            <wp:effectExtent l="19050" t="0" r="1270" b="0"/>
            <wp:docPr id="2864" name="Imagen 28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entitled “Establishment of the United Nations Register of Damage Caused by the Construction of the Wall in the Occupied Palestinian Territory” adopted in 2006 during an emergency special session,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Guided </w:t>
      </w:r>
      <w:r w:rsidRPr="00BE407E">
        <w:rPr>
          <w:rFonts w:ascii="Times New Roman" w:eastAsia="Times New Roman" w:hAnsi="Times New Roman" w:cs="Times New Roman"/>
          <w:sz w:val="24"/>
          <w:szCs w:val="24"/>
        </w:rPr>
        <w:t>by the principles enshrined in the Charter of the United Nations and the rules and principles of international law, including international humanitarian law and human rights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lastRenderedPageBreak/>
        <w:t xml:space="preserve">Recalling also </w:t>
      </w:r>
      <w:r w:rsidRPr="00BE407E">
        <w:rPr>
          <w:rFonts w:ascii="Times New Roman" w:eastAsia="Times New Roman" w:hAnsi="Times New Roman" w:cs="Times New Roman"/>
          <w:sz w:val="24"/>
          <w:szCs w:val="24"/>
        </w:rPr>
        <w:t>its relevant resolutions, including the resolutions of its tenth emergency special session on illegal Israeli actions in Occupied East Jerusalem and the rest of the Occupied Palestinian Territory,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Recalling further </w:t>
      </w:r>
      <w:r w:rsidRPr="00BE407E">
        <w:rPr>
          <w:rFonts w:ascii="Times New Roman" w:eastAsia="Times New Roman" w:hAnsi="Times New Roman" w:cs="Times New Roman"/>
          <w:sz w:val="24"/>
          <w:szCs w:val="24"/>
        </w:rPr>
        <w:t xml:space="preserve">the advisory opinion rendered on 9 July 2004 by the International Court of Justice on the </w:t>
      </w:r>
      <w:r w:rsidRPr="00BE407E">
        <w:rPr>
          <w:rFonts w:ascii="Times New Roman" w:eastAsia="Times New Roman" w:hAnsi="Times New Roman" w:cs="Times New Roman"/>
          <w:i/>
          <w:iCs/>
          <w:sz w:val="24"/>
          <w:szCs w:val="24"/>
        </w:rPr>
        <w:t>Legal Consequences of the Construction of a</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Wall in the Occupied Palestinian Territory</w:t>
      </w:r>
      <w:r w:rsidRPr="00BE407E">
        <w:rPr>
          <w:rFonts w:ascii="Times New Roman" w:eastAsia="Times New Roman" w:hAnsi="Times New Roman" w:cs="Times New Roman"/>
          <w:sz w:val="24"/>
          <w:szCs w:val="24"/>
        </w:rPr>
        <w:t xml:space="preserve">, and recalling in particular the Court’s reply to the question put forth by the General Assembly in resolution ES-10/14 of 8 December 2003, as set forth in the </w:t>
      </w:r>
      <w:r w:rsidRPr="00BE407E">
        <w:rPr>
          <w:rFonts w:ascii="Times New Roman" w:eastAsia="Times New Roman" w:hAnsi="Times New Roman" w:cs="Times New Roman"/>
          <w:i/>
          <w:iCs/>
          <w:sz w:val="24"/>
          <w:szCs w:val="24"/>
        </w:rPr>
        <w:t xml:space="preserve">dispositif </w:t>
      </w:r>
      <w:r w:rsidRPr="00BE407E">
        <w:rPr>
          <w:rFonts w:ascii="Times New Roman" w:eastAsia="Times New Roman" w:hAnsi="Times New Roman" w:cs="Times New Roman"/>
          <w:sz w:val="24"/>
          <w:szCs w:val="24"/>
        </w:rPr>
        <w:t>of the advisory opinion,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Recalling in this regard </w:t>
      </w:r>
      <w:r w:rsidRPr="00BE407E">
        <w:rPr>
          <w:rFonts w:ascii="Times New Roman" w:eastAsia="Times New Roman" w:hAnsi="Times New Roman" w:cs="Times New Roman"/>
          <w:sz w:val="24"/>
          <w:szCs w:val="24"/>
        </w:rPr>
        <w:t>the Court’s conclusion that, inter alia, “Israel is under an obligation to make reparation for all damage caused by the construction of the wall in the Occupied Palestinian Territory, including in and around East Jerusalem”,</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Reaffirming </w:t>
      </w:r>
      <w:r w:rsidRPr="00BE407E">
        <w:rPr>
          <w:rFonts w:ascii="Times New Roman" w:eastAsia="Times New Roman" w:hAnsi="Times New Roman" w:cs="Times New Roman"/>
          <w:sz w:val="24"/>
          <w:szCs w:val="24"/>
        </w:rPr>
        <w:t>its resolution ES-10/15 of 20 July 2004 entitled “Advisory opinion of the International Court of Justice on the legal consequences of the construction of a wall in the Occupied Palestinian Territory, including in and around East Jerusalem”,</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Recalling </w:t>
      </w:r>
      <w:r w:rsidRPr="00BE407E">
        <w:rPr>
          <w:rFonts w:ascii="Times New Roman" w:eastAsia="Times New Roman" w:hAnsi="Times New Roman" w:cs="Times New Roman"/>
          <w:sz w:val="24"/>
          <w:szCs w:val="24"/>
        </w:rPr>
        <w:t>the request made in resolution ES-10/15 for the Secretary-General to establish a register of damage caused to all natural or legal persons concerned in connection with paragraphs 152 and 153 of the advisory opinion,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Noting in this connection </w:t>
      </w:r>
      <w:r w:rsidRPr="00BE407E">
        <w:rPr>
          <w:rFonts w:ascii="Times New Roman" w:eastAsia="Times New Roman" w:hAnsi="Times New Roman" w:cs="Times New Roman"/>
          <w:sz w:val="24"/>
          <w:szCs w:val="24"/>
        </w:rPr>
        <w:t>the Court’s conclusion whereby, inter alia: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Israel is accordingly under an obligation to return the land, orchards, olive groves and other immovable property seized from any natural or legal person for purposes of construction of the wall in the Occupied Palestinian Territory. In the event that such restitution should prove to be materially impossible, Israel has an obligation to compensate the persons in question for the damage suffered. The Court considers that Israel also has an obligation to compensate, in accordance with the applicable rules of international law, all natural or legal persons having suffered any form of material damage as a result of the wall’s construction,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Recognizing </w:t>
      </w:r>
      <w:r w:rsidRPr="00BE407E">
        <w:rPr>
          <w:rFonts w:ascii="Times New Roman" w:eastAsia="Times New Roman" w:hAnsi="Times New Roman" w:cs="Times New Roman"/>
          <w:sz w:val="24"/>
          <w:szCs w:val="24"/>
        </w:rPr>
        <w:t>the necessity of accurately documenting the damage caused by the construction of the wall for the purpose of fulfilling the obligation to make the above-mentioned reparations, including restitution and compensation, in accordance with the rules and principles of international law, and noting that the act of registration of damage, as such, does not entail, at this stage, an evaluation or assessment of the loss or damage caused by the construction of the wall,</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1. </w:t>
      </w:r>
      <w:r w:rsidRPr="00BE407E">
        <w:rPr>
          <w:rFonts w:ascii="Times New Roman" w:eastAsia="Times New Roman" w:hAnsi="Times New Roman" w:cs="Times New Roman"/>
          <w:i/>
          <w:iCs/>
          <w:sz w:val="24"/>
          <w:szCs w:val="24"/>
        </w:rPr>
        <w:t xml:space="preserve">Reaffirms </w:t>
      </w:r>
      <w:r w:rsidRPr="00BE407E">
        <w:rPr>
          <w:rFonts w:ascii="Times New Roman" w:eastAsia="Times New Roman" w:hAnsi="Times New Roman" w:cs="Times New Roman"/>
          <w:sz w:val="24"/>
          <w:szCs w:val="24"/>
        </w:rPr>
        <w:t>its resolution ES-10/15 entitled “Advisory opinion of the International Court of Justice on the legal consequences of the construction of a wall in the Occupied Palestinian Territory, including in and around East Jerusalem”, and reiterates the demands made therein, inter alia, the demand that Israel, the occupying Power, comply with its legal obligations as mentioned in the advisory opinion;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Establishes </w:t>
      </w:r>
      <w:r w:rsidRPr="00BE407E">
        <w:rPr>
          <w:rFonts w:ascii="Times New Roman" w:eastAsia="Times New Roman" w:hAnsi="Times New Roman" w:cs="Times New Roman"/>
          <w:sz w:val="24"/>
          <w:szCs w:val="24"/>
        </w:rPr>
        <w:t>the United Nations Register of Damage Caused by the Construction of the Wall in the Occupied Palestinian Territory: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To serve as a record, in documentary form, of the damage caused to all natural and legal persons concerned as a result of the construction of the wall by Israel, the occupying Power, in the Occupied Palestinian Territory, including in and around East Jerusalem;</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4. </w:t>
      </w:r>
      <w:r w:rsidRPr="00BE407E">
        <w:rPr>
          <w:rFonts w:ascii="Times New Roman" w:eastAsia="Times New Roman" w:hAnsi="Times New Roman" w:cs="Times New Roman"/>
          <w:i/>
          <w:iCs/>
          <w:sz w:val="24"/>
          <w:szCs w:val="24"/>
        </w:rPr>
        <w:t xml:space="preserve">Decides </w:t>
      </w:r>
      <w:r w:rsidRPr="00BE407E">
        <w:rPr>
          <w:rFonts w:ascii="Times New Roman" w:eastAsia="Times New Roman" w:hAnsi="Times New Roman" w:cs="Times New Roman"/>
          <w:sz w:val="24"/>
          <w:szCs w:val="24"/>
        </w:rPr>
        <w:t>to set up an office of the Register of Damage, which will be: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Responsible for the establishment and comprehensive maintenance of the Register of Damage;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Composed of a three-member Board and a small secretariat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A subsidiary organ of the General Assembly operating under the administrative authority of the Secretary-General;</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6. </w:t>
      </w:r>
      <w:r w:rsidRPr="00BE407E">
        <w:rPr>
          <w:rFonts w:ascii="Times New Roman" w:eastAsia="Times New Roman" w:hAnsi="Times New Roman" w:cs="Times New Roman"/>
          <w:i/>
          <w:iCs/>
          <w:sz w:val="24"/>
          <w:szCs w:val="24"/>
        </w:rPr>
        <w:t xml:space="preserve">Decides </w:t>
      </w:r>
      <w:r w:rsidRPr="00BE407E">
        <w:rPr>
          <w:rFonts w:ascii="Times New Roman" w:eastAsia="Times New Roman" w:hAnsi="Times New Roman" w:cs="Times New Roman"/>
          <w:sz w:val="24"/>
          <w:szCs w:val="24"/>
        </w:rPr>
        <w:t>that the responsibilities assumed by the Board of the Office of the Register of Damage shall be as follows: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The Board shall have overall responsibility for the establishment and maintenance of the Register of Damage;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The Board shall determine the eligibility criteria, bearing in mind varying circumstances with regard to the title and residency status of the claimants, for the inclusion of damages and losses caused in the Register of Damage with an established causal link to the construction of the wall;</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d</w:t>
      </w:r>
      <w:r w:rsidRPr="00BE407E">
        <w:rPr>
          <w:rFonts w:ascii="Times New Roman" w:eastAsia="Times New Roman" w:hAnsi="Times New Roman" w:cs="Times New Roman"/>
          <w:sz w:val="24"/>
          <w:szCs w:val="24"/>
        </w:rPr>
        <w:t>) The Board shall, guided by the relevant findings of the advisory opinion, general principles of international law and principles of due process of law, also determine the criteria of damage and the procedure for the collection and registration of damage claims;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8. </w:t>
      </w:r>
      <w:r w:rsidRPr="00BE407E">
        <w:rPr>
          <w:rFonts w:ascii="Times New Roman" w:eastAsia="Times New Roman" w:hAnsi="Times New Roman" w:cs="Times New Roman"/>
          <w:i/>
          <w:iCs/>
          <w:sz w:val="24"/>
          <w:szCs w:val="24"/>
        </w:rPr>
        <w:t xml:space="preserve">Decides </w:t>
      </w:r>
      <w:r w:rsidRPr="00BE407E">
        <w:rPr>
          <w:rFonts w:ascii="Times New Roman" w:eastAsia="Times New Roman" w:hAnsi="Times New Roman" w:cs="Times New Roman"/>
          <w:sz w:val="24"/>
          <w:szCs w:val="24"/>
        </w:rPr>
        <w:t>that the secretariat of the Office of the Register of Damage shall provide substantive, technical and administrative support for the establishment and maintenance of the Register of Damage by undertaking, inter alia, the following functions: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Designing the format of the damage claims;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Administering a public awareness programme to inform the Palestinian public about the possibility of and the requirements for filing a damage claim for registration, including an extensive community outreach programme to explain the purpose of the Register of Damage and provide guidance on how to fill out and submit the claim forms;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12. </w:t>
      </w:r>
      <w:r w:rsidRPr="00BE407E">
        <w:rPr>
          <w:rFonts w:ascii="Times New Roman" w:eastAsia="Times New Roman" w:hAnsi="Times New Roman" w:cs="Times New Roman"/>
          <w:i/>
          <w:iCs/>
          <w:sz w:val="24"/>
          <w:szCs w:val="24"/>
        </w:rPr>
        <w:t xml:space="preserve">Instructs </w:t>
      </w:r>
      <w:r w:rsidRPr="00BE407E">
        <w:rPr>
          <w:rFonts w:ascii="Times New Roman" w:eastAsia="Times New Roman" w:hAnsi="Times New Roman" w:cs="Times New Roman"/>
          <w:sz w:val="24"/>
          <w:szCs w:val="24"/>
        </w:rPr>
        <w:t>the Office of the Register of Damage, immediately upon its establishment, to seek the cooperation of the concerned Governments and authorities so as to facilitate its work in connection with the collection, submission and processing of damage claims in the Occupied Palestinian Territory, including East Jerusalem;</w:t>
      </w:r>
      <w:r w:rsidRPr="00BE407E">
        <w:rPr>
          <w:rFonts w:ascii="Times New Roman" w:eastAsia="Times New Roman" w:hAnsi="Times New Roman" w:cs="Times New Roman"/>
          <w:sz w:val="24"/>
          <w:szCs w:val="24"/>
        </w:rPr>
        <w:br/>
        <w:t xml:space="preserve">13. </w:t>
      </w:r>
      <w:r w:rsidRPr="00BE407E">
        <w:rPr>
          <w:rFonts w:ascii="Times New Roman" w:eastAsia="Times New Roman" w:hAnsi="Times New Roman" w:cs="Times New Roman"/>
          <w:i/>
          <w:iCs/>
          <w:sz w:val="24"/>
          <w:szCs w:val="24"/>
        </w:rPr>
        <w:t xml:space="preserve">Calls upon </w:t>
      </w:r>
      <w:r w:rsidRPr="00BE407E">
        <w:rPr>
          <w:rFonts w:ascii="Times New Roman" w:eastAsia="Times New Roman" w:hAnsi="Times New Roman" w:cs="Times New Roman"/>
          <w:sz w:val="24"/>
          <w:szCs w:val="24"/>
        </w:rPr>
        <w:t>the Government of Israel and the Palestinian Authority and relevant Palestinian institutions to cooperate with the Office of the Register of Damage.</w:t>
      </w:r>
      <w:r>
        <w:rPr>
          <w:rFonts w:ascii="Times New Roman" w:eastAsia="Times New Roman" w:hAnsi="Times New Roman" w:cs="Times New Roman"/>
          <w:noProof/>
          <w:sz w:val="24"/>
          <w:szCs w:val="24"/>
        </w:rPr>
        <w:drawing>
          <wp:inline distT="0" distB="0" distL="0" distR="0">
            <wp:extent cx="151130" cy="142875"/>
            <wp:effectExtent l="19050" t="0" r="1270" b="0"/>
            <wp:docPr id="2865" name="Imagen 28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torture and other cruel, inhuman or degrading treatment or punishment,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Stresses </w:t>
      </w:r>
      <w:r w:rsidRPr="00BE407E">
        <w:rPr>
          <w:rFonts w:ascii="Times New Roman" w:eastAsia="Times New Roman" w:hAnsi="Times New Roman" w:cs="Times New Roman"/>
          <w:sz w:val="24"/>
          <w:szCs w:val="24"/>
        </w:rPr>
        <w:t>that national legal systems must ensure that victims of torture and other cruel, inhuman or degrading treatment or punishment obtain redress, are awarded fair and adequate compensation and receive appropriate social and medical rehabilitation, urges States to take effective measures to this end, and in this regard encourages the development of rehabilitation centres.</w:t>
      </w:r>
      <w:r>
        <w:rPr>
          <w:rFonts w:ascii="Times New Roman" w:eastAsia="Times New Roman" w:hAnsi="Times New Roman" w:cs="Times New Roman"/>
          <w:noProof/>
          <w:sz w:val="24"/>
          <w:szCs w:val="24"/>
        </w:rPr>
        <w:drawing>
          <wp:inline distT="0" distB="0" distL="0" distR="0">
            <wp:extent cx="151130" cy="142875"/>
            <wp:effectExtent l="19050" t="0" r="1270" b="0"/>
            <wp:docPr id="2866" name="Imagen 28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2007 on the situation in Afghanistan,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Continues to emphasize</w:t>
      </w:r>
      <w:r w:rsidRPr="00BE407E">
        <w:rPr>
          <w:rFonts w:ascii="Times New Roman" w:eastAsia="Times New Roman" w:hAnsi="Times New Roman" w:cs="Times New Roman"/>
          <w:sz w:val="24"/>
          <w:szCs w:val="24"/>
        </w:rPr>
        <w:t xml:space="preserve"> the necessity of investigating allegations of current and past violations of human rights and of international humanitarian law, including violations committed against persons belonging to ethnic and religious minorities, as well as against women and girls, of facilitating the provision of efficient and effective remedies to the victims and of bringing the perpetrators to justice in accordance with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867" name="Imagen 28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In a resolution adopted in 2007 on Israeli practices affecting the human rights of the Palestinian people in the Occupied Palestinian Territory, including East Jerusalem,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Demands </w:t>
      </w:r>
      <w:r w:rsidRPr="00BE407E">
        <w:rPr>
          <w:rFonts w:ascii="Times New Roman" w:eastAsia="Times New Roman" w:hAnsi="Times New Roman" w:cs="Times New Roman"/>
          <w:sz w:val="24"/>
          <w:szCs w:val="24"/>
        </w:rPr>
        <w:t>that Israel, the occupying Power, comply with its legal obligations under international law, as mentioned in the advisory opinion rendered on 9 July 2004 by the International Court of Justice and as demanded in resolutions ES-10/15 of 20 July 2004 and ES-10/13 of 21 October 2003, and that it immediately cease the construction of the wall in the Occupied Palestinian Territory, including in and around East Jerusalem, dismantle forthwith the structure situated therein, repeal or render ineffective all legislative and regulatory acts relating thereto, and make reparation for all damage caused by the construction of the wall, which has gravely impacted the human rights and the socio-economic living conditions of the Palestinian people.</w:t>
      </w:r>
      <w:r>
        <w:rPr>
          <w:rFonts w:ascii="Times New Roman" w:eastAsia="Times New Roman" w:hAnsi="Times New Roman" w:cs="Times New Roman"/>
          <w:noProof/>
          <w:sz w:val="24"/>
          <w:szCs w:val="24"/>
        </w:rPr>
        <w:drawing>
          <wp:inline distT="0" distB="0" distL="0" distR="0">
            <wp:extent cx="151130" cy="142875"/>
            <wp:effectExtent l="19050" t="0" r="1270" b="0"/>
            <wp:docPr id="2868" name="Imagen 28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2007 on torture and other cruel, inhuman or degrading treatment or punishment,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Stresses </w:t>
      </w:r>
      <w:r w:rsidRPr="00BE407E">
        <w:rPr>
          <w:rFonts w:ascii="Times New Roman" w:eastAsia="Times New Roman" w:hAnsi="Times New Roman" w:cs="Times New Roman"/>
          <w:sz w:val="24"/>
          <w:szCs w:val="24"/>
        </w:rPr>
        <w:t>that national legal systems must ensure that victims of torture and other cruel, inhuman or degrading treatment or punishment obtain redress, are awarded fair and adequate compensation and receive appropriate social and medical rehabilitation, urges States to take effective measures to this end, and in this regard encourages the development of rehabilitation centres.</w:t>
      </w:r>
      <w:r>
        <w:rPr>
          <w:rFonts w:ascii="Times New Roman" w:eastAsia="Times New Roman" w:hAnsi="Times New Roman" w:cs="Times New Roman"/>
          <w:noProof/>
          <w:sz w:val="24"/>
          <w:szCs w:val="24"/>
        </w:rPr>
        <w:drawing>
          <wp:inline distT="0" distB="0" distL="0" distR="0">
            <wp:extent cx="151130" cy="142875"/>
            <wp:effectExtent l="19050" t="0" r="1270" b="0"/>
            <wp:docPr id="2869" name="Imagen 28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resolution adopted in 2007 on the elimination of rape and other forms of sexual violence in all their manifestations, including in conflict, the UN General Assembly urged States: </w:t>
      </w:r>
      <w:r w:rsidRPr="00BE407E">
        <w:rPr>
          <w:rFonts w:ascii="Times New Roman" w:eastAsia="Times New Roman" w:hAnsi="Times New Roman" w:cs="Times New Roman"/>
          <w:sz w:val="24"/>
          <w:szCs w:val="24"/>
        </w:rPr>
        <w:br/>
        <w:t>To provide victims with access to appropriate health care, including sexual and reproductive health care, psychological care and trauma counselling, as well as to rehabilitation, social reintegration and, as appropriate, effective and sufficient compensation, in accordance with relevant international and national law.</w:t>
      </w:r>
      <w:r>
        <w:rPr>
          <w:rFonts w:ascii="Times New Roman" w:eastAsia="Times New Roman" w:hAnsi="Times New Roman" w:cs="Times New Roman"/>
          <w:noProof/>
          <w:sz w:val="24"/>
          <w:szCs w:val="24"/>
        </w:rPr>
        <w:drawing>
          <wp:inline distT="0" distB="0" distL="0" distR="0">
            <wp:extent cx="151130" cy="142875"/>
            <wp:effectExtent l="19050" t="0" r="1270" b="0"/>
            <wp:docPr id="2870" name="Imagen 28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Economic and Social Council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entitled “Basic Principles and Guidelines on the Right to a Remedy and Reparation for Victims of Gross Violations of International Human Rights Law and Serious Violations of International Humanitarian Law”, ECOSOC:</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Taking note </w:t>
      </w:r>
      <w:r w:rsidRPr="00BE407E">
        <w:rPr>
          <w:rFonts w:ascii="Times New Roman" w:eastAsia="Times New Roman" w:hAnsi="Times New Roman" w:cs="Times New Roman"/>
          <w:sz w:val="24"/>
          <w:szCs w:val="24"/>
        </w:rPr>
        <w:t>of Commission on Human Rights resolution 2005/35 of 19 April 2005, in which the Commission adopted the text of the Basic Principles and Guidelines on the Right to a Remedy and Reparation for Victims of Gross Violations of International Human Rights Law and Serious Violations of International Humanitarian Law,</w:t>
      </w:r>
      <w:r w:rsidRPr="00BE407E">
        <w:rPr>
          <w:rFonts w:ascii="Times New Roman" w:eastAsia="Times New Roman" w:hAnsi="Times New Roman" w:cs="Times New Roman"/>
          <w:sz w:val="24"/>
          <w:szCs w:val="24"/>
        </w:rPr>
        <w:br/>
        <w:t xml:space="preserve">1. </w:t>
      </w:r>
      <w:r w:rsidRPr="00BE407E">
        <w:rPr>
          <w:rFonts w:ascii="Times New Roman" w:eastAsia="Times New Roman" w:hAnsi="Times New Roman" w:cs="Times New Roman"/>
          <w:i/>
          <w:iCs/>
          <w:sz w:val="24"/>
          <w:szCs w:val="24"/>
        </w:rPr>
        <w:t xml:space="preserve">Expresses its appreciation </w:t>
      </w:r>
      <w:r w:rsidRPr="00BE407E">
        <w:rPr>
          <w:rFonts w:ascii="Times New Roman" w:eastAsia="Times New Roman" w:hAnsi="Times New Roman" w:cs="Times New Roman"/>
          <w:sz w:val="24"/>
          <w:szCs w:val="24"/>
        </w:rPr>
        <w:t>to the Commission for the adoption of the Basic Principles and Guidelines on the Right to a Remedy and Reparation for Victims of Gross Violations of International Human Rights Law and Serious Violations of International Humanitarian Law;</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 xml:space="preserve">Adopts </w:t>
      </w:r>
      <w:r w:rsidRPr="00BE407E">
        <w:rPr>
          <w:rFonts w:ascii="Times New Roman" w:eastAsia="Times New Roman" w:hAnsi="Times New Roman" w:cs="Times New Roman"/>
          <w:sz w:val="24"/>
          <w:szCs w:val="24"/>
        </w:rPr>
        <w:t>the Basic Principles and Guidelines as contained in the annex to the present resolution;</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Recommends </w:t>
      </w:r>
      <w:r w:rsidRPr="00BE407E">
        <w:rPr>
          <w:rFonts w:ascii="Times New Roman" w:eastAsia="Times New Roman" w:hAnsi="Times New Roman" w:cs="Times New Roman"/>
          <w:sz w:val="24"/>
          <w:szCs w:val="24"/>
        </w:rPr>
        <w:t>to the General Assembly that it adopt the Basic Principles and Guidelines.</w:t>
      </w:r>
      <w:r>
        <w:rPr>
          <w:rFonts w:ascii="Times New Roman" w:eastAsia="Times New Roman" w:hAnsi="Times New Roman" w:cs="Times New Roman"/>
          <w:noProof/>
          <w:sz w:val="24"/>
          <w:szCs w:val="24"/>
        </w:rPr>
        <w:drawing>
          <wp:inline distT="0" distB="0" distL="0" distR="0">
            <wp:extent cx="151130" cy="142875"/>
            <wp:effectExtent l="19050" t="0" r="1270" b="0"/>
            <wp:docPr id="2871" name="Imagen 28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[The UN General Assembly subsequently adopted the Basic Principles and Guidelines in its resolution 60/147 of 16 December 2005]</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Commission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1998, the UN Commission on Human Rights urged all parties to the conflict in Afghanistan to respect IHL and “to provide sufficient and effective remedies to the victims of grave violations and abuses of human rights and of accepted humanitarian rules”.</w:t>
      </w:r>
      <w:r>
        <w:rPr>
          <w:rFonts w:ascii="Times New Roman" w:eastAsia="Times New Roman" w:hAnsi="Times New Roman" w:cs="Times New Roman"/>
          <w:noProof/>
          <w:sz w:val="24"/>
          <w:szCs w:val="24"/>
        </w:rPr>
        <w:drawing>
          <wp:inline distT="0" distB="0" distL="0" distR="0">
            <wp:extent cx="151130" cy="142875"/>
            <wp:effectExtent l="19050" t="0" r="1270" b="0"/>
            <wp:docPr id="2872" name="Imagen 28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2003 on torture and other cruel, inhuman or degrading treatment or punishment,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4. … </w:t>
      </w:r>
      <w:r w:rsidRPr="00BE407E">
        <w:rPr>
          <w:rFonts w:ascii="Times New Roman" w:eastAsia="Times New Roman" w:hAnsi="Times New Roman" w:cs="Times New Roman"/>
          <w:i/>
          <w:iCs/>
          <w:sz w:val="24"/>
          <w:szCs w:val="24"/>
        </w:rPr>
        <w:t>urges</w:t>
      </w:r>
      <w:r w:rsidRPr="00BE407E">
        <w:rPr>
          <w:rFonts w:ascii="Times New Roman" w:eastAsia="Times New Roman" w:hAnsi="Times New Roman" w:cs="Times New Roman"/>
          <w:sz w:val="24"/>
          <w:szCs w:val="24"/>
        </w:rPr>
        <w:t xml:space="preserve"> Governments to take effective measures to provide redress and to prevent torture and other cruel, inhuman or degrading treatment or punishment, including their gender-based manifestations; </w:t>
      </w:r>
      <w:r w:rsidRPr="00BE407E">
        <w:rPr>
          <w:rFonts w:ascii="Times New Roman" w:eastAsia="Times New Roman" w:hAnsi="Times New Roman" w:cs="Times New Roman"/>
          <w:sz w:val="24"/>
          <w:szCs w:val="24"/>
        </w:rPr>
        <w:br/>
        <w:t xml:space="preserve">… </w:t>
      </w:r>
      <w:r w:rsidRPr="00BE407E">
        <w:rPr>
          <w:rFonts w:ascii="Times New Roman" w:eastAsia="Times New Roman" w:hAnsi="Times New Roman" w:cs="Times New Roman"/>
          <w:sz w:val="24"/>
          <w:szCs w:val="24"/>
        </w:rPr>
        <w:br/>
        <w:t xml:space="preserve">10. </w:t>
      </w:r>
      <w:r w:rsidRPr="00BE407E">
        <w:rPr>
          <w:rFonts w:ascii="Times New Roman" w:eastAsia="Times New Roman" w:hAnsi="Times New Roman" w:cs="Times New Roman"/>
          <w:i/>
          <w:iCs/>
          <w:sz w:val="24"/>
          <w:szCs w:val="24"/>
        </w:rPr>
        <w:t>Also stresses</w:t>
      </w:r>
      <w:r w:rsidRPr="00BE407E">
        <w:rPr>
          <w:rFonts w:ascii="Times New Roman" w:eastAsia="Times New Roman" w:hAnsi="Times New Roman" w:cs="Times New Roman"/>
          <w:sz w:val="24"/>
          <w:szCs w:val="24"/>
        </w:rPr>
        <w:t xml:space="preserve"> that national legal systems should ensure that the victims of torture or other cruel, inhuman or degrading treatment or punishment obtain redress and are awarded fair and adequate compensation and receive appropriate socio-medical rehabilitation, and in this regard encourages the development of rehabilitation centres for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2873" name="Imagen 28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2003 entitled “The right to restitution, compensation and rehabilitation for victims of grave violations of human rights and fundamental freedoms”,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Reaffirming</w:t>
      </w:r>
      <w:r w:rsidRPr="00BE407E">
        <w:rPr>
          <w:rFonts w:ascii="Times New Roman" w:eastAsia="Times New Roman" w:hAnsi="Times New Roman" w:cs="Times New Roman"/>
          <w:sz w:val="24"/>
          <w:szCs w:val="24"/>
        </w:rPr>
        <w:t xml:space="preserve"> that, pursuant to internationally proclaimed human rights principles, victims of grave violations of human rights should receive, in appropriate cases, restitution, compensation and rehabilitation,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Reiterating</w:t>
      </w:r>
      <w:r w:rsidRPr="00BE407E">
        <w:rPr>
          <w:rFonts w:ascii="Times New Roman" w:eastAsia="Times New Roman" w:hAnsi="Times New Roman" w:cs="Times New Roman"/>
          <w:sz w:val="24"/>
          <w:szCs w:val="24"/>
        </w:rPr>
        <w:t xml:space="preserve"> the importance of addressing the question of restitution, compensation and rehabilitation for victims of grave violations of human rights and fundamental freedoms in a systematic and thorough way at the national and international levels,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Recalling also</w:t>
      </w:r>
      <w:r w:rsidRPr="00BE407E">
        <w:rPr>
          <w:rFonts w:ascii="Times New Roman" w:eastAsia="Times New Roman" w:hAnsi="Times New Roman" w:cs="Times New Roman"/>
          <w:sz w:val="24"/>
          <w:szCs w:val="24"/>
        </w:rPr>
        <w:t xml:space="preserve"> the report of the independent expert, Mr. Cherif Bassiouni, appointed by the Commission (E/CN.4/2000/62), and, in particular, the draft of the “Basic principles and guidelines on the right to a remedy and reparation for victims of violations of international human rights and humanitarian law”, annexed to his report, and the note by the Secretariat (E/CN.4/2002/70),</w:t>
      </w:r>
      <w:r w:rsidRPr="00BE407E">
        <w:rPr>
          <w:rFonts w:ascii="Times New Roman" w:eastAsia="Times New Roman" w:hAnsi="Times New Roman" w:cs="Times New Roman"/>
          <w:sz w:val="24"/>
          <w:szCs w:val="24"/>
        </w:rPr>
        <w:br/>
        <w:t xml:space="preserve">1. </w:t>
      </w:r>
      <w:r w:rsidRPr="00BE407E">
        <w:rPr>
          <w:rFonts w:ascii="Times New Roman" w:eastAsia="Times New Roman" w:hAnsi="Times New Roman" w:cs="Times New Roman"/>
          <w:i/>
          <w:iCs/>
          <w:sz w:val="24"/>
          <w:szCs w:val="24"/>
        </w:rPr>
        <w:t xml:space="preserve">Calls upon </w:t>
      </w:r>
      <w:r w:rsidRPr="00BE407E">
        <w:rPr>
          <w:rFonts w:ascii="Times New Roman" w:eastAsia="Times New Roman" w:hAnsi="Times New Roman" w:cs="Times New Roman"/>
          <w:sz w:val="24"/>
          <w:szCs w:val="24"/>
        </w:rPr>
        <w:t>the international community to give due attention to the right to a remedy and, in particular, in appropriate cases, to receive restitution, compensation and rehabilitation, for victims of grave violations of international human rights law and humanitarian international law;</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Requests</w:t>
      </w:r>
      <w:r w:rsidRPr="00BE407E">
        <w:rPr>
          <w:rFonts w:ascii="Times New Roman" w:eastAsia="Times New Roman" w:hAnsi="Times New Roman" w:cs="Times New Roman"/>
          <w:sz w:val="24"/>
          <w:szCs w:val="24"/>
        </w:rPr>
        <w:t xml:space="preserve"> the Secretary-General to circulate to all Member States and intergovernmental and non-governmental organizations in consultative status with the Economic and Social Council the draft of the “Basic principles and guidelines on the right to a remedy and reparation for victims of violations of international human rights and humanitarian law”, annexed to the report of the independent expert, and to request those that have not yet done so to send their comments thereon to the Office of the United Nations High Commissioner for Human Rights;</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Takes note </w:t>
      </w:r>
      <w:r w:rsidRPr="00BE407E">
        <w:rPr>
          <w:rFonts w:ascii="Times New Roman" w:eastAsia="Times New Roman" w:hAnsi="Times New Roman" w:cs="Times New Roman"/>
          <w:sz w:val="24"/>
          <w:szCs w:val="24"/>
        </w:rPr>
        <w:t>of the report of the Chairperson-Rapporteur of the consultative meeting, held on 30 September and 1 October 2002, with a view to finalizing the “Basic principles and guidelines on the right to a remedy and reparation for victims of violations of international human rights and humanitarian law” (E/CN.4/2003/63);</w:t>
      </w:r>
      <w:r w:rsidRPr="00BE407E">
        <w:rPr>
          <w:rFonts w:ascii="Times New Roman" w:eastAsia="Times New Roman" w:hAnsi="Times New Roman" w:cs="Times New Roman"/>
          <w:sz w:val="24"/>
          <w:szCs w:val="24"/>
        </w:rPr>
        <w:br/>
        <w:t xml:space="preserve">4.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the Chairperson-Rapporteur of the consultative meeting, in consultation with the independent experts, Mr. Theo van Boven and Mr. Cherif Bassiouni, to prepare a revised version of the “Basic principles and guidelines on the right to a remedy and reparation for victims of violations of international human rights and humanitarian law”, taking into account the opinions and commentaries of States and of intergovernmental and non-governmental organizations and the results of the consultative meeting;</w:t>
      </w:r>
      <w:r w:rsidRPr="00BE407E">
        <w:rPr>
          <w:rFonts w:ascii="Times New Roman" w:eastAsia="Times New Roman" w:hAnsi="Times New Roman" w:cs="Times New Roman"/>
          <w:sz w:val="24"/>
          <w:szCs w:val="24"/>
        </w:rPr>
        <w:br/>
        <w:t xml:space="preserve">5.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 xml:space="preserve">the United Nations High Commissioner for Human Rights to hold, with the cooperation of interested Governments, a second consultative meeting for all interested Member States, intergovernmental organizations and non-governmental organizations in consultative status with the Economic and Social Council, using available resources, </w:t>
      </w:r>
      <w:r w:rsidRPr="00BE407E">
        <w:rPr>
          <w:rFonts w:ascii="Times New Roman" w:eastAsia="Times New Roman" w:hAnsi="Times New Roman" w:cs="Times New Roman"/>
          <w:sz w:val="24"/>
          <w:szCs w:val="24"/>
        </w:rPr>
        <w:lastRenderedPageBreak/>
        <w:t>with a view to finalizing the “Basic principles and guidelines on the right to a remedy and reparation for victims of violations of international human rights and humanitarian law” and, if appropriate, to consider options for the adoption of these principles and guidelines; the second consultative meeting should have, as a basis for its work, the comments submitted, the report of the Chairperson-Rapporteur of the first consultative meeting and the revised version of the principles and guidelines to be prepared by the Chairperson-Rapporteur of the first consultative meeting in consultation with the independent experts, Mr. Theo van Boven and Mr. Cherif Bassiouni;</w:t>
      </w:r>
      <w:r w:rsidRPr="00BE407E">
        <w:rPr>
          <w:rFonts w:ascii="Times New Roman" w:eastAsia="Times New Roman" w:hAnsi="Times New Roman" w:cs="Times New Roman"/>
          <w:sz w:val="24"/>
          <w:szCs w:val="24"/>
        </w:rPr>
        <w:br/>
        <w:t xml:space="preserve">6. </w:t>
      </w:r>
      <w:r w:rsidRPr="00BE407E">
        <w:rPr>
          <w:rFonts w:ascii="Times New Roman" w:eastAsia="Times New Roman" w:hAnsi="Times New Roman" w:cs="Times New Roman"/>
          <w:i/>
          <w:iCs/>
          <w:sz w:val="24"/>
          <w:szCs w:val="24"/>
        </w:rPr>
        <w:t xml:space="preserve">Encourages </w:t>
      </w:r>
      <w:r w:rsidRPr="00BE407E">
        <w:rPr>
          <w:rFonts w:ascii="Times New Roman" w:eastAsia="Times New Roman" w:hAnsi="Times New Roman" w:cs="Times New Roman"/>
          <w:sz w:val="24"/>
          <w:szCs w:val="24"/>
        </w:rPr>
        <w:t>the Chairperson-Rapporteur of the first consultative meeting to conduct informal consultations with all interested parties, to further contribute to the process of the “Basic principles and guidelines on the right to a remedy and reparation for victims of violations of international human rights and humanitarian law”;</w:t>
      </w:r>
      <w:r w:rsidRPr="00BE407E">
        <w:rPr>
          <w:rFonts w:ascii="Times New Roman" w:eastAsia="Times New Roman" w:hAnsi="Times New Roman" w:cs="Times New Roman"/>
          <w:sz w:val="24"/>
          <w:szCs w:val="24"/>
        </w:rPr>
        <w:br/>
        <w:t xml:space="preserve">7.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the High Commissioner for Human Rights to transmit to the Commission at its sixtieth session the final outcome of the second consultative meeting for its consideration.</w:t>
      </w:r>
      <w:r>
        <w:rPr>
          <w:rFonts w:ascii="Times New Roman" w:eastAsia="Times New Roman" w:hAnsi="Times New Roman" w:cs="Times New Roman"/>
          <w:noProof/>
          <w:sz w:val="24"/>
          <w:szCs w:val="24"/>
        </w:rPr>
        <w:drawing>
          <wp:inline distT="0" distB="0" distL="0" distR="0">
            <wp:extent cx="151130" cy="142875"/>
            <wp:effectExtent l="19050" t="0" r="1270" b="0"/>
            <wp:docPr id="2874" name="Imagen 28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2003 on the elimination of violence against women, the UN Commission on Human Rights emphasized the duty of governments to “take appropriate and effective action concerning acts of violence against women, whether those acts are perpetrated by the State, by private persons or by armed groups or warring factions, and to provide access to just and effective remedies”.</w:t>
      </w:r>
      <w:r>
        <w:rPr>
          <w:rFonts w:ascii="Times New Roman" w:eastAsia="Times New Roman" w:hAnsi="Times New Roman" w:cs="Times New Roman"/>
          <w:noProof/>
          <w:sz w:val="24"/>
          <w:szCs w:val="24"/>
        </w:rPr>
        <w:drawing>
          <wp:inline distT="0" distB="0" distL="0" distR="0">
            <wp:extent cx="151130" cy="142875"/>
            <wp:effectExtent l="19050" t="0" r="1270" b="0"/>
            <wp:docPr id="2875" name="Imagen 28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2004 entitled “The right to restitution, compensation and rehabilitation for victims of grave violations of human rights and fundamental freedoms”,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Reaffirming</w:t>
      </w:r>
      <w:r w:rsidRPr="00BE407E">
        <w:rPr>
          <w:rFonts w:ascii="Times New Roman" w:eastAsia="Times New Roman" w:hAnsi="Times New Roman" w:cs="Times New Roman"/>
          <w:sz w:val="24"/>
          <w:szCs w:val="24"/>
        </w:rPr>
        <w:t xml:space="preserve"> that, pursuant to internationally proclaimed human rights principles, victims of grave violations of human rights should receive, in appropriate cases, restitution, compensation and rehabilitation,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Reiterating</w:t>
      </w:r>
      <w:r w:rsidRPr="00BE407E">
        <w:rPr>
          <w:rFonts w:ascii="Times New Roman" w:eastAsia="Times New Roman" w:hAnsi="Times New Roman" w:cs="Times New Roman"/>
          <w:sz w:val="24"/>
          <w:szCs w:val="24"/>
        </w:rPr>
        <w:t xml:space="preserve"> the importance of addressing the question of restitution, compensation and rehabilitation for victims of grave violations of human rights and fundamental freedoms in a systematic and thorough way at the national and international levels,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Recalling also</w:t>
      </w:r>
      <w:r w:rsidRPr="00BE407E">
        <w:rPr>
          <w:rFonts w:ascii="Times New Roman" w:eastAsia="Times New Roman" w:hAnsi="Times New Roman" w:cs="Times New Roman"/>
          <w:sz w:val="24"/>
          <w:szCs w:val="24"/>
        </w:rPr>
        <w:t xml:space="preserve"> the report of the independent expert appointed by the Commission, Mr. Cherif Bassiouni (E/CN.4/2000/62) and, in particular, the draft of the “Basic principles and guidelines on the right to a remedy and reparation for victims of violations of international human rights and humanitarian law”, annexed to his report, and the note by the Secretariat (E/CN.4/2002/70),</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1. </w:t>
      </w:r>
      <w:r w:rsidRPr="00BE407E">
        <w:rPr>
          <w:rFonts w:ascii="Times New Roman" w:eastAsia="Times New Roman" w:hAnsi="Times New Roman" w:cs="Times New Roman"/>
          <w:i/>
          <w:iCs/>
          <w:sz w:val="24"/>
          <w:szCs w:val="24"/>
        </w:rPr>
        <w:t xml:space="preserve">Calls upon </w:t>
      </w:r>
      <w:r w:rsidRPr="00BE407E">
        <w:rPr>
          <w:rFonts w:ascii="Times New Roman" w:eastAsia="Times New Roman" w:hAnsi="Times New Roman" w:cs="Times New Roman"/>
          <w:sz w:val="24"/>
          <w:szCs w:val="24"/>
        </w:rPr>
        <w:t>the international community to give due attention to the right to a remedy and, in particular, in appropriate cases, to receive restitution, compensation and rehabilitation, for victims of grave violations of international human rights law and humanitarian international law;</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 xml:space="preserve">Takes note </w:t>
      </w:r>
      <w:r w:rsidRPr="00BE407E">
        <w:rPr>
          <w:rFonts w:ascii="Times New Roman" w:eastAsia="Times New Roman" w:hAnsi="Times New Roman" w:cs="Times New Roman"/>
          <w:sz w:val="24"/>
          <w:szCs w:val="24"/>
        </w:rPr>
        <w:t>of the report of the Chairperson</w:t>
      </w:r>
      <w:r w:rsidRPr="00BE407E">
        <w:rPr>
          <w:rFonts w:ascii="Times New Roman" w:eastAsia="Times New Roman" w:hAnsi="Times New Roman" w:cs="Times New Roman"/>
          <w:sz w:val="24"/>
          <w:szCs w:val="24"/>
        </w:rPr>
        <w:noBreakHyphen/>
        <w:t xml:space="preserve">Rapporteur of the second consultative meeting on basic principles and guidelines on the right to a remedy and reparation for victims of violations of international human rights and humanitarian law (E/CN.4/2004/57, annex), held in Geneva on 20, 21 and 23 October 2003; </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the Chairperson</w:t>
      </w:r>
      <w:r w:rsidRPr="00BE407E">
        <w:rPr>
          <w:rFonts w:ascii="Times New Roman" w:eastAsia="Times New Roman" w:hAnsi="Times New Roman" w:cs="Times New Roman"/>
          <w:sz w:val="24"/>
          <w:szCs w:val="24"/>
        </w:rPr>
        <w:noBreakHyphen/>
        <w:t>Rapporteur of the consultative meetings, in consultation with the independent experts, Mr. Theo van Boven and Mr. Cherif Bassiouni, to prepare a revised version of the “Basic principles and guidelines on the right to a remedy and reparation for victims of violations of international human rights and humanitarian law”, taking into account the opinions and commentaries of States and of intergovernmental and non</w:t>
      </w:r>
      <w:r w:rsidRPr="00BE407E">
        <w:rPr>
          <w:rFonts w:ascii="Times New Roman" w:eastAsia="Times New Roman" w:hAnsi="Times New Roman" w:cs="Times New Roman"/>
          <w:sz w:val="24"/>
          <w:szCs w:val="24"/>
        </w:rPr>
        <w:noBreakHyphen/>
        <w:t xml:space="preserve">governmental organizations and the results of the previous </w:t>
      </w:r>
      <w:r w:rsidRPr="00BE407E">
        <w:rPr>
          <w:rFonts w:ascii="Times New Roman" w:eastAsia="Times New Roman" w:hAnsi="Times New Roman" w:cs="Times New Roman"/>
          <w:sz w:val="24"/>
          <w:szCs w:val="24"/>
        </w:rPr>
        <w:lastRenderedPageBreak/>
        <w:t>consultative meetings (see E/CN.4/2003/63 and E/CN.4/2004/57);</w:t>
      </w:r>
      <w:r w:rsidRPr="00BE407E">
        <w:rPr>
          <w:rFonts w:ascii="Times New Roman" w:eastAsia="Times New Roman" w:hAnsi="Times New Roman" w:cs="Times New Roman"/>
          <w:sz w:val="24"/>
          <w:szCs w:val="24"/>
        </w:rPr>
        <w:br/>
        <w:t xml:space="preserve">4.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the United Nations High Commissioner for Human Rights to hold, with the cooperation of interested Governments, a third consultative meeting for all interested Member States, intergovernmental organizations and non</w:t>
      </w:r>
      <w:r w:rsidRPr="00BE407E">
        <w:rPr>
          <w:rFonts w:ascii="Times New Roman" w:eastAsia="Times New Roman" w:hAnsi="Times New Roman" w:cs="Times New Roman"/>
          <w:sz w:val="24"/>
          <w:szCs w:val="24"/>
        </w:rPr>
        <w:noBreakHyphen/>
        <w:t>governmental organizations in consultative status with the Economic and Social Council, using available resources, with a view to finalizing the “Basic principles and guidelines on the right to a remedy and reparation for victims of violations of international human rights and humanitarian law”, and if appropriate, to consider all options for the adoption of these principles and guidelines; this meeting should have, as a basis for its work, inter alia, the comments received, the revised version of the principles and guidelines to be prepared by the Chairperson</w:t>
      </w:r>
      <w:r w:rsidRPr="00BE407E">
        <w:rPr>
          <w:rFonts w:ascii="Times New Roman" w:eastAsia="Times New Roman" w:hAnsi="Times New Roman" w:cs="Times New Roman"/>
          <w:sz w:val="24"/>
          <w:szCs w:val="24"/>
        </w:rPr>
        <w:noBreakHyphen/>
        <w:t>Rapporteur pursuant to paragraph 3 of the present resolution, and the reports of the Chairperson</w:t>
      </w:r>
      <w:r w:rsidRPr="00BE407E">
        <w:rPr>
          <w:rFonts w:ascii="Times New Roman" w:eastAsia="Times New Roman" w:hAnsi="Times New Roman" w:cs="Times New Roman"/>
          <w:sz w:val="24"/>
          <w:szCs w:val="24"/>
        </w:rPr>
        <w:noBreakHyphen/>
        <w:t>Rapporteur of the two previous consultative meetings;</w:t>
      </w:r>
      <w:r w:rsidRPr="00BE407E">
        <w:rPr>
          <w:rFonts w:ascii="Times New Roman" w:eastAsia="Times New Roman" w:hAnsi="Times New Roman" w:cs="Times New Roman"/>
          <w:sz w:val="24"/>
          <w:szCs w:val="24"/>
        </w:rPr>
        <w:br/>
        <w:t xml:space="preserve">5. </w:t>
      </w:r>
      <w:r w:rsidRPr="00BE407E">
        <w:rPr>
          <w:rFonts w:ascii="Times New Roman" w:eastAsia="Times New Roman" w:hAnsi="Times New Roman" w:cs="Times New Roman"/>
          <w:i/>
          <w:iCs/>
          <w:sz w:val="24"/>
          <w:szCs w:val="24"/>
        </w:rPr>
        <w:t xml:space="preserve">Encourages </w:t>
      </w:r>
      <w:r w:rsidRPr="00BE407E">
        <w:rPr>
          <w:rFonts w:ascii="Times New Roman" w:eastAsia="Times New Roman" w:hAnsi="Times New Roman" w:cs="Times New Roman"/>
          <w:sz w:val="24"/>
          <w:szCs w:val="24"/>
        </w:rPr>
        <w:t>the Chairperson</w:t>
      </w:r>
      <w:r w:rsidRPr="00BE407E">
        <w:rPr>
          <w:rFonts w:ascii="Times New Roman" w:eastAsia="Times New Roman" w:hAnsi="Times New Roman" w:cs="Times New Roman"/>
          <w:sz w:val="24"/>
          <w:szCs w:val="24"/>
        </w:rPr>
        <w:noBreakHyphen/>
        <w:t>Rapporteur of the consultative meetings to conduct informal consultations with all interested parties;</w:t>
      </w:r>
      <w:r w:rsidRPr="00BE407E">
        <w:rPr>
          <w:rFonts w:ascii="Times New Roman" w:eastAsia="Times New Roman" w:hAnsi="Times New Roman" w:cs="Times New Roman"/>
          <w:sz w:val="24"/>
          <w:szCs w:val="24"/>
        </w:rPr>
        <w:br/>
        <w:t xml:space="preserve">6.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the High Commissioner to transmit to the Commission at its sixty-first session the outcome of the consultative process, for its consideration;</w:t>
      </w:r>
      <w:r w:rsidRPr="00BE407E">
        <w:rPr>
          <w:rFonts w:ascii="Times New Roman" w:eastAsia="Times New Roman" w:hAnsi="Times New Roman" w:cs="Times New Roman"/>
          <w:sz w:val="24"/>
          <w:szCs w:val="24"/>
        </w:rPr>
        <w:br/>
        <w:t xml:space="preserve">7. </w:t>
      </w:r>
      <w:r w:rsidRPr="00BE407E">
        <w:rPr>
          <w:rFonts w:ascii="Times New Roman" w:eastAsia="Times New Roman" w:hAnsi="Times New Roman" w:cs="Times New Roman"/>
          <w:i/>
          <w:iCs/>
          <w:sz w:val="24"/>
          <w:szCs w:val="24"/>
        </w:rPr>
        <w:t xml:space="preserve">Decides </w:t>
      </w:r>
      <w:r w:rsidRPr="00BE407E">
        <w:rPr>
          <w:rFonts w:ascii="Times New Roman" w:eastAsia="Times New Roman" w:hAnsi="Times New Roman" w:cs="Times New Roman"/>
          <w:sz w:val="24"/>
          <w:szCs w:val="24"/>
        </w:rPr>
        <w:t>to continue its consideration of this question, as a matter of priority, at its sixty-first session under the sub</w:t>
      </w:r>
      <w:r w:rsidRPr="00BE407E">
        <w:rPr>
          <w:rFonts w:ascii="Times New Roman" w:eastAsia="Times New Roman" w:hAnsi="Times New Roman" w:cs="Times New Roman"/>
          <w:sz w:val="24"/>
          <w:szCs w:val="24"/>
        </w:rPr>
        <w:noBreakHyphen/>
        <w:t>item entitled “Independence of the judiciary, administration of justice, impunity” of the relevant agenda item.</w:t>
      </w:r>
      <w:r>
        <w:rPr>
          <w:rFonts w:ascii="Times New Roman" w:eastAsia="Times New Roman" w:hAnsi="Times New Roman" w:cs="Times New Roman"/>
          <w:noProof/>
          <w:sz w:val="24"/>
          <w:szCs w:val="24"/>
        </w:rPr>
        <w:drawing>
          <wp:inline distT="0" distB="0" distL="0" distR="0">
            <wp:extent cx="151130" cy="142875"/>
            <wp:effectExtent l="19050" t="0" r="1270" b="0"/>
            <wp:docPr id="2876" name="Imagen 28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2004 on torture and other cruel, inhuman or degrading treatment or punishment,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Stresses </w:t>
      </w:r>
      <w:r w:rsidRPr="00BE407E">
        <w:rPr>
          <w:rFonts w:ascii="Times New Roman" w:eastAsia="Times New Roman" w:hAnsi="Times New Roman" w:cs="Times New Roman"/>
          <w:sz w:val="24"/>
          <w:szCs w:val="24"/>
        </w:rPr>
        <w:t>that national legal systems should ensure that victims of torture or other cruel, inhuman or degrading treatment or punishment obtain redress, are awarded fair and adequate compensation and receive appropriate socio</w:t>
      </w:r>
      <w:r w:rsidRPr="00BE407E">
        <w:rPr>
          <w:rFonts w:ascii="Times New Roman" w:eastAsia="Times New Roman" w:hAnsi="Times New Roman" w:cs="Times New Roman"/>
          <w:sz w:val="24"/>
          <w:szCs w:val="24"/>
        </w:rPr>
        <w:noBreakHyphen/>
        <w:t>medical rehabilitation, and in this regard encourages the development of rehabilitation centres for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2877" name="Imagen 28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2004 on the elimination of violence against women, the UN Commission on Human Rights emphasized the duty of governments to “take appropriate and effective action concerning acts of violence against women, whether those acts are perpetrated by the State, by private persons or non</w:t>
      </w:r>
      <w:r w:rsidRPr="00BE407E">
        <w:rPr>
          <w:rFonts w:ascii="Times New Roman" w:eastAsia="Times New Roman" w:hAnsi="Times New Roman" w:cs="Times New Roman"/>
          <w:sz w:val="24"/>
          <w:szCs w:val="24"/>
        </w:rPr>
        <w:noBreakHyphen/>
        <w:t>State actors, and to provide access to just and effective remedies”.</w:t>
      </w:r>
      <w:r>
        <w:rPr>
          <w:rFonts w:ascii="Times New Roman" w:eastAsia="Times New Roman" w:hAnsi="Times New Roman" w:cs="Times New Roman"/>
          <w:noProof/>
          <w:sz w:val="24"/>
          <w:szCs w:val="24"/>
        </w:rPr>
        <w:drawing>
          <wp:inline distT="0" distB="0" distL="0" distR="0">
            <wp:extent cx="151130" cy="142875"/>
            <wp:effectExtent l="19050" t="0" r="1270" b="0"/>
            <wp:docPr id="2878" name="Imagen 28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Israeli practices affecting the human rights of the Palestinian people in the Occupied Palestinian Territory, including East Jerusalem,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Demands</w:t>
      </w:r>
      <w:r w:rsidRPr="00BE407E">
        <w:rPr>
          <w:rFonts w:ascii="Times New Roman" w:eastAsia="Times New Roman" w:hAnsi="Times New Roman" w:cs="Times New Roman"/>
          <w:sz w:val="24"/>
          <w:szCs w:val="24"/>
        </w:rPr>
        <w:t xml:space="preserve"> that Israel, the occupying Power, comply with its legal obligations under international law, as mentioned in the advisory opinion rendered on 9 July 2004 by the International Court of Justice and as demanded in resolution ES-10/15 and resolution ES-10/13 of 21 October 2003, and that it cease the construction of the wall in the Occupied Palestinian Territory, including in and around East Jerusalem, dismantle forthwith the structure situated therein, repeal or render ineffective all legislative and regulatory acts relating thereto, and make reparation for all damage caused by the construction of the wall.</w:t>
      </w:r>
      <w:r>
        <w:rPr>
          <w:rFonts w:ascii="Times New Roman" w:eastAsia="Times New Roman" w:hAnsi="Times New Roman" w:cs="Times New Roman"/>
          <w:noProof/>
          <w:sz w:val="24"/>
          <w:szCs w:val="24"/>
        </w:rPr>
        <w:drawing>
          <wp:inline distT="0" distB="0" distL="0" distR="0">
            <wp:extent cx="151130" cy="142875"/>
            <wp:effectExtent l="19050" t="0" r="1270" b="0"/>
            <wp:docPr id="2879" name="Imagen 28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torture and other cruel, inhuman or degrading treatment or punishment, the UN Commission on Human Rights:</w:t>
      </w:r>
      <w:r w:rsidRPr="00BE407E">
        <w:rPr>
          <w:rFonts w:ascii="Times New Roman" w:eastAsia="Times New Roman" w:hAnsi="Times New Roman" w:cs="Times New Roman"/>
          <w:sz w:val="24"/>
          <w:szCs w:val="24"/>
        </w:rPr>
        <w:br/>
        <w:t>S</w:t>
      </w:r>
      <w:r w:rsidRPr="00BE407E">
        <w:rPr>
          <w:rFonts w:ascii="Times New Roman" w:eastAsia="Times New Roman" w:hAnsi="Times New Roman" w:cs="Times New Roman"/>
          <w:i/>
          <w:iCs/>
          <w:sz w:val="24"/>
          <w:szCs w:val="24"/>
        </w:rPr>
        <w:t xml:space="preserve">tresses </w:t>
      </w:r>
      <w:r w:rsidRPr="00BE407E">
        <w:rPr>
          <w:rFonts w:ascii="Times New Roman" w:eastAsia="Times New Roman" w:hAnsi="Times New Roman" w:cs="Times New Roman"/>
          <w:sz w:val="24"/>
          <w:szCs w:val="24"/>
        </w:rPr>
        <w:t>that national legal systems should ensure that victims of torture or other cruel, inhuman or degrading treatment or punishment obtain redress, are awarded fair and adequate compensation and receive appropriate socio-medical rehabilitation, and in this regard encourages the development of rehabilitation centres for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2880" name="Imagen 28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2005, the UN Commission on Human Rights adopted the text of the Basic Principles and Guidelines on the Right to a Remedy and Reparation for the Victims of Gross Violations of International Human Rights Law and Serious Violations of International </w:t>
      </w:r>
      <w:r w:rsidRPr="00BE407E">
        <w:rPr>
          <w:rFonts w:ascii="Times New Roman" w:eastAsia="Times New Roman" w:hAnsi="Times New Roman" w:cs="Times New Roman"/>
          <w:sz w:val="24"/>
          <w:szCs w:val="24"/>
        </w:rPr>
        <w:lastRenderedPageBreak/>
        <w:t>Humanitarian Law. The text was subsequently forwarded in a draft resolution to the Economic and Social Council with the recommendation that it be submitted to the UN General Assembly for adoption.</w:t>
      </w:r>
      <w:r>
        <w:rPr>
          <w:rFonts w:ascii="Times New Roman" w:eastAsia="Times New Roman" w:hAnsi="Times New Roman" w:cs="Times New Roman"/>
          <w:noProof/>
          <w:sz w:val="24"/>
          <w:szCs w:val="24"/>
        </w:rPr>
        <w:drawing>
          <wp:inline distT="0" distB="0" distL="0" distR="0">
            <wp:extent cx="151130" cy="142875"/>
            <wp:effectExtent l="19050" t="0" r="1270" b="0"/>
            <wp:docPr id="2881" name="Imagen 28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torture and other cruel, inhuman or degrading treatment or punishment, the UN Commission on Human Rights:</w:t>
      </w:r>
      <w:r w:rsidRPr="00BE407E">
        <w:rPr>
          <w:rFonts w:ascii="Times New Roman" w:eastAsia="Times New Roman" w:hAnsi="Times New Roman" w:cs="Times New Roman"/>
          <w:sz w:val="24"/>
          <w:szCs w:val="24"/>
        </w:rPr>
        <w:br/>
        <w:t>S</w:t>
      </w:r>
      <w:r w:rsidRPr="00BE407E">
        <w:rPr>
          <w:rFonts w:ascii="Times New Roman" w:eastAsia="Times New Roman" w:hAnsi="Times New Roman" w:cs="Times New Roman"/>
          <w:i/>
          <w:iCs/>
          <w:sz w:val="24"/>
          <w:szCs w:val="24"/>
        </w:rPr>
        <w:t xml:space="preserve">tresses </w:t>
      </w:r>
      <w:r w:rsidRPr="00BE407E">
        <w:rPr>
          <w:rFonts w:ascii="Times New Roman" w:eastAsia="Times New Roman" w:hAnsi="Times New Roman" w:cs="Times New Roman"/>
          <w:sz w:val="24"/>
          <w:szCs w:val="24"/>
        </w:rPr>
        <w:t>that national legal systems should ensure that victims of torture or other cruel, inhuman or degrading treatment or punishment obtain redress, are awarded fair and adequate compensation and receive appropriate socio-medical rehabilitation, and in this regard encourages the development of rehabilitation centres for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2882" name="Imagen 28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the elimination of violence against women,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Strongly condemns</w:t>
      </w:r>
      <w:r w:rsidRPr="00BE407E">
        <w:rPr>
          <w:rFonts w:ascii="Times New Roman" w:eastAsia="Times New Roman" w:hAnsi="Times New Roman" w:cs="Times New Roman"/>
          <w:sz w:val="24"/>
          <w:szCs w:val="24"/>
        </w:rPr>
        <w:t xml:space="preserve"> all acts of violence against women and girls, whether these acts are perpetrated by the State, by private persons or non-State actors, and calls for the elimination of all forms of gender</w:t>
      </w:r>
      <w:r w:rsidRPr="00BE407E">
        <w:rPr>
          <w:rFonts w:ascii="Times New Roman" w:eastAsia="Times New Roman" w:hAnsi="Times New Roman" w:cs="Times New Roman"/>
          <w:sz w:val="24"/>
          <w:szCs w:val="24"/>
        </w:rPr>
        <w:noBreakHyphen/>
        <w:t>based violence in the family, within the general community and where perpetrated or condoned by the State, in accordance with the Declaration on the Elimination of Violence against Women, and stresses the need to treat all forms of violence against women and girls as a criminal offence, punishable by law, as well as the duty to provide access to just and effective remedies and specialized assistance to victims, including medical and psychological assistance, as well as effective counselling.</w:t>
      </w:r>
      <w:r>
        <w:rPr>
          <w:rFonts w:ascii="Times New Roman" w:eastAsia="Times New Roman" w:hAnsi="Times New Roman" w:cs="Times New Roman"/>
          <w:noProof/>
          <w:sz w:val="24"/>
          <w:szCs w:val="24"/>
        </w:rPr>
        <w:drawing>
          <wp:inline distT="0" distB="0" distL="0" distR="0">
            <wp:extent cx="151130" cy="142875"/>
            <wp:effectExtent l="19050" t="0" r="1270" b="0"/>
            <wp:docPr id="2883" name="Imagen 28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resolution adopted in 2005 entitled “Right to the truth”, the UN Commission on Human Rights: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Acknowledging</w:t>
      </w:r>
      <w:r w:rsidRPr="00BE407E">
        <w:rPr>
          <w:rFonts w:ascii="Times New Roman" w:eastAsia="Times New Roman" w:hAnsi="Times New Roman" w:cs="Times New Roman"/>
          <w:sz w:val="24"/>
          <w:szCs w:val="24"/>
        </w:rPr>
        <w:t>, in cases of gross violations of human rights and serious violations of international humanitarian law, the need to study the interrelationship between the right to the truth and the right to access to justice, the right to obtain effective remedy and reparation, and other relevant human rights.</w:t>
      </w:r>
      <w:r>
        <w:rPr>
          <w:rFonts w:ascii="Times New Roman" w:eastAsia="Times New Roman" w:hAnsi="Times New Roman" w:cs="Times New Roman"/>
          <w:noProof/>
          <w:sz w:val="24"/>
          <w:szCs w:val="24"/>
        </w:rPr>
        <w:drawing>
          <wp:inline distT="0" distB="0" distL="0" distR="0">
            <wp:extent cx="151130" cy="142875"/>
            <wp:effectExtent l="19050" t="0" r="1270" b="0"/>
            <wp:docPr id="2884" name="Imagen 28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Sub-Commission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1993 on the situation in Bosnia and Herzegovina, the UN Sub-Commission on Human Rights recommended that “steps be taken to ensure full reparation for losses suffered as a consequence of aggression and religious and ethnic cleansing”.</w:t>
      </w:r>
      <w:r>
        <w:rPr>
          <w:rFonts w:ascii="Times New Roman" w:eastAsia="Times New Roman" w:hAnsi="Times New Roman" w:cs="Times New Roman"/>
          <w:noProof/>
          <w:sz w:val="24"/>
          <w:szCs w:val="24"/>
        </w:rPr>
        <w:drawing>
          <wp:inline distT="0" distB="0" distL="0" distR="0">
            <wp:extent cx="151130" cy="142875"/>
            <wp:effectExtent l="19050" t="0" r="1270" b="0"/>
            <wp:docPr id="2885" name="Imagen 28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1" w:history="1">
        <w:r w:rsidRPr="00BE407E">
          <w:rPr>
            <w:rFonts w:ascii="Times New Roman" w:eastAsia="Times New Roman" w:hAnsi="Times New Roman" w:cs="Times New Roman"/>
            <w:color w:val="0000FF"/>
            <w:sz w:val="24"/>
            <w:szCs w:val="24"/>
            <w:u w:val="single"/>
          </w:rPr>
          <w:t>VIII. Other International Organizations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League of Arab States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written statement submitted to the ICJ in </w:t>
      </w:r>
      <w:r w:rsidRPr="00BE407E">
        <w:rPr>
          <w:rFonts w:ascii="Times New Roman" w:eastAsia="Times New Roman" w:hAnsi="Times New Roman" w:cs="Times New Roman"/>
          <w:i/>
          <w:iCs/>
          <w:sz w:val="24"/>
          <w:szCs w:val="24"/>
        </w:rPr>
        <w:t>Legal Consequences of the Construction of a Wall in the Occupied Palestinian Territory</w:t>
      </w:r>
      <w:r w:rsidRPr="00BE407E">
        <w:rPr>
          <w:rFonts w:ascii="Times New Roman" w:eastAsia="Times New Roman" w:hAnsi="Times New Roman" w:cs="Times New Roman"/>
          <w:sz w:val="24"/>
          <w:szCs w:val="24"/>
        </w:rPr>
        <w:t xml:space="preserve"> in 2004, the League of Arab States stated:</w:t>
      </w:r>
      <w:r w:rsidRPr="00BE407E">
        <w:rPr>
          <w:rFonts w:ascii="Times New Roman" w:eastAsia="Times New Roman" w:hAnsi="Times New Roman" w:cs="Times New Roman"/>
          <w:sz w:val="24"/>
          <w:szCs w:val="24"/>
        </w:rPr>
        <w:br/>
        <w:t>Israel is under a duty to make full reparation for the injury caused by this unlawful act (art. 31 ILC Draft [Articles on State Responsibility]). This reparation includes, first, restitution. There is, thus, a duty “to re-establish the situation which existed before the wrongful act was committed” (article 35 ILC Draft). This means that the Wall has to be torn down by Israel. It also means that the land used for the purpose of building the Wall must be given back to the [Palestinian National Authority] or to the original owners. That restitution in kind takes precedence over any payment of compensation.</w:t>
      </w:r>
      <w:r>
        <w:rPr>
          <w:rFonts w:ascii="Times New Roman" w:eastAsia="Times New Roman" w:hAnsi="Times New Roman" w:cs="Times New Roman"/>
          <w:noProof/>
          <w:sz w:val="24"/>
          <w:szCs w:val="24"/>
        </w:rPr>
        <w:drawing>
          <wp:inline distT="0" distB="0" distL="0" distR="0">
            <wp:extent cx="151130" cy="142875"/>
            <wp:effectExtent l="19050" t="0" r="1270" b="0"/>
            <wp:docPr id="2886" name="Imagen 28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2" w:history="1">
        <w:r w:rsidRPr="00BE407E">
          <w:rPr>
            <w:rFonts w:ascii="Times New Roman" w:eastAsia="Times New Roman" w:hAnsi="Times New Roman" w:cs="Times New Roman"/>
            <w:color w:val="0000FF"/>
            <w:sz w:val="24"/>
            <w:szCs w:val="24"/>
            <w:u w:val="single"/>
          </w:rPr>
          <w:t>IX. International Conferences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No data.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3" w:history="1">
        <w:r w:rsidRPr="00BE407E">
          <w:rPr>
            <w:rFonts w:ascii="Times New Roman" w:eastAsia="Times New Roman" w:hAnsi="Times New Roman" w:cs="Times New Roman"/>
            <w:color w:val="0000FF"/>
            <w:sz w:val="24"/>
            <w:szCs w:val="24"/>
            <w:u w:val="single"/>
          </w:rPr>
          <w:t>X. International and Mixed Judicial and Quasi-judicial Bodies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Permanent Court of International Justice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Chorzów Factory case (Merits)</w:t>
      </w:r>
      <w:r w:rsidRPr="00BE407E">
        <w:rPr>
          <w:rFonts w:ascii="Times New Roman" w:eastAsia="Times New Roman" w:hAnsi="Times New Roman" w:cs="Times New Roman"/>
          <w:sz w:val="24"/>
          <w:szCs w:val="24"/>
        </w:rPr>
        <w:t xml:space="preserve"> in 1928, the PCIJ ruled:</w:t>
      </w:r>
      <w:r w:rsidRPr="00BE407E">
        <w:rPr>
          <w:rFonts w:ascii="Times New Roman" w:eastAsia="Times New Roman" w:hAnsi="Times New Roman" w:cs="Times New Roman"/>
          <w:sz w:val="24"/>
          <w:szCs w:val="24"/>
        </w:rPr>
        <w:br/>
        <w:t>It is a principle of international law, and even a general conception of law, that any breach of an engagement involves an obligation to make reparation … Reparation is the indispensable complement of a failure to apply a convention, and there is no necessity for this to be stated in the convention itself.</w:t>
      </w:r>
      <w:r>
        <w:rPr>
          <w:rFonts w:ascii="Times New Roman" w:eastAsia="Times New Roman" w:hAnsi="Times New Roman" w:cs="Times New Roman"/>
          <w:noProof/>
          <w:sz w:val="24"/>
          <w:szCs w:val="24"/>
        </w:rPr>
        <w:drawing>
          <wp:inline distT="0" distB="0" distL="0" distR="0">
            <wp:extent cx="151130" cy="142875"/>
            <wp:effectExtent l="19050" t="0" r="1270" b="0"/>
            <wp:docPr id="2887" name="Imagen 28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Court of Justice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Advisory Opinion in </w:t>
      </w:r>
      <w:r w:rsidRPr="00BE407E">
        <w:rPr>
          <w:rFonts w:ascii="Times New Roman" w:eastAsia="Times New Roman" w:hAnsi="Times New Roman" w:cs="Times New Roman"/>
          <w:i/>
          <w:iCs/>
          <w:sz w:val="24"/>
          <w:szCs w:val="24"/>
        </w:rPr>
        <w:t>Legal Consequences of the Construction of a Wall in the Occupied Palestinian Territory</w:t>
      </w:r>
      <w:r w:rsidRPr="00BE407E">
        <w:rPr>
          <w:rFonts w:ascii="Times New Roman" w:eastAsia="Times New Roman" w:hAnsi="Times New Roman" w:cs="Times New Roman"/>
          <w:sz w:val="24"/>
          <w:szCs w:val="24"/>
        </w:rPr>
        <w:t xml:space="preserve"> in 2004, the ICJ stated the following on the customary status of the obligation to make reparation: </w:t>
      </w:r>
      <w:r w:rsidRPr="00BE407E">
        <w:rPr>
          <w:rFonts w:ascii="Times New Roman" w:eastAsia="Times New Roman" w:hAnsi="Times New Roman" w:cs="Times New Roman"/>
          <w:sz w:val="24"/>
          <w:szCs w:val="24"/>
        </w:rPr>
        <w:br/>
        <w:t xml:space="preserve">152. … Given that the construction of the wall in the Occupied Palestinian Territory has,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entailed the requisition and destruction of homes, businesses and agricultural holdings, the Court finds further that Israel has the obligation to make reparation for the damage caused to all the natural or legal persons concerned. The Court would recall that the essential forms of reparation in customary law were laid down by the Permanent Court of International Justice in the following terms: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essential principle contained in the actual notion of an illegal act – a principle which seems to be established by international practice and in particular by the decisions of arbitral tribunals – is that reparation must, as far as possible, wipe out all the consequences of the illegal act and reestablish the situation which would, in all probability, have existed if that act had not been committed. Restitution in kind, or, if this is not possible, payment of a sum corresponding to the value which a restitution in kind would bear; the award, if need be, of damages for loss sustained which would not be covered by restitution in kind or payment in place of it – such are the principles which should serve to determine the amount of compensation due for an act contrary to international law.” (</w:t>
      </w:r>
      <w:r w:rsidRPr="00BE407E">
        <w:rPr>
          <w:rFonts w:ascii="Times New Roman" w:eastAsia="Times New Roman" w:hAnsi="Times New Roman" w:cs="Times New Roman"/>
          <w:i/>
          <w:iCs/>
          <w:sz w:val="24"/>
          <w:szCs w:val="24"/>
        </w:rPr>
        <w:t>Factory at Chorzów, Merits, Judgement No 13, 1928, P.C.I.J., Series A, No. 17</w:t>
      </w:r>
      <w:r w:rsidRPr="00BE407E">
        <w:rPr>
          <w:rFonts w:ascii="Times New Roman" w:eastAsia="Times New Roman" w:hAnsi="Times New Roman" w:cs="Times New Roman"/>
          <w:sz w:val="24"/>
          <w:szCs w:val="24"/>
        </w:rPr>
        <w:t>, p. 47.)</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153. Israel is accordingly under an obligation to return land, orchards, olive groves and other immovable property seized from natural or legal person for purposes of the construction of the wall in Occupied Palestinian Territory. In the event that such restitution should prove to be materially impossible, Israel has an obligation to compensate the persons in question for the damage suffered. The Court considers that Israel also has an obligation to compensate, in accordance with the applicable rules of international law, all natural or legal persons having suffered any form of material damage as a result of the wall’s construction.</w:t>
      </w:r>
      <w:r>
        <w:rPr>
          <w:rFonts w:ascii="Times New Roman" w:eastAsia="Times New Roman" w:hAnsi="Times New Roman" w:cs="Times New Roman"/>
          <w:noProof/>
          <w:sz w:val="24"/>
          <w:szCs w:val="24"/>
        </w:rPr>
        <w:drawing>
          <wp:inline distT="0" distB="0" distL="0" distR="0">
            <wp:extent cx="151130" cy="142875"/>
            <wp:effectExtent l="19050" t="0" r="1270" b="0"/>
            <wp:docPr id="2888" name="Imagen 28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the </w:t>
      </w:r>
      <w:r w:rsidRPr="00BE407E">
        <w:rPr>
          <w:rFonts w:ascii="Times New Roman" w:eastAsia="Times New Roman" w:hAnsi="Times New Roman" w:cs="Times New Roman"/>
          <w:i/>
          <w:iCs/>
          <w:sz w:val="24"/>
          <w:szCs w:val="24"/>
        </w:rPr>
        <w:t>Armed Activities on the Territory of the Congo case (DRC v. Uganda)</w:t>
      </w:r>
      <w:r w:rsidRPr="00BE407E">
        <w:rPr>
          <w:rFonts w:ascii="Times New Roman" w:eastAsia="Times New Roman" w:hAnsi="Times New Roman" w:cs="Times New Roman"/>
          <w:sz w:val="24"/>
          <w:szCs w:val="24"/>
        </w:rPr>
        <w:t xml:space="preserve"> in 2005, the ICJ stated:</w:t>
      </w:r>
      <w:r w:rsidRPr="00BE407E">
        <w:rPr>
          <w:rFonts w:ascii="Times New Roman" w:eastAsia="Times New Roman" w:hAnsi="Times New Roman" w:cs="Times New Roman"/>
          <w:sz w:val="24"/>
          <w:szCs w:val="24"/>
        </w:rPr>
        <w:br/>
        <w:t xml:space="preserve">The Court observes that it is well established in general international law that a State which bears responsibility for an internationally wrongful act is under an obligation to make full reparation for the injury caused by that act (see </w:t>
      </w:r>
      <w:r w:rsidRPr="00BE407E">
        <w:rPr>
          <w:rFonts w:ascii="Times New Roman" w:eastAsia="Times New Roman" w:hAnsi="Times New Roman" w:cs="Times New Roman"/>
          <w:i/>
          <w:iCs/>
          <w:sz w:val="24"/>
          <w:szCs w:val="24"/>
        </w:rPr>
        <w:t>Factory at Chorzów, Jurisdiction, 1927, P.C.I.J., Series A, No. 9</w:t>
      </w:r>
      <w:r w:rsidRPr="00BE407E">
        <w:rPr>
          <w:rFonts w:ascii="Times New Roman" w:eastAsia="Times New Roman" w:hAnsi="Times New Roman" w:cs="Times New Roman"/>
          <w:sz w:val="24"/>
          <w:szCs w:val="24"/>
        </w:rPr>
        <w:t xml:space="preserve">, p. 21; </w:t>
      </w:r>
      <w:r w:rsidRPr="00BE407E">
        <w:rPr>
          <w:rFonts w:ascii="Times New Roman" w:eastAsia="Times New Roman" w:hAnsi="Times New Roman" w:cs="Times New Roman"/>
          <w:i/>
          <w:iCs/>
          <w:sz w:val="24"/>
          <w:szCs w:val="24"/>
        </w:rPr>
        <w:t>Gabčíkovo-Nagymaros Project (Hungary/Slovakia), Judgment, I.C.J. Reports 1997</w:t>
      </w:r>
      <w:r w:rsidRPr="00BE407E">
        <w:rPr>
          <w:rFonts w:ascii="Times New Roman" w:eastAsia="Times New Roman" w:hAnsi="Times New Roman" w:cs="Times New Roman"/>
          <w:sz w:val="24"/>
          <w:szCs w:val="24"/>
        </w:rPr>
        <w:t xml:space="preserve">, p. 81, para. 152; </w:t>
      </w:r>
      <w:r w:rsidRPr="00BE407E">
        <w:rPr>
          <w:rFonts w:ascii="Times New Roman" w:eastAsia="Times New Roman" w:hAnsi="Times New Roman" w:cs="Times New Roman"/>
          <w:i/>
          <w:iCs/>
          <w:sz w:val="24"/>
          <w:szCs w:val="24"/>
        </w:rPr>
        <w:t xml:space="preserve">Avena and Other Mexican Nationals (Mexico </w:t>
      </w:r>
      <w:r w:rsidRPr="00BE407E">
        <w:rPr>
          <w:rFonts w:ascii="Times New Roman" w:eastAsia="Times New Roman" w:hAnsi="Times New Roman" w:cs="Times New Roman"/>
          <w:sz w:val="24"/>
          <w:szCs w:val="24"/>
        </w:rPr>
        <w:t xml:space="preserve">v. </w:t>
      </w:r>
      <w:r w:rsidRPr="00BE407E">
        <w:rPr>
          <w:rFonts w:ascii="Times New Roman" w:eastAsia="Times New Roman" w:hAnsi="Times New Roman" w:cs="Times New Roman"/>
          <w:i/>
          <w:iCs/>
          <w:sz w:val="24"/>
          <w:szCs w:val="24"/>
        </w:rPr>
        <w:t>United States of America), Judgment, I.C.J. Reports 2004</w:t>
      </w:r>
      <w:r w:rsidRPr="00BE407E">
        <w:rPr>
          <w:rFonts w:ascii="Times New Roman" w:eastAsia="Times New Roman" w:hAnsi="Times New Roman" w:cs="Times New Roman"/>
          <w:sz w:val="24"/>
          <w:szCs w:val="24"/>
        </w:rPr>
        <w:t xml:space="preserve">, p. 59, para. 119). Upon examination of the case file, given the character of the internationally wrongful acts for which Uganda has been found responsible (illegal use of force, violation of sovereignty and territorial integrity, military intervention, occupation of Ituri, violations of international human rights law and of international humanitarian law, looting, plunder and exploitation of the DRC’s natural resources), the Court considers that those acts resulted in injury to the DRC and to persons on its </w:t>
      </w:r>
      <w:r w:rsidRPr="00BE407E">
        <w:rPr>
          <w:rFonts w:ascii="Times New Roman" w:eastAsia="Times New Roman" w:hAnsi="Times New Roman" w:cs="Times New Roman"/>
          <w:sz w:val="24"/>
          <w:szCs w:val="24"/>
        </w:rPr>
        <w:lastRenderedPageBreak/>
        <w:t>territory. Having satisfied itself that this injury was caused to the DRC by Uganda, the Court finds that Uganda has an obligation to make reparation accordingly.</w:t>
      </w:r>
      <w:r>
        <w:rPr>
          <w:rFonts w:ascii="Times New Roman" w:eastAsia="Times New Roman" w:hAnsi="Times New Roman" w:cs="Times New Roman"/>
          <w:noProof/>
          <w:sz w:val="24"/>
          <w:szCs w:val="24"/>
        </w:rPr>
        <w:drawing>
          <wp:inline distT="0" distB="0" distL="0" distR="0">
            <wp:extent cx="151130" cy="142875"/>
            <wp:effectExtent l="19050" t="0" r="1270" b="0"/>
            <wp:docPr id="2889" name="Imagen 28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Democratic Republic of the Congo, by the conduct of its armed forces, which attacked the Ugandan Embassy in Kinshasa, maltreated Ugandan diplomats and other individuals on the Embassy premises, maltreated Ugandan diplomats at Ndjili International Airport, as well as by its failure to provide the Ugandan Embassy and Ugandan diplomats with effective protection and by its failure to prevent archives and Ugandan property from being seized from the premises of the Ugandan Embassy, violated obligations owed to the Republic of Uganda under the Vienna Convention on Diplomatic Relations of 1961.</w:t>
      </w:r>
      <w:r>
        <w:rPr>
          <w:rFonts w:ascii="Times New Roman" w:eastAsia="Times New Roman" w:hAnsi="Times New Roman" w:cs="Times New Roman"/>
          <w:noProof/>
          <w:sz w:val="24"/>
          <w:szCs w:val="24"/>
        </w:rPr>
        <w:drawing>
          <wp:inline distT="0" distB="0" distL="0" distR="0">
            <wp:extent cx="151130" cy="142875"/>
            <wp:effectExtent l="19050" t="0" r="1270" b="0"/>
            <wp:docPr id="2890" name="Imagen 28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on the merits in the </w:t>
      </w:r>
      <w:r w:rsidRPr="00BE407E">
        <w:rPr>
          <w:rFonts w:ascii="Times New Roman" w:eastAsia="Times New Roman" w:hAnsi="Times New Roman" w:cs="Times New Roman"/>
          <w:i/>
          <w:iCs/>
          <w:sz w:val="24"/>
          <w:szCs w:val="24"/>
        </w:rPr>
        <w:t>Application of the Convention on the Prevention and Punishment of the Crime of Genocide case (Bosnia and Herzegovina v. Serbia and Montenegro)</w:t>
      </w:r>
      <w:r w:rsidRPr="00BE407E">
        <w:rPr>
          <w:rFonts w:ascii="Times New Roman" w:eastAsia="Times New Roman" w:hAnsi="Times New Roman" w:cs="Times New Roman"/>
          <w:sz w:val="24"/>
          <w:szCs w:val="24"/>
        </w:rPr>
        <w:t xml:space="preserve"> in 2007, the ICJ stated:</w:t>
      </w:r>
      <w:r w:rsidRPr="00BE407E">
        <w:rPr>
          <w:rFonts w:ascii="Times New Roman" w:eastAsia="Times New Roman" w:hAnsi="Times New Roman" w:cs="Times New Roman"/>
          <w:sz w:val="24"/>
          <w:szCs w:val="24"/>
        </w:rPr>
        <w:br/>
        <w:t xml:space="preserve">The principle governing the determination of reparation for an internationally wrongful act is as stated by the Permanent Court of International Justice in the </w:t>
      </w:r>
      <w:r w:rsidRPr="00BE407E">
        <w:rPr>
          <w:rFonts w:ascii="Times New Roman" w:eastAsia="Times New Roman" w:hAnsi="Times New Roman" w:cs="Times New Roman"/>
          <w:i/>
          <w:iCs/>
          <w:sz w:val="24"/>
          <w:szCs w:val="24"/>
        </w:rPr>
        <w:t xml:space="preserve">Factory at Chorzów </w:t>
      </w:r>
      <w:r w:rsidRPr="00BE407E">
        <w:rPr>
          <w:rFonts w:ascii="Times New Roman" w:eastAsia="Times New Roman" w:hAnsi="Times New Roman" w:cs="Times New Roman"/>
          <w:sz w:val="24"/>
          <w:szCs w:val="24"/>
        </w:rPr>
        <w:t>case: that “reparation must, so far as possible, wipe out all the consequences of the illegal act and reestablish the situation which would, in all probability, have existed if that act had not been committed” (</w:t>
      </w:r>
      <w:r w:rsidRPr="00BE407E">
        <w:rPr>
          <w:rFonts w:ascii="Times New Roman" w:eastAsia="Times New Roman" w:hAnsi="Times New Roman" w:cs="Times New Roman"/>
          <w:i/>
          <w:iCs/>
          <w:sz w:val="24"/>
          <w:szCs w:val="24"/>
        </w:rPr>
        <w:t>P.C.I.J. Series A, No. 17</w:t>
      </w:r>
      <w:r w:rsidRPr="00BE407E">
        <w:rPr>
          <w:rFonts w:ascii="Times New Roman" w:eastAsia="Times New Roman" w:hAnsi="Times New Roman" w:cs="Times New Roman"/>
          <w:sz w:val="24"/>
          <w:szCs w:val="24"/>
        </w:rPr>
        <w:t>, p. 47: see also Article 31 of the ILC’s Articles on State Responsibility) …</w:t>
      </w:r>
      <w:r>
        <w:rPr>
          <w:rFonts w:ascii="Times New Roman" w:eastAsia="Times New Roman" w:hAnsi="Times New Roman" w:cs="Times New Roman"/>
          <w:noProof/>
          <w:sz w:val="24"/>
          <w:szCs w:val="24"/>
        </w:rPr>
        <w:drawing>
          <wp:inline distT="0" distB="0" distL="0" distR="0">
            <wp:extent cx="151130" cy="142875"/>
            <wp:effectExtent l="19050" t="0" r="1270" b="0"/>
            <wp:docPr id="2891" name="Imagen 28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w:t>
      </w:r>
      <w:r w:rsidRPr="00BE407E">
        <w:rPr>
          <w:rFonts w:ascii="Times New Roman" w:eastAsia="Times New Roman" w:hAnsi="Times New Roman" w:cs="Times New Roman"/>
          <w:i/>
          <w:iCs/>
          <w:sz w:val="24"/>
          <w:szCs w:val="24"/>
        </w:rPr>
        <w:t>Jurisdictional Immunities of the State (Germany v. Italy: Greece intervening)</w:t>
      </w:r>
      <w:r w:rsidRPr="00BE407E">
        <w:rPr>
          <w:rFonts w:ascii="Times New Roman" w:eastAsia="Times New Roman" w:hAnsi="Times New Roman" w:cs="Times New Roman"/>
          <w:sz w:val="24"/>
          <w:szCs w:val="24"/>
        </w:rPr>
        <w:t xml:space="preserve"> in 2012, the ICJ stated:</w:t>
      </w:r>
      <w:r w:rsidRPr="00BE407E">
        <w:rPr>
          <w:rFonts w:ascii="Times New Roman" w:eastAsia="Times New Roman" w:hAnsi="Times New Roman" w:cs="Times New Roman"/>
          <w:sz w:val="24"/>
          <w:szCs w:val="24"/>
        </w:rPr>
        <w:br/>
        <w:t>It is, therefore, unnecessary for the Court to consider a number of questions which were discussed at some length by the Parties. In particular, the Court need not rule on whether, as Italy contends, international law confers upon the individual victim of a violation of the law of armed conflict a directly enforceable right to claim compensation. Nor need it rule on whether, as Germany maintains, Article 77, paragraph 4, of the Treaty of Peace or the provisions of the 1961 Agreements amounted to a binding waiver of the claims which are the subject of the Italian proceedings. That is not to say, of course, that these are unimportant questions, only that they are not ones which fall for decision within the limits of the present case. The question whether Germany still has a responsibility towards Italy, or individual Italians, in respect of war crimes and crimes against humanity committed by it during the Second World War does not affect Germany’s entitlement to immunity. Similarly, the Court’s ruling on the issue of immunity can have no effect on whatever responsibility Germany may have.</w:t>
      </w:r>
      <w:r>
        <w:rPr>
          <w:rFonts w:ascii="Times New Roman" w:eastAsia="Times New Roman" w:hAnsi="Times New Roman" w:cs="Times New Roman"/>
          <w:noProof/>
          <w:sz w:val="24"/>
          <w:szCs w:val="24"/>
        </w:rPr>
        <w:drawing>
          <wp:inline distT="0" distB="0" distL="0" distR="0">
            <wp:extent cx="151130" cy="142875"/>
            <wp:effectExtent l="19050" t="0" r="1270" b="0"/>
            <wp:docPr id="2892" name="Imagen 28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Human Rights Committee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General Comment on the Nature of the General Legal Obligation Imposed on States Parties under the 1966 International Covenant of Civil and Political Rights in 2004, the Human Rights Committee held:</w:t>
      </w:r>
      <w:r w:rsidRPr="00BE407E">
        <w:rPr>
          <w:rFonts w:ascii="Times New Roman" w:eastAsia="Times New Roman" w:hAnsi="Times New Roman" w:cs="Times New Roman"/>
          <w:sz w:val="24"/>
          <w:szCs w:val="24"/>
        </w:rPr>
        <w:br/>
        <w:t>Article 2, paragraph 3, requires that States Parties make reparation to individuals whose Covenant rights have been violated. Without reparation to individuals whose Covenant rights have been violated, the obligation to provide an effective remedy, which is central to the efficacy of article 2, paragraph 3, is not discharged. In addition to the explicit reparation required by articles 9, paragraph 5, and 14, paragraph 6, the Committee considers that the Covenant generally entails appropriate compensation. The Committee notes that, where appropriate, reparation can involve restitution, rehabilitation and measures of satisfaction, such as public apologies, public memorials, guarantees of non-repetition and changes in relevant laws and practices, as well as bringing to justice the perpetrators of human rights violations.</w:t>
      </w:r>
      <w:r>
        <w:rPr>
          <w:rFonts w:ascii="Times New Roman" w:eastAsia="Times New Roman" w:hAnsi="Times New Roman" w:cs="Times New Roman"/>
          <w:noProof/>
          <w:sz w:val="24"/>
          <w:szCs w:val="24"/>
        </w:rPr>
        <w:drawing>
          <wp:inline distT="0" distB="0" distL="0" distR="0">
            <wp:extent cx="151130" cy="142875"/>
            <wp:effectExtent l="19050" t="0" r="1270" b="0"/>
            <wp:docPr id="2893" name="Imagen 28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concluding observations on the second periodic report of Paraguay in 2006, the Human Rights Committee noted with concern “the persistent excessive use of force, </w:t>
      </w:r>
      <w:r w:rsidRPr="00BE407E">
        <w:rPr>
          <w:rFonts w:ascii="Times New Roman" w:eastAsia="Times New Roman" w:hAnsi="Times New Roman" w:cs="Times New Roman"/>
          <w:sz w:val="24"/>
          <w:szCs w:val="24"/>
        </w:rPr>
        <w:lastRenderedPageBreak/>
        <w:t>including beatings and killings, by security forces and prison staff” and recommended that Paraguay “</w:t>
      </w:r>
      <w:r w:rsidRPr="00BE407E">
        <w:rPr>
          <w:rFonts w:ascii="Times New Roman" w:eastAsia="Times New Roman" w:hAnsi="Times New Roman" w:cs="Times New Roman"/>
          <w:i/>
          <w:iCs/>
          <w:sz w:val="24"/>
          <w:szCs w:val="24"/>
        </w:rPr>
        <w:t>ensure that allegations of excessive use of force are thoroughly investigated and the culprits prosecuted. Victims of such methods should receive fair and adequate compensation</w:t>
      </w:r>
      <w:r w:rsidRPr="00BE407E">
        <w:rPr>
          <w:rFonts w:ascii="Times New Roman" w:eastAsia="Times New Roman" w:hAnsi="Times New Roman" w:cs="Times New Roman"/>
          <w:sz w:val="24"/>
          <w:szCs w:val="24"/>
        </w:rPr>
        <w:t>”.</w:t>
      </w:r>
      <w:r>
        <w:rPr>
          <w:rFonts w:ascii="Times New Roman" w:eastAsia="Times New Roman" w:hAnsi="Times New Roman" w:cs="Times New Roman"/>
          <w:noProof/>
          <w:sz w:val="24"/>
          <w:szCs w:val="24"/>
        </w:rPr>
        <w:drawing>
          <wp:inline distT="0" distB="0" distL="0" distR="0">
            <wp:extent cx="151130" cy="142875"/>
            <wp:effectExtent l="19050" t="0" r="1270" b="0"/>
            <wp:docPr id="2894" name="Imagen 28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(emphasis in original)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concluding observations on the second periodic report of the Central African Republic in 2006, the Human Rights Committee stated:</w:t>
      </w:r>
      <w:r w:rsidRPr="00BE407E">
        <w:rPr>
          <w:rFonts w:ascii="Times New Roman" w:eastAsia="Times New Roman" w:hAnsi="Times New Roman" w:cs="Times New Roman"/>
          <w:sz w:val="24"/>
          <w:szCs w:val="24"/>
        </w:rPr>
        <w:br/>
        <w:t>The Committee notes with concern that, to date, the authorities have not carried out any exhaustive and independent appraisal of serious violations of human rights and international humanitarian law in the Central African Republic and that the victims have received no reparations (arts. 2, 6 and 7 [of the 1966 International Covenant on Civil and Political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The State party should in all circumstances ensure that victims of serious violations of human rights and international humanitarian law are guaranteed effective remedy, which is implemented in practice, including the right to as full compensation and reparations as possible. The State party should act swiftly to implement the recommendations of the “national dialogue” on the establishment of a truth and reconciliation commission.</w:t>
      </w:r>
      <w:r>
        <w:rPr>
          <w:rFonts w:ascii="Times New Roman" w:eastAsia="Times New Roman" w:hAnsi="Times New Roman" w:cs="Times New Roman"/>
          <w:noProof/>
          <w:sz w:val="24"/>
          <w:szCs w:val="24"/>
        </w:rPr>
        <w:drawing>
          <wp:inline distT="0" distB="0" distL="0" distR="0">
            <wp:extent cx="151130" cy="142875"/>
            <wp:effectExtent l="19050" t="0" r="1270" b="0"/>
            <wp:docPr id="2895" name="Imagen 28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Inter-American Commission on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2001, in the </w:t>
      </w:r>
      <w:r w:rsidRPr="00BE407E">
        <w:rPr>
          <w:rFonts w:ascii="Times New Roman" w:eastAsia="Times New Roman" w:hAnsi="Times New Roman" w:cs="Times New Roman"/>
          <w:i/>
          <w:iCs/>
          <w:sz w:val="24"/>
          <w:szCs w:val="24"/>
        </w:rPr>
        <w:t>Case of the Riofrío massacre (Colombia)</w:t>
      </w:r>
      <w:r w:rsidRPr="00BE407E">
        <w:rPr>
          <w:rFonts w:ascii="Times New Roman" w:eastAsia="Times New Roman" w:hAnsi="Times New Roman" w:cs="Times New Roman"/>
          <w:sz w:val="24"/>
          <w:szCs w:val="24"/>
        </w:rPr>
        <w:t>, the Inter-American Commission on Human Rights stated:</w:t>
      </w:r>
      <w:r w:rsidRPr="00BE407E">
        <w:rPr>
          <w:rFonts w:ascii="Times New Roman" w:eastAsia="Times New Roman" w:hAnsi="Times New Roman" w:cs="Times New Roman"/>
          <w:sz w:val="24"/>
          <w:szCs w:val="24"/>
        </w:rPr>
        <w:br/>
        <w:t>48. Before turning to the analysis of the alleged violations of the standards of the American Convention, it must be ascertained whether the acts of the individuals implicated in the incident in violating such fundamental rights as the rights to life and humane treatment are attributable to the State of Colombia and therefore call into question its responsibility in accordance with international law. In this regard, the Inter-American Court has noted that it is sufficient to show that the infringement of the rights recognized in the Convention has been supported or tolerated by the government.</w:t>
      </w:r>
      <w:r w:rsidRPr="00BE407E">
        <w:rPr>
          <w:rFonts w:ascii="Times New Roman" w:eastAsia="Times New Roman" w:hAnsi="Times New Roman" w:cs="Times New Roman"/>
          <w:sz w:val="24"/>
          <w:szCs w:val="24"/>
        </w:rPr>
        <w:br/>
        <w:t xml:space="preserve">49. First, it should be said that, as noted by the [Inter-American Commission on Human Rights] in its </w:t>
      </w:r>
      <w:r w:rsidRPr="00BE407E">
        <w:rPr>
          <w:rFonts w:ascii="Times New Roman" w:eastAsia="Times New Roman" w:hAnsi="Times New Roman" w:cs="Times New Roman"/>
          <w:i/>
          <w:iCs/>
          <w:sz w:val="24"/>
          <w:szCs w:val="24"/>
        </w:rPr>
        <w:t>Third Report on the Human Rights Situation in Colombia</w:t>
      </w:r>
      <w:r w:rsidRPr="00BE407E">
        <w:rPr>
          <w:rFonts w:ascii="Times New Roman" w:eastAsia="Times New Roman" w:hAnsi="Times New Roman" w:cs="Times New Roman"/>
          <w:sz w:val="24"/>
          <w:szCs w:val="24"/>
        </w:rPr>
        <w:t>, the State has played a leading role in developing the paramilitary or self-defense groups, that it allowed them to act legitimately with the protection of the law during the 1970s and 1980s, and that it is generally responsible for their existence and for strengthening them.</w:t>
      </w:r>
      <w:r w:rsidRPr="00BE407E">
        <w:rPr>
          <w:rFonts w:ascii="Times New Roman" w:eastAsia="Times New Roman" w:hAnsi="Times New Roman" w:cs="Times New Roman"/>
          <w:sz w:val="24"/>
          <w:szCs w:val="24"/>
        </w:rPr>
        <w:br/>
        <w:t>50. These groups sponsored or accepted by branches of the armed forces were created mainly to combat armed groups of dissidents. As a result of their counterinsurgency purposes, the paramilitaries established links with the Colombian army that became stronger over a period of more than twenty years. Eventually, on May 25, 1989, the Supreme Court of Justice declared Decree 3398 unconstitutional, thereby removing all legal support for their ties to national defense. In the wake of this action, the State passed a number of laws to criminalize the activities of these groups and of those that supported them. Despite these measures, the State did little to dismantle the structure it had created and promoted, particularly in the case of groups that carried out counterinsurgency activities and, in fact, the ties remained in place at different levels, which in some instances requested or permitted paramilitary groups to carry out certain illegal acts on the understanding that they would not be investigated, prosecuted, or punished. The toleration of these groups by certain branches of the army has been denounced by agencies within the State itself.</w:t>
      </w:r>
      <w:r w:rsidRPr="00BE407E">
        <w:rPr>
          <w:rFonts w:ascii="Times New Roman" w:eastAsia="Times New Roman" w:hAnsi="Times New Roman" w:cs="Times New Roman"/>
          <w:sz w:val="24"/>
          <w:szCs w:val="24"/>
        </w:rPr>
        <w:br/>
        <w:t xml:space="preserve">51. As a result of this situation, the Commission has established, for the purposes of determining the international responsibility of the State in accordance with the American Convention, that in cases in which members of paramilitary groups and the army carry out joint operations with the knowledge of superior officers, the members of </w:t>
      </w:r>
      <w:r w:rsidRPr="00BE407E">
        <w:rPr>
          <w:rFonts w:ascii="Times New Roman" w:eastAsia="Times New Roman" w:hAnsi="Times New Roman" w:cs="Times New Roman"/>
          <w:sz w:val="24"/>
          <w:szCs w:val="24"/>
        </w:rPr>
        <w:lastRenderedPageBreak/>
        <w:t>the paramilitary groups act as agents of the State.</w:t>
      </w:r>
      <w:r w:rsidRPr="00BE407E">
        <w:rPr>
          <w:rFonts w:ascii="Times New Roman" w:eastAsia="Times New Roman" w:hAnsi="Times New Roman" w:cs="Times New Roman"/>
          <w:sz w:val="24"/>
          <w:szCs w:val="24"/>
        </w:rPr>
        <w:br/>
        <w:t>52. In the present case, according to analysis of the facts mentioned above, there is evidence to show that agents of the State helped to coordinate the massacre, to carry it out, and, as discovered by domestic courts, to cover it up. Therefore, the only conclusion is that the State is liable for the violations of the American Convention resulting from the acts of commission or omission by its own agents and by private individuals involved in the execution of the victims.</w:t>
      </w:r>
      <w:r>
        <w:rPr>
          <w:rFonts w:ascii="Times New Roman" w:eastAsia="Times New Roman" w:hAnsi="Times New Roman" w:cs="Times New Roman"/>
          <w:noProof/>
          <w:sz w:val="24"/>
          <w:szCs w:val="24"/>
        </w:rPr>
        <w:drawing>
          <wp:inline distT="0" distB="0" distL="0" distR="0">
            <wp:extent cx="151130" cy="142875"/>
            <wp:effectExtent l="19050" t="0" r="1270" b="0"/>
            <wp:docPr id="2896" name="Imagen 28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Eritrea-Ethiopia Claims Commission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t>
      </w:r>
      <w:r w:rsidRPr="00BE407E">
        <w:rPr>
          <w:rFonts w:ascii="Times New Roman" w:eastAsia="Times New Roman" w:hAnsi="Times New Roman" w:cs="Times New Roman"/>
          <w:i/>
          <w:iCs/>
          <w:sz w:val="24"/>
          <w:szCs w:val="24"/>
        </w:rPr>
        <w:t xml:space="preserve">Decision Number 7, Guidance Regarding </w:t>
      </w:r>
      <w:r w:rsidRPr="00BE407E">
        <w:rPr>
          <w:rFonts w:ascii="Times New Roman" w:eastAsia="Times New Roman" w:hAnsi="Times New Roman" w:cs="Times New Roman"/>
          <w:sz w:val="24"/>
          <w:szCs w:val="24"/>
        </w:rPr>
        <w:t>Jus ad Bellum</w:t>
      </w:r>
      <w:r w:rsidRPr="00BE407E">
        <w:rPr>
          <w:rFonts w:ascii="Times New Roman" w:eastAsia="Times New Roman" w:hAnsi="Times New Roman" w:cs="Times New Roman"/>
          <w:i/>
          <w:iCs/>
          <w:sz w:val="24"/>
          <w:szCs w:val="24"/>
        </w:rPr>
        <w:t xml:space="preserve"> Liability</w:t>
      </w:r>
      <w:r w:rsidRPr="00BE407E">
        <w:rPr>
          <w:rFonts w:ascii="Times New Roman" w:eastAsia="Times New Roman" w:hAnsi="Times New Roman" w:cs="Times New Roman"/>
          <w:sz w:val="24"/>
          <w:szCs w:val="24"/>
        </w:rPr>
        <w:t>, in 2007, the Eritrea-Ethiopia Claims Commission, in considering the breadth of State responsibility for violations of international law, stated:</w:t>
      </w:r>
      <w:r w:rsidRPr="00BE407E">
        <w:rPr>
          <w:rFonts w:ascii="Times New Roman" w:eastAsia="Times New Roman" w:hAnsi="Times New Roman" w:cs="Times New Roman"/>
          <w:sz w:val="24"/>
          <w:szCs w:val="24"/>
        </w:rPr>
        <w:br/>
        <w:t>21. … [T]here have been few modern instances in which a State has been determined to bear responsibility for damages resulting from a war as a matter of international law. Throughout history, indemnities frequently have been exacted from the losing parties in wars, but this has resulted from the exercise of power by the victor, not the application of the international law of State responsibility.</w:t>
      </w:r>
      <w:r w:rsidRPr="00BE407E">
        <w:rPr>
          <w:rFonts w:ascii="Times New Roman" w:eastAsia="Times New Roman" w:hAnsi="Times New Roman" w:cs="Times New Roman"/>
          <w:sz w:val="24"/>
          <w:szCs w:val="24"/>
        </w:rPr>
        <w:br/>
        <w:t>22. In the Commission’s view, the few twentieth century cases in which States have been held to be internationally responsible for extensive war damages do not provide clear guidance, and instead counsel caution. The war guilt and reparations provisions of the Treaty of Versailles reflected a collective judgment by the victorious parties to the First World War that Germany bore responsibility for the initiation and continuation of that war, and authorized a massive program of reparations. However, the history of those provisions makes clear that they were heavily shaped by motives of policy and revenge unrelated to the principles of law. The program of reparations under the Treaty of Versailles had a brief and unsatisfactory history.</w:t>
      </w:r>
      <w:r w:rsidRPr="00BE407E">
        <w:rPr>
          <w:rFonts w:ascii="Times New Roman" w:eastAsia="Times New Roman" w:hAnsi="Times New Roman" w:cs="Times New Roman"/>
          <w:sz w:val="24"/>
          <w:szCs w:val="24"/>
        </w:rPr>
        <w:br/>
        <w:t>23. The Commission likewise does not see the international community’s measures relating to compensation following the Second World War as providing compelling reference points in the present situation, involving a violation of law of a much different order. At the end of that war, there was a broad consensus on the part of the Allied Powers that Germany and Japan were responsible for initiating and waging aggressive war on a massive scale. Individual leaders of both States were held criminally responsible for their conduct, and some senior leaders were executed.</w:t>
      </w:r>
      <w:r w:rsidRPr="00BE407E">
        <w:rPr>
          <w:rFonts w:ascii="Times New Roman" w:eastAsia="Times New Roman" w:hAnsi="Times New Roman" w:cs="Times New Roman"/>
          <w:sz w:val="24"/>
          <w:szCs w:val="24"/>
        </w:rPr>
        <w:br/>
        <w:t>24. Nevertheless, the practice of States at that time does not support the expansive view of State responsibility [one of the parties] urges now. The States deemed by the international community to be directly responsible for the war ultimately bore financial consequences that were modest in relation to the resulting damages. For reasons largely related to the post-war division of Germany, there was no comprehensive multilateral peace treaty with Germany corresponding to the Treaty of Versailles, and there was no internationally agreed program of reparations or compensation. The Soviet Union for a time carried out its own program of enforced reparations from Germany, but this was “victor’s justice,” not a principled application of the international law of State responsibility enjoying international support and legitimacy. Germany subsequently carried out extensive programs of compensation and assistance to the State of Israel and to many groups of persons injured by its conduct, but these were largely shaped by considerations of morality and politics, not by the law of State responsibility.</w:t>
      </w:r>
      <w:r w:rsidRPr="00BE407E">
        <w:rPr>
          <w:rFonts w:ascii="Times New Roman" w:eastAsia="Times New Roman" w:hAnsi="Times New Roman" w:cs="Times New Roman"/>
          <w:sz w:val="24"/>
          <w:szCs w:val="24"/>
        </w:rPr>
        <w:br/>
        <w:t xml:space="preserve">25. The September 1951 Treaty of Peace with Japan included substantial provisions relating to claims and property, but again does not provide compelling guidance. While the Treaty of Peace brought about or confirmed substantial transfers of assets, its provisions resulted from a negotiation aimed at reintegrating Japan into the global community, not an application of the law of State responsibility. Article 14 of the </w:t>
      </w:r>
      <w:r w:rsidRPr="00BE407E">
        <w:rPr>
          <w:rFonts w:ascii="Times New Roman" w:eastAsia="Times New Roman" w:hAnsi="Times New Roman" w:cs="Times New Roman"/>
          <w:sz w:val="24"/>
          <w:szCs w:val="24"/>
        </w:rPr>
        <w:lastRenderedPageBreak/>
        <w:t>Treaty illustrates this negotiated aspect, as well as the parties’ decision not to repeat the experience of the Treaty of Versailles.</w:t>
      </w:r>
      <w:r w:rsidRPr="00BE407E">
        <w:rPr>
          <w:rFonts w:ascii="Times New Roman" w:eastAsia="Times New Roman" w:hAnsi="Times New Roman" w:cs="Times New Roman"/>
          <w:sz w:val="24"/>
          <w:szCs w:val="24"/>
        </w:rPr>
        <w:br/>
        <w:t>26. Given its purposes, the Treaty of Peace did not require the immediate commitment of fresh funds to provide compensation. Instead, Article 14(a)(2)(I) gave each of the Allied Powers and China the right to seize and keep or liquidate certain overseas property of Japan and Japanese nationals and entities. Under Article 14(a), Japan also agreed to “promptly enter into negotiations with Allied Powers so desiring, whose present territories were occupied by Japanese forces and damaged by Japan, with a view to assisting to compensate those countries for the cost of repairing the damage done, by making available the services of the Japanese people in production, salvaging and other work …” Compensation under the Treaty was exclusive. In Article 14(b) “the Allied Powers waive[d] all reparations claims … arising out of any actions taken by Japan and its nationals in the course of the prosecution of the war …”</w:t>
      </w:r>
      <w:r w:rsidRPr="00BE407E">
        <w:rPr>
          <w:rFonts w:ascii="Times New Roman" w:eastAsia="Times New Roman" w:hAnsi="Times New Roman" w:cs="Times New Roman"/>
          <w:sz w:val="24"/>
          <w:szCs w:val="24"/>
        </w:rPr>
        <w:br/>
        <w:t>27. Thus, the post-war practice of States regarding Nazi Germany and Japan, both generally regarded by the international community as having initiated and waged aggressive war on a massive scale, provide no clear reference here. There either were no reparations determined through application of international law (Germany), or reparations were determined through negotiations shaped by the defeated State’s ability to pay and other political and economic factors (Japan).</w:t>
      </w:r>
      <w:r>
        <w:rPr>
          <w:rFonts w:ascii="Times New Roman" w:eastAsia="Times New Roman" w:hAnsi="Times New Roman" w:cs="Times New Roman"/>
          <w:noProof/>
          <w:sz w:val="24"/>
          <w:szCs w:val="24"/>
        </w:rPr>
        <w:drawing>
          <wp:inline distT="0" distB="0" distL="0" distR="0">
            <wp:extent cx="151130" cy="142875"/>
            <wp:effectExtent l="19050" t="0" r="1270" b="0"/>
            <wp:docPr id="2897" name="Imagen 28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[footnotes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Eritrea-Ethiopia Claims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t>
      </w:r>
      <w:r w:rsidRPr="00BE407E">
        <w:rPr>
          <w:rFonts w:ascii="Times New Roman" w:eastAsia="Times New Roman" w:hAnsi="Times New Roman" w:cs="Times New Roman"/>
          <w:i/>
          <w:iCs/>
          <w:sz w:val="24"/>
          <w:szCs w:val="24"/>
        </w:rPr>
        <w:t>Ethiopia’s Damages Claims</w:t>
      </w:r>
      <w:r w:rsidRPr="00BE407E">
        <w:rPr>
          <w:rFonts w:ascii="Times New Roman" w:eastAsia="Times New Roman" w:hAnsi="Times New Roman" w:cs="Times New Roman"/>
          <w:sz w:val="24"/>
          <w:szCs w:val="24"/>
        </w:rPr>
        <w:t xml:space="preserve"> final award in 2009, the Eritrea-Ethiopia Claims Commission considered the principle of reparation for State violations of international law. First, the Commission considered whether moral damages were appropriate, stating:</w:t>
      </w:r>
      <w:r w:rsidRPr="00BE407E">
        <w:rPr>
          <w:rFonts w:ascii="Times New Roman" w:eastAsia="Times New Roman" w:hAnsi="Times New Roman" w:cs="Times New Roman"/>
          <w:sz w:val="24"/>
          <w:szCs w:val="24"/>
        </w:rPr>
        <w:br/>
        <w:t>61. … Large per capita awards of moral damages may be logical and appropriate in some contexts involving significant injuries to an individual or to identifiable members of small groups. The concept cannot reasonably be expanded to situations involving claimed moral injury to whole populations of large areas.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63. The Commission also does not accept the mechanical use of “severity factors” to swell the claim. This system has no precedent in international law. The factors themselves, and the manner of their application, are questionable. Two of the factors … involve matters bearing upon inter-State relations. These might be relevant to certain claims for damage purely to the State, but not to assessing moral injury to individuals …</w:t>
      </w:r>
      <w:r w:rsidRPr="00BE407E">
        <w:rPr>
          <w:rFonts w:ascii="Times New Roman" w:eastAsia="Times New Roman" w:hAnsi="Times New Roman" w:cs="Times New Roman"/>
          <w:sz w:val="24"/>
          <w:szCs w:val="24"/>
        </w:rPr>
        <w:br/>
        <w:t>64. … The moral damages awards of the courts and tribunals … cite[d] reflect a painstaking assessment of detailed records in individual cases. There can be no such assessment in a claim involving huge numbers of hypothetical victims.</w:t>
      </w:r>
      <w:r w:rsidRPr="00BE407E">
        <w:rPr>
          <w:rFonts w:ascii="Times New Roman" w:eastAsia="Times New Roman" w:hAnsi="Times New Roman" w:cs="Times New Roman"/>
          <w:sz w:val="24"/>
          <w:szCs w:val="24"/>
        </w:rPr>
        <w:br/>
        <w:t>65. In appropriate cases, the Commission has weighed some of the considerations identified … such as the gravity of a particular type of violation, and the extent and consequences of the resulting human injury, in determining the damages to be awarded. However, it has done so as an integral element of its damages awards, not by using a separate calculus of “moral damage”.</w:t>
      </w:r>
      <w:r>
        <w:rPr>
          <w:rFonts w:ascii="Times New Roman" w:eastAsia="Times New Roman" w:hAnsi="Times New Roman" w:cs="Times New Roman"/>
          <w:noProof/>
          <w:sz w:val="24"/>
          <w:szCs w:val="24"/>
        </w:rPr>
        <w:drawing>
          <wp:inline distT="0" distB="0" distL="0" distR="0">
            <wp:extent cx="151130" cy="142875"/>
            <wp:effectExtent l="19050" t="0" r="1270" b="0"/>
            <wp:docPr id="2898" name="Imagen 28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[footnote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285. </w:t>
      </w:r>
      <w:r w:rsidRPr="00BE407E">
        <w:rPr>
          <w:rFonts w:ascii="Times New Roman" w:eastAsia="Times New Roman" w:hAnsi="Times New Roman" w:cs="Times New Roman"/>
          <w:i/>
          <w:iCs/>
          <w:sz w:val="24"/>
          <w:szCs w:val="24"/>
        </w:rPr>
        <w:t>Legal Considerations</w:t>
      </w:r>
      <w:r w:rsidRPr="00BE407E">
        <w:rPr>
          <w:rFonts w:ascii="Times New Roman" w:eastAsia="Times New Roman" w:hAnsi="Times New Roman" w:cs="Times New Roman"/>
          <w:sz w:val="24"/>
          <w:szCs w:val="24"/>
        </w:rPr>
        <w:t xml:space="preserve">. The International Court of Justice has employed broad language to describe the reparation that should follow from a breach of the </w:t>
      </w:r>
      <w:r w:rsidRPr="00BE407E">
        <w:rPr>
          <w:rFonts w:ascii="Times New Roman" w:eastAsia="Times New Roman" w:hAnsi="Times New Roman" w:cs="Times New Roman"/>
          <w:i/>
          <w:iCs/>
          <w:sz w:val="24"/>
          <w:szCs w:val="24"/>
        </w:rPr>
        <w:t>jus ad bellum</w:t>
      </w:r>
      <w:r w:rsidRPr="00BE407E">
        <w:rPr>
          <w:rFonts w:ascii="Times New Roman" w:eastAsia="Times New Roman" w:hAnsi="Times New Roman" w:cs="Times New Roman"/>
          <w:sz w:val="24"/>
          <w:szCs w:val="24"/>
        </w:rPr>
        <w:t xml:space="preserve">, but its judgments have not addressed concretely the types or extent of damage to be regarded as proximately caused by a delict. Most recently, the Court in </w:t>
      </w:r>
      <w:r w:rsidRPr="00BE407E">
        <w:rPr>
          <w:rFonts w:ascii="Times New Roman" w:eastAsia="Times New Roman" w:hAnsi="Times New Roman" w:cs="Times New Roman"/>
          <w:i/>
          <w:iCs/>
          <w:sz w:val="24"/>
          <w:szCs w:val="24"/>
        </w:rPr>
        <w:t>Congo v. Uganda</w:t>
      </w:r>
      <w:r w:rsidRPr="00BE407E">
        <w:rPr>
          <w:rFonts w:ascii="Times New Roman" w:eastAsia="Times New Roman" w:hAnsi="Times New Roman" w:cs="Times New Roman"/>
          <w:sz w:val="24"/>
          <w:szCs w:val="24"/>
        </w:rPr>
        <w:t xml:space="preserve"> affirmed in broad terms “that a State which bears responsibility for an internationally wrongful act is under an obligation to make full reparation for the injury </w:t>
      </w:r>
      <w:r w:rsidRPr="00BE407E">
        <w:rPr>
          <w:rFonts w:ascii="Times New Roman" w:eastAsia="Times New Roman" w:hAnsi="Times New Roman" w:cs="Times New Roman"/>
          <w:sz w:val="24"/>
          <w:szCs w:val="24"/>
        </w:rPr>
        <w:lastRenderedPageBreak/>
        <w:t xml:space="preserve">caused by that act,” but it left it to the parties to determine in the first instance what this meant through negotiations. This process has not yet borne fruit. In </w:t>
      </w:r>
      <w:r w:rsidRPr="00BE407E">
        <w:rPr>
          <w:rFonts w:ascii="Times New Roman" w:eastAsia="Times New Roman" w:hAnsi="Times New Roman" w:cs="Times New Roman"/>
          <w:i/>
          <w:iCs/>
          <w:sz w:val="24"/>
          <w:szCs w:val="24"/>
        </w:rPr>
        <w:t>Cameroon v. Nigeria</w:t>
      </w:r>
      <w:r w:rsidRPr="00BE407E">
        <w:rPr>
          <w:rFonts w:ascii="Times New Roman" w:eastAsia="Times New Roman" w:hAnsi="Times New Roman" w:cs="Times New Roman"/>
          <w:sz w:val="24"/>
          <w:szCs w:val="24"/>
        </w:rPr>
        <w:t xml:space="preserve">, the Court found that Nigerian armed forces and police were present in large areas found to belong to Cameroon, but it denied further relief, concluding that “by the very fact of the present judgment and of the evacuation of the Cameroonian territory occupied by Nigeria, the injury suffered by Cameroon by reason of the occupation of its territory will in all events have been sufficiently addressed.” </w:t>
      </w:r>
      <w:r w:rsidRPr="00BE407E">
        <w:rPr>
          <w:rFonts w:ascii="Times New Roman" w:eastAsia="Times New Roman" w:hAnsi="Times New Roman" w:cs="Times New Roman"/>
          <w:i/>
          <w:iCs/>
          <w:sz w:val="24"/>
          <w:szCs w:val="24"/>
        </w:rPr>
        <w:t>Nicaragua v. United States</w:t>
      </w:r>
      <w:r w:rsidRPr="00BE407E">
        <w:rPr>
          <w:rFonts w:ascii="Times New Roman" w:eastAsia="Times New Roman" w:hAnsi="Times New Roman" w:cs="Times New Roman"/>
          <w:sz w:val="24"/>
          <w:szCs w:val="24"/>
        </w:rPr>
        <w:t xml:space="preserve"> affirmed the United States’ responsibility for unlawful uses of force, but the case was withdrawn by Nicaragua while the damages phase was underway.</w:t>
      </w:r>
      <w:r w:rsidRPr="00BE407E">
        <w:rPr>
          <w:rFonts w:ascii="Times New Roman" w:eastAsia="Times New Roman" w:hAnsi="Times New Roman" w:cs="Times New Roman"/>
          <w:sz w:val="24"/>
          <w:szCs w:val="24"/>
        </w:rPr>
        <w:br/>
        <w:t xml:space="preserve">286. Some other international courts, tribunals and commissions have wrestled with whether particular types of damage have the requisite causal connection to a delict. Their decisions offer some guidance, at two levels. First, some decisions suggest the outer boundaries of compensable damage. Since at least the </w:t>
      </w:r>
      <w:r w:rsidRPr="00BE407E">
        <w:rPr>
          <w:rFonts w:ascii="Times New Roman" w:eastAsia="Times New Roman" w:hAnsi="Times New Roman" w:cs="Times New Roman"/>
          <w:i/>
          <w:iCs/>
          <w:sz w:val="24"/>
          <w:szCs w:val="24"/>
        </w:rPr>
        <w:t>Alabama</w:t>
      </w:r>
      <w:r w:rsidRPr="00BE407E">
        <w:rPr>
          <w:rFonts w:ascii="Times New Roman" w:eastAsia="Times New Roman" w:hAnsi="Times New Roman" w:cs="Times New Roman"/>
          <w:sz w:val="24"/>
          <w:szCs w:val="24"/>
        </w:rPr>
        <w:t xml:space="preserve"> arbitration, panels have rejected claims for damages to generalized economic interests of the victorious State or its nationals, or to its expenses in waging war. The </w:t>
      </w:r>
      <w:r w:rsidRPr="00BE407E">
        <w:rPr>
          <w:rFonts w:ascii="Times New Roman" w:eastAsia="Times New Roman" w:hAnsi="Times New Roman" w:cs="Times New Roman"/>
          <w:i/>
          <w:iCs/>
          <w:sz w:val="24"/>
          <w:szCs w:val="24"/>
        </w:rPr>
        <w:t>Alabama</w:t>
      </w:r>
      <w:r w:rsidRPr="00BE407E">
        <w:rPr>
          <w:rFonts w:ascii="Times New Roman" w:eastAsia="Times New Roman" w:hAnsi="Times New Roman" w:cs="Times New Roman"/>
          <w:sz w:val="24"/>
          <w:szCs w:val="24"/>
        </w:rPr>
        <w:t xml:space="preserve"> Commissioners thus concluded that the claims of the United States for the transfer of American merchant vessels to British registry, increased insurance costs, and the prolongation of the war and associated costs “do not constitute, upon the principles of international law applicable to such cases, good foundation for an award of compensation.” The United States-German Mixed Claims Commission, cited with approval by both Parties, emphasized the need for a direct causal connection between a loss and the actions of the defendant State, and rejected claims for “all damage or loss in consequence of the war.” More recently, in creating the United Nations Compensation Commission [UNCC], the Security Council sought to limit the extent of compensable damage by confining jurisdiction to “direct” claims against Iraq.</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288. On a second level, past decisions offer informative precedents for some specific types of damage now claimed. Thus, in the case of post-conflict injuries from mines of unknown origin, the Commission found persuasive Umpire Parker’s analysis in a claim before the U.S.-German Mixed Claims Commission. The UNCC also addressed some questions and types of injury akin to those here; the Commission found persuasive the UNCC’s practice of including damage resulting from actions by the forces of both parties to a conflict. However, for several types of injuries claimed … Whiteman’s observation remains apt: “While there has been more or less agreement that certain types of damage are unreasonable, there has been no such agreement as to the reasonableness or unreasonableness of a wide variety of types of damage.”</w:t>
      </w:r>
      <w:r w:rsidRPr="00BE407E">
        <w:rPr>
          <w:rFonts w:ascii="Times New Roman" w:eastAsia="Times New Roman" w:hAnsi="Times New Roman" w:cs="Times New Roman"/>
          <w:sz w:val="24"/>
          <w:szCs w:val="24"/>
        </w:rPr>
        <w:br/>
        <w:t xml:space="preserve">289. </w:t>
      </w:r>
      <w:r w:rsidRPr="00BE407E">
        <w:rPr>
          <w:rFonts w:ascii="Times New Roman" w:eastAsia="Times New Roman" w:hAnsi="Times New Roman" w:cs="Times New Roman"/>
          <w:i/>
          <w:iCs/>
          <w:sz w:val="24"/>
          <w:szCs w:val="24"/>
        </w:rPr>
        <w:t>Factual Considerations, Proximate Cause and Foreseeability</w:t>
      </w:r>
      <w:r w:rsidRPr="00BE407E">
        <w:rPr>
          <w:rFonts w:ascii="Times New Roman" w:eastAsia="Times New Roman" w:hAnsi="Times New Roman" w:cs="Times New Roman"/>
          <w:sz w:val="24"/>
          <w:szCs w:val="24"/>
        </w:rPr>
        <w:t xml:space="preserve">. Past decisions and practice suggest elements of a legal framework for analyzing compensation claims for violation of the </w:t>
      </w:r>
      <w:r w:rsidRPr="00BE407E">
        <w:rPr>
          <w:rFonts w:ascii="Times New Roman" w:eastAsia="Times New Roman" w:hAnsi="Times New Roman" w:cs="Times New Roman"/>
          <w:i/>
          <w:iCs/>
          <w:sz w:val="24"/>
          <w:szCs w:val="24"/>
        </w:rPr>
        <w:t>jus ad bellum</w:t>
      </w:r>
      <w:r w:rsidRPr="00BE407E">
        <w:rPr>
          <w:rFonts w:ascii="Times New Roman" w:eastAsia="Times New Roman" w:hAnsi="Times New Roman" w:cs="Times New Roman"/>
          <w:sz w:val="24"/>
          <w:szCs w:val="24"/>
        </w:rPr>
        <w:t xml:space="preserve">, but they do not answer other basic questions. Like the U.S.-German Mixed Claims Commission before it, the Commission does not believe that a State’s international responsibility in a case such as this extends to all of the losses and disruptions accompanying an international conflict. A breach of the </w:t>
      </w:r>
      <w:r w:rsidRPr="00BE407E">
        <w:rPr>
          <w:rFonts w:ascii="Times New Roman" w:eastAsia="Times New Roman" w:hAnsi="Times New Roman" w:cs="Times New Roman"/>
          <w:i/>
          <w:iCs/>
          <w:sz w:val="24"/>
          <w:szCs w:val="24"/>
        </w:rPr>
        <w:t>jus ad bellum</w:t>
      </w:r>
      <w:r w:rsidRPr="00BE407E">
        <w:rPr>
          <w:rFonts w:ascii="Times New Roman" w:eastAsia="Times New Roman" w:hAnsi="Times New Roman" w:cs="Times New Roman"/>
          <w:sz w:val="24"/>
          <w:szCs w:val="24"/>
        </w:rPr>
        <w:t xml:space="preserve"> by a State does not create liability for all that comes after. Instead, there must be a sufficient causal connection. The Commission concluded in Decision Number 7 that this was best expressed through the concept of proximate cause. The nature and extent of the causal connection between Eritrea’s conduct in May 1998 and ensuing events involves assessments of facts regarding the character and course of the armed conflict. This task has been complicated and uncertain. As time passed, the conflict was driven or shaped by both Parties’ actions, by the actions of outside parties, and by the element of chance that pervades battlefields. Not surprisingly, the record rarely illuminated </w:t>
      </w:r>
      <w:r w:rsidRPr="00BE407E">
        <w:rPr>
          <w:rFonts w:ascii="Times New Roman" w:eastAsia="Times New Roman" w:hAnsi="Times New Roman" w:cs="Times New Roman"/>
          <w:sz w:val="24"/>
          <w:szCs w:val="24"/>
        </w:rPr>
        <w:lastRenderedPageBreak/>
        <w:t>either Party’s motivations and intentions.</w:t>
      </w:r>
      <w:r w:rsidRPr="00BE407E">
        <w:rPr>
          <w:rFonts w:ascii="Times New Roman" w:eastAsia="Times New Roman" w:hAnsi="Times New Roman" w:cs="Times New Roman"/>
          <w:sz w:val="24"/>
          <w:szCs w:val="24"/>
        </w:rPr>
        <w:br/>
        <w:t xml:space="preserve">290. In assessing causation, the Commission has tried,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to weigh whether particular consequences were, or should have been, foreseen … It agrees that the test of foreseeability should extend to a broader range of outcomes than might need to be considered in a less momentous situation. A substantial resort to force is a serious and hazardous matter. A party considering this course is bound to consider matters carefully, weighing the costs and possible bad outcomes, as well as the outcome it seeks. This is particularly so given the uncertainties of armed conflict. At the same time, if a party is deemed to foresee too wide a range of possible results of its action, reaching too far into the future, or too far from the battlefield, foreseeability loses meaning as a tool to assess proximate cause. If all results are foreseeable, the test is meaningless.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297. Assessments of proximate causation and foreseeability become more complex and less certain as to injuries occurring at greater remove in space and time from the initial fighting in Badme and on the Western Front. In making these assessments, the Commission has given significant weight to the seriousness of a decision by a State to resort to the large-scale use of force. Such a momentous decision places a heavy obligation on the acting State’s leaders to analyze and weigh carefully the potential consequences of their intended action. In this regard, a State choosing to resort to force in violation of the </w:t>
      </w:r>
      <w:r w:rsidRPr="00BE407E">
        <w:rPr>
          <w:rFonts w:ascii="Times New Roman" w:eastAsia="Times New Roman" w:hAnsi="Times New Roman" w:cs="Times New Roman"/>
          <w:i/>
          <w:iCs/>
          <w:sz w:val="24"/>
          <w:szCs w:val="24"/>
        </w:rPr>
        <w:t>jus ad bellum</w:t>
      </w:r>
      <w:r w:rsidRPr="00BE407E">
        <w:rPr>
          <w:rFonts w:ascii="Times New Roman" w:eastAsia="Times New Roman" w:hAnsi="Times New Roman" w:cs="Times New Roman"/>
          <w:sz w:val="24"/>
          <w:szCs w:val="24"/>
        </w:rPr>
        <w:t xml:space="preserve"> bears responsibility for the foreseeable results both that it desires, and those it does not.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308. Given the limited guidance available from past decisions, the Commission weighed several factors in assessing the amount of compensation that should follow from a breach of the </w:t>
      </w:r>
      <w:r w:rsidRPr="00BE407E">
        <w:rPr>
          <w:rFonts w:ascii="Times New Roman" w:eastAsia="Times New Roman" w:hAnsi="Times New Roman" w:cs="Times New Roman"/>
          <w:i/>
          <w:iCs/>
          <w:sz w:val="24"/>
          <w:szCs w:val="24"/>
        </w:rPr>
        <w:t>jus ad bellum</w:t>
      </w:r>
      <w:r w:rsidRPr="00BE407E">
        <w:rPr>
          <w:rFonts w:ascii="Times New Roman" w:eastAsia="Times New Roman" w:hAnsi="Times New Roman" w:cs="Times New Roman"/>
          <w:sz w:val="24"/>
          <w:szCs w:val="24"/>
        </w:rPr>
        <w:t xml:space="preserve">. A threshold question was whether any award of damages should be designed to serve the exceptional purpose of helping to deter future violations of Article 2, paragraph 4 of the [1945] Charter of the United Nations, or should, instead, serve the more conventional purpose of providing appropriate compensation within the framework of the law of State responsibility. As to this, the Commission understands the latter to be its responsibility, and it doubts that possible awards of monetary compensation would be likely to deter a State contemplating action in breach of the </w:t>
      </w:r>
      <w:r w:rsidRPr="00BE407E">
        <w:rPr>
          <w:rFonts w:ascii="Times New Roman" w:eastAsia="Times New Roman" w:hAnsi="Times New Roman" w:cs="Times New Roman"/>
          <w:i/>
          <w:iCs/>
          <w:sz w:val="24"/>
          <w:szCs w:val="24"/>
        </w:rPr>
        <w:t>jus ad bellum</w:t>
      </w:r>
      <w:r w:rsidRPr="00BE407E">
        <w:rPr>
          <w:rFonts w:ascii="Times New Roman" w:eastAsia="Times New Roman" w:hAnsi="Times New Roman" w:cs="Times New Roman"/>
          <w:sz w:val="24"/>
          <w:szCs w:val="24"/>
        </w:rPr>
        <w:t xml:space="preserve">. Under the Charter of the United Nations, the Security Council has primary responsibility for addressing (and deterring) violations of Article 2, paragraph 4 of the Charter,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by its authority to impose sanctions. Other deterrents are found in the rights of individual and collective self-defence and in the risk of criminal punishment of government officials responsible for deciding upon the unlawful resort to force. The prospect of potential monetary liabilities seems of little comparative weight.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312. In a similar vein, the Commission believes that the law of State responsibility must maintain a measure of proportion between the character of a delict and the compensation due.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315. The caution in setting levels of compensation reflected in … past experiences highlights another important concern. The process of moving from war to a stable and mutually beneficial peace often is difficult and uncertain, as the Parties’ current relations show. Informed by the unhappy consequences of reparations under the Treaty of Versailles, most States have been concerned to ensure that programs for compensation or reparation do not themselves undermine efforts to accomplish a stable peace. The Commission would be greatly concerned if its efforts to carry out the </w:t>
      </w:r>
      <w:r w:rsidRPr="00BE407E">
        <w:rPr>
          <w:rFonts w:ascii="Times New Roman" w:eastAsia="Times New Roman" w:hAnsi="Times New Roman" w:cs="Times New Roman"/>
          <w:sz w:val="24"/>
          <w:szCs w:val="24"/>
        </w:rPr>
        <w:lastRenderedPageBreak/>
        <w:t>mandate given it by the Parties led to a further deterioration of their relations, and impaired the prospects for a durable peace.</w:t>
      </w:r>
      <w:r>
        <w:rPr>
          <w:rFonts w:ascii="Times New Roman" w:eastAsia="Times New Roman" w:hAnsi="Times New Roman" w:cs="Times New Roman"/>
          <w:noProof/>
          <w:sz w:val="24"/>
          <w:szCs w:val="24"/>
        </w:rPr>
        <w:drawing>
          <wp:inline distT="0" distB="0" distL="0" distR="0">
            <wp:extent cx="151130" cy="142875"/>
            <wp:effectExtent l="19050" t="0" r="1270" b="0"/>
            <wp:docPr id="2899" name="Imagen 28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[footnotes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4" w:history="1">
        <w:r w:rsidRPr="00BE407E">
          <w:rPr>
            <w:rFonts w:ascii="Times New Roman" w:eastAsia="Times New Roman" w:hAnsi="Times New Roman" w:cs="Times New Roman"/>
            <w:color w:val="0000FF"/>
            <w:sz w:val="24"/>
            <w:szCs w:val="24"/>
            <w:u w:val="single"/>
          </w:rPr>
          <w:t>XI. International Red Cross and Red Crescent Movement</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ICRC</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1993, in a report submitted to the UN General Assembly on the protection of the environment in time of armed conflict, the ICRC stated:</w:t>
      </w:r>
      <w:r w:rsidRPr="00BE407E">
        <w:rPr>
          <w:rFonts w:ascii="Times New Roman" w:eastAsia="Times New Roman" w:hAnsi="Times New Roman" w:cs="Times New Roman"/>
          <w:sz w:val="24"/>
          <w:szCs w:val="24"/>
        </w:rPr>
        <w:br/>
        <w:t>Article 1, common to the four Geneva Conventions and to Protocol I, stipulates that the contracting States are under an obligation “to respect and ensure respect for” those instruments. Beyond that, and on a more general level, a State is responsible for every act or omission attributable to it and amounting to a breach of an international obligation incumbent on it, including in the field of the international protection of the environment. States affected by such a breach are entitled to insist on the implementation of such rules of State responsibility, including … reparation.</w:t>
      </w:r>
      <w:r>
        <w:rPr>
          <w:rFonts w:ascii="Times New Roman" w:eastAsia="Times New Roman" w:hAnsi="Times New Roman" w:cs="Times New Roman"/>
          <w:noProof/>
          <w:sz w:val="24"/>
          <w:szCs w:val="24"/>
        </w:rPr>
        <w:drawing>
          <wp:inline distT="0" distB="0" distL="0" distR="0">
            <wp:extent cx="151130" cy="142875"/>
            <wp:effectExtent l="19050" t="0" r="1270" b="0"/>
            <wp:docPr id="2900" name="Imagen 29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1993, in its report on the protection of war victims, the ICRC, referring to Article 91 of the 1977 Additional Protocol I, stated: “This article confirms a rule which is today accepted as being part of customary law and was already stated, in almost identical terms, in Article 3 of the Hague Convention No. IV of 1907.” Referring to Article 51 of the 1949 Geneva Convention I, Article 52 of the 1949 Geneva Convention II, Article 131 of the 1949 Geneva Convention IV and Article 148 of the 1949 Geneva Convention IV, the ICRC further stated: </w:t>
      </w:r>
      <w:r w:rsidRPr="00BE407E">
        <w:rPr>
          <w:rFonts w:ascii="Times New Roman" w:eastAsia="Times New Roman" w:hAnsi="Times New Roman" w:cs="Times New Roman"/>
          <w:sz w:val="24"/>
          <w:szCs w:val="24"/>
        </w:rPr>
        <w:br/>
        <w:t xml:space="preserve">This provision … also implies that, irrespective of the outcome of an armed conflict, no decision or agreement can dispense a State from the responsibility to make reparation for damages caused to the victims of breaches of international humanitarian law. </w:t>
      </w:r>
      <w:r w:rsidRPr="00BE407E">
        <w:rPr>
          <w:rFonts w:ascii="Times New Roman" w:eastAsia="Times New Roman" w:hAnsi="Times New Roman" w:cs="Times New Roman"/>
          <w:sz w:val="24"/>
          <w:szCs w:val="24"/>
        </w:rPr>
        <w:br/>
        <w:t>The International Conference for the Protection of War Victims should make it clear that it wishes procedures to be set up to provide reparation for damage inflicted on the victims of violations of international humanitarian law … so as to enable them to receive the benefits to which they are entitled.</w:t>
      </w:r>
      <w:r>
        <w:rPr>
          <w:rFonts w:ascii="Times New Roman" w:eastAsia="Times New Roman" w:hAnsi="Times New Roman" w:cs="Times New Roman"/>
          <w:noProof/>
          <w:sz w:val="24"/>
          <w:szCs w:val="24"/>
        </w:rPr>
        <w:drawing>
          <wp:inline distT="0" distB="0" distL="0" distR="0">
            <wp:extent cx="151130" cy="142875"/>
            <wp:effectExtent l="19050" t="0" r="1270" b="0"/>
            <wp:docPr id="2901" name="Imagen 29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5" w:history="1">
        <w:r w:rsidRPr="00BE407E">
          <w:rPr>
            <w:rFonts w:ascii="Times New Roman" w:eastAsia="Times New Roman" w:hAnsi="Times New Roman" w:cs="Times New Roman"/>
            <w:color w:val="0000FF"/>
            <w:sz w:val="24"/>
            <w:szCs w:val="24"/>
            <w:u w:val="single"/>
          </w:rPr>
          <w:t>XII. Other</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American Law Institute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Restatement (Third) of the Foreign Relations Law of the United States, adopted and promulgated by the American Law Institute in 1986, provides: </w:t>
      </w:r>
      <w:r w:rsidRPr="00BE407E">
        <w:rPr>
          <w:rFonts w:ascii="Times New Roman" w:eastAsia="Times New Roman" w:hAnsi="Times New Roman" w:cs="Times New Roman"/>
          <w:sz w:val="24"/>
          <w:szCs w:val="24"/>
        </w:rPr>
        <w:br/>
        <w:t>Under international law, a state that has violated a legal obligation to another state is required to terminate the violation and, ordinarily, to make reparation, including in appropriate circumstances restitution or compensation for loss or injury.</w:t>
      </w:r>
      <w:r>
        <w:rPr>
          <w:rFonts w:ascii="Times New Roman" w:eastAsia="Times New Roman" w:hAnsi="Times New Roman" w:cs="Times New Roman"/>
          <w:noProof/>
          <w:sz w:val="24"/>
          <w:szCs w:val="24"/>
        </w:rPr>
        <w:drawing>
          <wp:inline distT="0" distB="0" distL="0" distR="0">
            <wp:extent cx="151130" cy="142875"/>
            <wp:effectExtent l="19050" t="0" r="1270" b="0"/>
            <wp:docPr id="2902" name="Imagen 29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 private person, whether natural or juridical, injured by a violation of an international obligation by a state, may bring a claim against that state or assert that violation as a defense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in a competent international forum when the state has consented to the jurisdiction of that forum with respect to such private claims;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in a court or other tribunal of that state pursuant to its law;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in a court or other tribunal of the injured person’s state of nationality or of a third state, pursuant to the law of such state, subject to limitations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2903" name="Imagen 29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Women’s International War Crimes Tribunal for the Trial of Japanese Military Sexual Slavery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Women’s International War Crimes Tribunal for the Trial of Japanese Military Sexual Slavery recommended that the United Nations and all the states and people thereof “take all steps necessary to ensure that the government of Japan provides full </w:t>
      </w:r>
      <w:r w:rsidRPr="00BE407E">
        <w:rPr>
          <w:rFonts w:ascii="Times New Roman" w:eastAsia="Times New Roman" w:hAnsi="Times New Roman" w:cs="Times New Roman"/>
          <w:sz w:val="24"/>
          <w:szCs w:val="24"/>
        </w:rPr>
        <w:lastRenderedPageBreak/>
        <w:t>reparations to the victims and survivors and those entitled to recover on account of the violations committed against them”.</w:t>
      </w:r>
      <w:r>
        <w:rPr>
          <w:rFonts w:ascii="Times New Roman" w:eastAsia="Times New Roman" w:hAnsi="Times New Roman" w:cs="Times New Roman"/>
          <w:noProof/>
          <w:sz w:val="24"/>
          <w:szCs w:val="24"/>
        </w:rPr>
        <w:drawing>
          <wp:inline distT="0" distB="0" distL="0" distR="0">
            <wp:extent cx="151130" cy="142875"/>
            <wp:effectExtent l="19050" t="0" r="1270" b="0"/>
            <wp:docPr id="2904" name="Imagen 29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hyperlink r:id="rId96" w:history="1">
        <w:r w:rsidRPr="00BE407E">
          <w:rPr>
            <w:rFonts w:ascii="Times New Roman" w:eastAsia="Times New Roman" w:hAnsi="Times New Roman" w:cs="Times New Roman"/>
            <w:color w:val="0000FF"/>
            <w:sz w:val="24"/>
            <w:szCs w:val="24"/>
            <w:u w:val="single"/>
          </w:rPr>
          <w:t>Section B. Compensation</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Quick navigation</w:t>
      </w:r>
    </w:p>
    <w:p w:rsidR="00BE407E" w:rsidRPr="00BE407E" w:rsidRDefault="00BE407E" w:rsidP="00BE407E">
      <w:pPr>
        <w:spacing w:after="0" w:line="240" w:lineRule="auto"/>
        <w:rPr>
          <w:rFonts w:ascii="Times New Roman" w:eastAsia="Times New Roman" w:hAnsi="Times New Roman" w:cs="Times New Roman"/>
          <w:sz w:val="24"/>
          <w:szCs w:val="24"/>
        </w:rPr>
      </w:pPr>
      <w:hyperlink r:id="rId97" w:history="1">
        <w:r w:rsidRPr="00BE407E">
          <w:rPr>
            <w:rFonts w:ascii="Times New Roman" w:eastAsia="Times New Roman" w:hAnsi="Times New Roman" w:cs="Times New Roman"/>
            <w:color w:val="0000FF"/>
            <w:sz w:val="24"/>
            <w:szCs w:val="24"/>
            <w:u w:val="single"/>
          </w:rPr>
          <w:t>I. Treaties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Hague Regulations (1899)</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Article 41 of the 1899 Hague Regulations provides: </w:t>
      </w:r>
      <w:r w:rsidRPr="00BE407E">
        <w:rPr>
          <w:rFonts w:ascii="Times New Roman" w:eastAsia="Times New Roman" w:hAnsi="Times New Roman" w:cs="Times New Roman"/>
          <w:sz w:val="24"/>
          <w:szCs w:val="24"/>
        </w:rPr>
        <w:br/>
        <w:t>A violation of the terms of the armistice by private individuals acting on their own initiative, only confers the right of demanding the punishment of the offenders, and, if necessary, indemnity for the losses sustained.</w:t>
      </w:r>
      <w:r>
        <w:rPr>
          <w:rFonts w:ascii="Times New Roman" w:eastAsia="Times New Roman" w:hAnsi="Times New Roman" w:cs="Times New Roman"/>
          <w:noProof/>
          <w:sz w:val="24"/>
          <w:szCs w:val="24"/>
        </w:rPr>
        <w:drawing>
          <wp:inline distT="0" distB="0" distL="0" distR="0">
            <wp:extent cx="151130" cy="142875"/>
            <wp:effectExtent l="19050" t="0" r="1270" b="0"/>
            <wp:docPr id="2905" name="Imagen 29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Hague Regulations (1907)</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3 of the 1907 Hague Convention (IV) provides: “A belligerent Party which violates the provisions of the [1907 Hague Regulations] shall, if the case demands,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06" name="Imagen 29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Article 41 of the 1907 Hague Regulations provides: </w:t>
      </w:r>
      <w:r w:rsidRPr="00BE407E">
        <w:rPr>
          <w:rFonts w:ascii="Times New Roman" w:eastAsia="Times New Roman" w:hAnsi="Times New Roman" w:cs="Times New Roman"/>
          <w:sz w:val="24"/>
          <w:szCs w:val="24"/>
        </w:rPr>
        <w:br/>
        <w:t>A violation of the terms of the armistice by private persons acting on their own initiative only entitles the injured party to demand the punishment of the offenders or, if necessary, compensation for the losses sustained.</w:t>
      </w:r>
      <w:r>
        <w:rPr>
          <w:rFonts w:ascii="Times New Roman" w:eastAsia="Times New Roman" w:hAnsi="Times New Roman" w:cs="Times New Roman"/>
          <w:noProof/>
          <w:sz w:val="24"/>
          <w:szCs w:val="24"/>
        </w:rPr>
        <w:drawing>
          <wp:inline distT="0" distB="0" distL="0" distR="0">
            <wp:extent cx="151130" cy="142875"/>
            <wp:effectExtent l="19050" t="0" r="1270" b="0"/>
            <wp:docPr id="2907" name="Imagen 29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European Convention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5(5) of the 1950 European Convention on Human Rights provides: “Everyone who has been the victim of arrest or detention in contravention of the provisions of this article shall have an enforceable right to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08" name="Imagen 29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Peace Treaty for Japan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14(a) of the 1951 Peace Treaty for Japan provides:</w:t>
      </w:r>
      <w:r w:rsidRPr="00BE407E">
        <w:rPr>
          <w:rFonts w:ascii="Times New Roman" w:eastAsia="Times New Roman" w:hAnsi="Times New Roman" w:cs="Times New Roman"/>
          <w:sz w:val="24"/>
          <w:szCs w:val="24"/>
        </w:rPr>
        <w:br/>
        <w:t>It is recognized that Japan should pay reparations to the Allied Powers for the damage and suffering caused by it during the war. Nevertheless it is also recognized that the resources of Japan are not presently sufficient, if it is to maintain a viable economy, to make complete reparation for all such damage and suffering and at the same time meet its other obligations …</w:t>
      </w:r>
      <w:r w:rsidRPr="00BE407E">
        <w:rPr>
          <w:rFonts w:ascii="Times New Roman" w:eastAsia="Times New Roman" w:hAnsi="Times New Roman" w:cs="Times New Roman"/>
          <w:sz w:val="24"/>
          <w:szCs w:val="24"/>
        </w:rPr>
        <w:br/>
        <w:t>Except as otherwise provided in the present Treaty, the Allied Powers waive all reparations claims of the Allied Powers, other claims of the Allied Powers and their nationals arising out of any actions taken by Japan and its nationals in the course of the prosecution of the war, and claims of the Allied Powers for direct military costs of occupation.</w:t>
      </w:r>
      <w:r>
        <w:rPr>
          <w:rFonts w:ascii="Times New Roman" w:eastAsia="Times New Roman" w:hAnsi="Times New Roman" w:cs="Times New Roman"/>
          <w:noProof/>
          <w:sz w:val="24"/>
          <w:szCs w:val="24"/>
        </w:rPr>
        <w:drawing>
          <wp:inline distT="0" distB="0" distL="0" distR="0">
            <wp:extent cx="151130" cy="142875"/>
            <wp:effectExtent l="19050" t="0" r="1270" b="0"/>
            <wp:docPr id="2909" name="Imagen 29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Under Article 16 of the 1951 Peace Treaty for Japan, Japan undertook,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to compensate former prisoners of war, in the following terms:</w:t>
      </w:r>
      <w:r w:rsidRPr="00BE407E">
        <w:rPr>
          <w:rFonts w:ascii="Times New Roman" w:eastAsia="Times New Roman" w:hAnsi="Times New Roman" w:cs="Times New Roman"/>
          <w:sz w:val="24"/>
          <w:szCs w:val="24"/>
        </w:rPr>
        <w:br/>
        <w:t>As an expression of its desire to indemnify those members of the armed forces of the Allied Powers who suffered undue hardships while prisoners of war of Japan, Japan will transfer its assets and those of its nationals in countries which were neutral during the war, or which were at war with any of the Allied Powers or, at its option, the equivalent of such assets, to the International Committee of the Red Cross which shall liquidate such assets and distribute the resultant fund to appropriate national agencies for the benefit of former prisoners of war and their families on such basis as it may determine to be equitable.</w:t>
      </w:r>
      <w:r>
        <w:rPr>
          <w:rFonts w:ascii="Times New Roman" w:eastAsia="Times New Roman" w:hAnsi="Times New Roman" w:cs="Times New Roman"/>
          <w:noProof/>
          <w:sz w:val="24"/>
          <w:szCs w:val="24"/>
        </w:rPr>
        <w:drawing>
          <wp:inline distT="0" distB="0" distL="0" distR="0">
            <wp:extent cx="151130" cy="142875"/>
            <wp:effectExtent l="19050" t="0" r="1270" b="0"/>
            <wp:docPr id="2910" name="Imagen 29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1951 Yoshida-Stikker Protocol, concluded between the Netherlands and Japan with respect to Japan’s occupation of the Dutch East Indies and the 1951 Peace Treaty for Japan, states:</w:t>
      </w:r>
      <w:r w:rsidRPr="00BE407E">
        <w:rPr>
          <w:rFonts w:ascii="Times New Roman" w:eastAsia="Times New Roman" w:hAnsi="Times New Roman" w:cs="Times New Roman"/>
          <w:sz w:val="24"/>
          <w:szCs w:val="24"/>
        </w:rPr>
        <w:br/>
        <w:t xml:space="preserve">The Government of Japan does not consider that the Government of the Netherlands by signing the [1951 Peace Treaty for Japan] has itself expropriated the private claims of </w:t>
      </w:r>
      <w:r w:rsidRPr="00BE407E">
        <w:rPr>
          <w:rFonts w:ascii="Times New Roman" w:eastAsia="Times New Roman" w:hAnsi="Times New Roman" w:cs="Times New Roman"/>
          <w:sz w:val="24"/>
          <w:szCs w:val="24"/>
        </w:rPr>
        <w:lastRenderedPageBreak/>
        <w:t>its nationals so that, as a consequence thereof, after the Treaty comes into force these claims would be non-existent.</w:t>
      </w:r>
      <w:r>
        <w:rPr>
          <w:rFonts w:ascii="Times New Roman" w:eastAsia="Times New Roman" w:hAnsi="Times New Roman" w:cs="Times New Roman"/>
          <w:noProof/>
          <w:sz w:val="24"/>
          <w:szCs w:val="24"/>
        </w:rPr>
        <w:drawing>
          <wp:inline distT="0" distB="0" distL="0" distR="0">
            <wp:extent cx="151130" cy="142875"/>
            <wp:effectExtent l="19050" t="0" r="1270" b="0"/>
            <wp:docPr id="2911" name="Imagen 29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Convention on the Settlement of Matters Arising out of the War and the Occupation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1(1) of Chapter Four (“Compensation for Victims of Nazi Persecution”) of the 1952 Convention on the Settlement of Matters Arising out of the War and the Occupation provides:</w:t>
      </w:r>
      <w:r w:rsidRPr="00BE407E">
        <w:rPr>
          <w:rFonts w:ascii="Times New Roman" w:eastAsia="Times New Roman" w:hAnsi="Times New Roman" w:cs="Times New Roman"/>
          <w:sz w:val="24"/>
          <w:szCs w:val="24"/>
        </w:rPr>
        <w:br/>
        <w:t>The Federal Republic [of Germany] acknowledges the obligation to assure … adequate compensation to persons persecuted for their political convictions, race, faith or ideology, who thereby have suffered damage to life, limb, health, liberty, property, their possessions or economic prospects (excluding identifiable property subject to restitution). Furthermore, persons persecuted by reason of nationality, in disregard of human rights, who are now political refugees and no longer enjoy the protection of their former home country shall receive adequate compensation where permanent injury has been inflicted on their health.</w:t>
      </w:r>
      <w:r>
        <w:rPr>
          <w:rFonts w:ascii="Times New Roman" w:eastAsia="Times New Roman" w:hAnsi="Times New Roman" w:cs="Times New Roman"/>
          <w:noProof/>
          <w:sz w:val="24"/>
          <w:szCs w:val="24"/>
        </w:rPr>
        <w:drawing>
          <wp:inline distT="0" distB="0" distL="0" distR="0">
            <wp:extent cx="151130" cy="142875"/>
            <wp:effectExtent l="19050" t="0" r="1270" b="0"/>
            <wp:docPr id="2912" name="Imagen 29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4(1) of Chapter Five (“External Restitution”) of the 1952 Convention on the Settlement of Matters Arising out of the War and the Occupation provides:</w:t>
      </w:r>
      <w:r w:rsidRPr="00BE407E">
        <w:rPr>
          <w:rFonts w:ascii="Times New Roman" w:eastAsia="Times New Roman" w:hAnsi="Times New Roman" w:cs="Times New Roman"/>
          <w:sz w:val="24"/>
          <w:szCs w:val="24"/>
        </w:rPr>
        <w:br/>
        <w:t>If property to be restituted has, after identification in Germany, either been utilised or consumed in Germany before return to the claimant or been destroyed, stolen or otherwise disposed before receipt by the claimant Government or by an appropriate agency of one of the Three Powers for despatch to the claimant, the Federal Republic [of Germany] shall compensate claimants who would otherwise be entitled to restitution … or who, at the entry into force of the present Convention, have had their claims for restitution approved by one of the Three Powers.</w:t>
      </w:r>
      <w:r>
        <w:rPr>
          <w:rFonts w:ascii="Times New Roman" w:eastAsia="Times New Roman" w:hAnsi="Times New Roman" w:cs="Times New Roman"/>
          <w:noProof/>
          <w:sz w:val="24"/>
          <w:szCs w:val="24"/>
        </w:rPr>
        <w:drawing>
          <wp:inline distT="0" distB="0" distL="0" distR="0">
            <wp:extent cx="151130" cy="142875"/>
            <wp:effectExtent l="19050" t="0" r="1270" b="0"/>
            <wp:docPr id="2913" name="Imagen 29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5 of Chapter Six (“Reparation”) of the 1952 Convention on the Settlement of Matters Arising out of the War and the Occupation provides:</w:t>
      </w:r>
      <w:r w:rsidRPr="00BE407E">
        <w:rPr>
          <w:rFonts w:ascii="Times New Roman" w:eastAsia="Times New Roman" w:hAnsi="Times New Roman" w:cs="Times New Roman"/>
          <w:sz w:val="24"/>
          <w:szCs w:val="24"/>
        </w:rPr>
        <w:br/>
        <w:t>The Federal Republic [of Germany] shall ensure that the former owners of property seized pursuant to measures referred to in Articles 2 and 3 of this Chapter [i.e. of the Three Powers with regard to German external assets or other property for the purpose of reparation] shall be compensated.</w:t>
      </w:r>
      <w:r>
        <w:rPr>
          <w:rFonts w:ascii="Times New Roman" w:eastAsia="Times New Roman" w:hAnsi="Times New Roman" w:cs="Times New Roman"/>
          <w:noProof/>
          <w:sz w:val="24"/>
          <w:szCs w:val="24"/>
        </w:rPr>
        <w:drawing>
          <wp:inline distT="0" distB="0" distL="0" distR="0">
            <wp:extent cx="151130" cy="142875"/>
            <wp:effectExtent l="19050" t="0" r="1270" b="0"/>
            <wp:docPr id="2914" name="Imagen 29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Luxembourg Agreement between Germany and Israel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1952 Luxembourg Agreement between Germany and Israel provides:</w:t>
      </w:r>
      <w:r w:rsidRPr="00BE407E">
        <w:rPr>
          <w:rFonts w:ascii="Times New Roman" w:eastAsia="Times New Roman" w:hAnsi="Times New Roman" w:cs="Times New Roman"/>
          <w:sz w:val="24"/>
          <w:szCs w:val="24"/>
        </w:rPr>
        <w:br/>
        <w:t>Whereas unspeakable criminal acts were perpetrated against the Jewish people during the National-Socialist regime of terror,</w:t>
      </w:r>
      <w:r w:rsidRPr="00BE407E">
        <w:rPr>
          <w:rFonts w:ascii="Times New Roman" w:eastAsia="Times New Roman" w:hAnsi="Times New Roman" w:cs="Times New Roman"/>
          <w:sz w:val="24"/>
          <w:szCs w:val="24"/>
        </w:rPr>
        <w:br/>
        <w:t>And whereas by a declaration in the Bundestag on 27th September, 1951, the Government of the Federal Republic of Germany made known their determination, within the limits of their capacity, to make good the material damage caused by these acts,</w:t>
      </w:r>
      <w:r w:rsidRPr="00BE407E">
        <w:rPr>
          <w:rFonts w:ascii="Times New Roman" w:eastAsia="Times New Roman" w:hAnsi="Times New Roman" w:cs="Times New Roman"/>
          <w:sz w:val="24"/>
          <w:szCs w:val="24"/>
        </w:rPr>
        <w:br/>
        <w:t>And whereas the State of Israel has assumed the heavy burden of resettling so great a number of uprooted and destitute Jewish refugees from Germany and from territories formerly under German rule and has on this basis advanced a claim against the Federal Republic of Germany for global recompense for the cost of the integration of these refugees</w:t>
      </w:r>
      <w:r w:rsidRPr="00BE407E">
        <w:rPr>
          <w:rFonts w:ascii="Times New Roman" w:eastAsia="Times New Roman" w:hAnsi="Times New Roman" w:cs="Times New Roman"/>
          <w:sz w:val="24"/>
          <w:szCs w:val="24"/>
        </w:rPr>
        <w:br/>
        <w:t>Now therefore the State of Israel and the Federal Republic of Germany have agreed as follows: –</w:t>
      </w:r>
      <w:r w:rsidRPr="00BE407E">
        <w:rPr>
          <w:rFonts w:ascii="Times New Roman" w:eastAsia="Times New Roman" w:hAnsi="Times New Roman" w:cs="Times New Roman"/>
          <w:sz w:val="24"/>
          <w:szCs w:val="24"/>
        </w:rPr>
        <w:br/>
        <w:t>Article 1</w:t>
      </w:r>
      <w:r w:rsidRPr="00BE407E">
        <w:rPr>
          <w:rFonts w:ascii="Times New Roman" w:eastAsia="Times New Roman" w:hAnsi="Times New Roman" w:cs="Times New Roman"/>
          <w:sz w:val="24"/>
          <w:szCs w:val="24"/>
        </w:rPr>
        <w:br/>
        <w:t>(a) The Federal Republic of Germany shall, in view of the considerations hereinbefore recited, pay to the State of Israel the sum of 3,000 million Deutsche Mark.</w:t>
      </w:r>
      <w:r w:rsidRPr="00BE407E">
        <w:rPr>
          <w:rFonts w:ascii="Times New Roman" w:eastAsia="Times New Roman" w:hAnsi="Times New Roman" w:cs="Times New Roman"/>
          <w:sz w:val="24"/>
          <w:szCs w:val="24"/>
        </w:rPr>
        <w:br/>
        <w:t xml:space="preserve">(b) In addition, the Federal Republic of Germany shall, in compliance with the obligation undertaken in Article 1 of the [1952 Luxembourg Agreement between Germany and the Conference on Jewish Material Claims against Germany], pay to </w:t>
      </w:r>
      <w:r w:rsidRPr="00BE407E">
        <w:rPr>
          <w:rFonts w:ascii="Times New Roman" w:eastAsia="Times New Roman" w:hAnsi="Times New Roman" w:cs="Times New Roman"/>
          <w:sz w:val="24"/>
          <w:szCs w:val="24"/>
        </w:rPr>
        <w:lastRenderedPageBreak/>
        <w:t>Israel for the benefit of the said [Conference on Jewish Material Claims against Germany] the sum of 450 million Deutsche Mark …</w:t>
      </w:r>
      <w:r w:rsidRPr="00BE407E">
        <w:rPr>
          <w:rFonts w:ascii="Times New Roman" w:eastAsia="Times New Roman" w:hAnsi="Times New Roman" w:cs="Times New Roman"/>
          <w:sz w:val="24"/>
          <w:szCs w:val="24"/>
        </w:rPr>
        <w:br/>
        <w:t>(c) The provisions hereinafter contained in the present Agreement shall apply to the total sum of 3,450 million Deutsche Mark so arising …</w:t>
      </w:r>
      <w:r w:rsidRPr="00BE407E">
        <w:rPr>
          <w:rFonts w:ascii="Times New Roman" w:eastAsia="Times New Roman" w:hAnsi="Times New Roman" w:cs="Times New Roman"/>
          <w:sz w:val="24"/>
          <w:szCs w:val="24"/>
        </w:rPr>
        <w:br/>
        <w:t>Article 2</w:t>
      </w:r>
      <w:r w:rsidRPr="00BE407E">
        <w:rPr>
          <w:rFonts w:ascii="Times New Roman" w:eastAsia="Times New Roman" w:hAnsi="Times New Roman" w:cs="Times New Roman"/>
          <w:sz w:val="24"/>
          <w:szCs w:val="24"/>
        </w:rPr>
        <w:br/>
        <w:t>The Federal Republic of Germany will make available the amount referred to in Article 1, paragraph (c) of the present Agreement for the purchase … of such commodities and services as shall serve the purpose of expanding opportunities for the settlement and rehabilitation of Jewish refugees in Israel.</w:t>
      </w:r>
      <w:r>
        <w:rPr>
          <w:rFonts w:ascii="Times New Roman" w:eastAsia="Times New Roman" w:hAnsi="Times New Roman" w:cs="Times New Roman"/>
          <w:noProof/>
          <w:sz w:val="24"/>
          <w:szCs w:val="24"/>
        </w:rPr>
        <w:drawing>
          <wp:inline distT="0" distB="0" distL="0" distR="0">
            <wp:extent cx="151130" cy="142875"/>
            <wp:effectExtent l="19050" t="0" r="1270" b="0"/>
            <wp:docPr id="2915" name="Imagen 29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By Letter No. 1a of the 1952 Luxembourg Agreement between Germany and Israel, which, according to Article 16(a)(ii) constitutes an integral part of the Agreement, the Israeli Minister for Foreign Affairs conveyed the following to the representatives of Germany:</w:t>
      </w:r>
      <w:r w:rsidRPr="00BE407E">
        <w:rPr>
          <w:rFonts w:ascii="Times New Roman" w:eastAsia="Times New Roman" w:hAnsi="Times New Roman" w:cs="Times New Roman"/>
          <w:sz w:val="24"/>
          <w:szCs w:val="24"/>
        </w:rPr>
        <w:br/>
        <w:t>1. Considering that the Federal Republic of Germany has in the Agreement signed today undertaken the obligation to pay recompense for the expenditure already incurred or to be incurred by the State of Israel in the resettlement of Jewish refugees, the claim of the State of Israel for such recompense shall, in so far as it has been put forward against the Federal Republic of Germany, be regarded by the Government of Israel as having been settled with the coming into force of the said Agreement. The State of Israel will advance no further claims against the Federal Republic of Germany arising out of or in connection with losses which have resulted from National-Socialist persecution.</w:t>
      </w:r>
      <w:r w:rsidRPr="00BE407E">
        <w:rPr>
          <w:rFonts w:ascii="Times New Roman" w:eastAsia="Times New Roman" w:hAnsi="Times New Roman" w:cs="Times New Roman"/>
          <w:sz w:val="24"/>
          <w:szCs w:val="24"/>
        </w:rPr>
        <w:br/>
        <w:t>2. The Government of Israel are here proceeding on the assumption that claims of Israel nationals under legislation in force in the Federal Republic of Germany on internal restitution, compensation, or other redress for National-Socialist wrongs, and the automatic accrual of rights to Israel nationals from any future legislation of this nature, will not be prejudiced by reason of the conclusion of the Agreement.</w:t>
      </w:r>
      <w:r>
        <w:rPr>
          <w:rFonts w:ascii="Times New Roman" w:eastAsia="Times New Roman" w:hAnsi="Times New Roman" w:cs="Times New Roman"/>
          <w:noProof/>
          <w:sz w:val="24"/>
          <w:szCs w:val="24"/>
        </w:rPr>
        <w:drawing>
          <wp:inline distT="0" distB="0" distL="0" distR="0">
            <wp:extent cx="151130" cy="142875"/>
            <wp:effectExtent l="19050" t="0" r="1270" b="0"/>
            <wp:docPr id="2916" name="Imagen 29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Austrian State Treaty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26 of the 1955 Austrian State Treaty, which in its preamble considers that “on 13 March 1938, Hitlerite Germany annexed Austria by force and incorporated its territory in the German Reich”, provides:</w:t>
      </w:r>
      <w:r w:rsidRPr="00BE407E">
        <w:rPr>
          <w:rFonts w:ascii="Times New Roman" w:eastAsia="Times New Roman" w:hAnsi="Times New Roman" w:cs="Times New Roman"/>
          <w:sz w:val="24"/>
          <w:szCs w:val="24"/>
        </w:rPr>
        <w:br/>
        <w:t>1. In so far as such action has not already been taken, Austria undertakes that, in all cases where property, legal rights or interests in Austria have since 13 March 1938, been subject of forced transfer or measures of sequestration, confiscation or control on account of the racial origin or religion of the owner, the said property shall be returned and the said legal rights and interests shall be restored together with their accessories. Where return or restoration is impossible, compensation shall be granted for losses incurred by reason of such measures to the same extent as is, or may be, given to Austrian nationals generally in respect of war damage.</w:t>
      </w:r>
      <w:r w:rsidRPr="00BE407E">
        <w:rPr>
          <w:rFonts w:ascii="Times New Roman" w:eastAsia="Times New Roman" w:hAnsi="Times New Roman" w:cs="Times New Roman"/>
          <w:sz w:val="24"/>
          <w:szCs w:val="24"/>
        </w:rPr>
        <w:br/>
        <w:t>2. Austria agrees to take under its control all property, legal rights and interests in Austria of persons, organizations or communities which, individually or as members of groups, were the object of racial, religious or other Nazi measures of persecution where, in the case of persons, such property, rights and interests remain heirless or unclaimed for six months after the coming into force of the present Treaty, or where in the case of organizations and communities such organizations or communities have ceased to exist. Austria shall transfer such property, rights and interests to appropriate agencies or organizations to be designated by the Four Heads of Mission in Vienna by agreement with the Austrian Government to be used for the relief and rehabilitation of victims of persecution by the Axis Powers, it being understood that these provisions do not require Austria to make payments in foreign exchange or other transfers to foreign countries which would constitute a burden on the Austrian economy.</w:t>
      </w:r>
      <w:r>
        <w:rPr>
          <w:rFonts w:ascii="Times New Roman" w:eastAsia="Times New Roman" w:hAnsi="Times New Roman" w:cs="Times New Roman"/>
          <w:noProof/>
          <w:sz w:val="24"/>
          <w:szCs w:val="24"/>
        </w:rPr>
        <w:drawing>
          <wp:inline distT="0" distB="0" distL="0" distR="0">
            <wp:extent cx="151130" cy="142875"/>
            <wp:effectExtent l="19050" t="0" r="1270" b="0"/>
            <wp:docPr id="2917" name="Imagen 29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 xml:space="preserve">Yoshida-Stikker Protocol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1956 Yoshida-Stikker Protocol between Japan and the Netherlands states:</w:t>
      </w:r>
      <w:r w:rsidRPr="00BE407E">
        <w:rPr>
          <w:rFonts w:ascii="Times New Roman" w:eastAsia="Times New Roman" w:hAnsi="Times New Roman" w:cs="Times New Roman"/>
          <w:sz w:val="24"/>
          <w:szCs w:val="24"/>
        </w:rPr>
        <w:br/>
        <w:t>Desiring to settle the problem concerning certain types of private claims of Netherlands nationals which the government of Japan might wish voluntarily to deal with, as referred to in the letters of 7th and 8th of September, 1951, exchanged between Minister of Foreign Affairs of the Kingdom of The Netherlands, Dirk U. Stikker, and Prime Minister of Japan, Shigeru Yoshida, Have agreed as follows:</w:t>
      </w:r>
      <w:r w:rsidRPr="00BE407E">
        <w:rPr>
          <w:rFonts w:ascii="Times New Roman" w:eastAsia="Times New Roman" w:hAnsi="Times New Roman" w:cs="Times New Roman"/>
          <w:sz w:val="24"/>
          <w:szCs w:val="24"/>
        </w:rPr>
        <w:br/>
        <w:t>Article I. For the purpose of expressing sympathy and regret for the suffering inflicted during the Second World War by agencies of the Government of Japan upon Netherlands nationals, the Government of Japan shall voluntarily tender as a solatium the amount of Pounds Sterling equivalent to U.S. $ 10,000,000 to the Government of the Kingdom of The Netherlands on behalf of those Netherlands nationals.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Article III. The Government of the Kingdom of The Netherlands confirms that neither itself nor any Netherlands nationals will raise against the Government of Japan any claim concerning the sufferings inflicted during the Second World War by agencies of the Government of Japan upon Netherlands nationals.</w:t>
      </w:r>
      <w:r>
        <w:rPr>
          <w:rFonts w:ascii="Times New Roman" w:eastAsia="Times New Roman" w:hAnsi="Times New Roman" w:cs="Times New Roman"/>
          <w:noProof/>
          <w:sz w:val="24"/>
          <w:szCs w:val="24"/>
        </w:rPr>
        <w:drawing>
          <wp:inline distT="0" distB="0" distL="0" distR="0">
            <wp:extent cx="151130" cy="142875"/>
            <wp:effectExtent l="19050" t="0" r="1270" b="0"/>
            <wp:docPr id="2918" name="Imagen 29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Agreement concerning Payments on behalf of Norwegian Nationals Victimized by National Socialist Persecution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1(1) of the 1959 Agreement concerning Payments on behalf of Norwegian Nationals Victimized by National Socialist Persecution, concluded between Germany and Norway, provides:</w:t>
      </w:r>
      <w:r w:rsidRPr="00BE407E">
        <w:rPr>
          <w:rFonts w:ascii="Times New Roman" w:eastAsia="Times New Roman" w:hAnsi="Times New Roman" w:cs="Times New Roman"/>
          <w:sz w:val="24"/>
          <w:szCs w:val="24"/>
        </w:rPr>
        <w:br/>
        <w:t>The Federal Republic of Germany shall pay the Kingdom of Norway 60 million Deutsche Mark on behalf of Norwegian nationals who were victimized by National Socialist persecution because of their race, beliefs or opinions and whose freedom or health was in consequence impaired, and also on behalf of the survivors of persons who died as a result of such persecution.</w:t>
      </w:r>
      <w:r>
        <w:rPr>
          <w:rFonts w:ascii="Times New Roman" w:eastAsia="Times New Roman" w:hAnsi="Times New Roman" w:cs="Times New Roman"/>
          <w:noProof/>
          <w:sz w:val="24"/>
          <w:szCs w:val="24"/>
        </w:rPr>
        <w:drawing>
          <wp:inline distT="0" distB="0" distL="0" distR="0">
            <wp:extent cx="151130" cy="142875"/>
            <wp:effectExtent l="19050" t="0" r="1270" b="0"/>
            <wp:docPr id="2919" name="Imagen 29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American Convention on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63(1) of the 1969 American Convention on Human Rights states:</w:t>
      </w:r>
      <w:r w:rsidRPr="00BE407E">
        <w:rPr>
          <w:rFonts w:ascii="Times New Roman" w:eastAsia="Times New Roman" w:hAnsi="Times New Roman" w:cs="Times New Roman"/>
          <w:sz w:val="24"/>
          <w:szCs w:val="24"/>
        </w:rPr>
        <w:br/>
        <w:t>If the [Inter-American Court of Human Rights] finds that there has been a violation of a right or freedom protected by this Convention, the Court … shall also rule, if appropriate, that the consequences of the measure or situation that constituted the breach of such right or freedom be remedied and that fair compensation be paid to the injured party.</w:t>
      </w:r>
      <w:r>
        <w:rPr>
          <w:rFonts w:ascii="Times New Roman" w:eastAsia="Times New Roman" w:hAnsi="Times New Roman" w:cs="Times New Roman"/>
          <w:noProof/>
          <w:sz w:val="24"/>
          <w:szCs w:val="24"/>
        </w:rPr>
        <w:drawing>
          <wp:inline distT="0" distB="0" distL="0" distR="0">
            <wp:extent cx="151130" cy="142875"/>
            <wp:effectExtent l="19050" t="0" r="1270" b="0"/>
            <wp:docPr id="2920" name="Imagen 29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Additional Protocol I</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91 of the 1977 Additional Protocol I provides: “A Party to the conflict which violates the provisions of the Conventions or of this Protocol shall, if the case demands,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21" name="Imagen 29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Implementation Agreement to the German Unification Treaty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 of the 1990 Implementation Agreement to the German Unification Treaty provides:</w:t>
      </w:r>
      <w:r w:rsidRPr="00BE407E">
        <w:rPr>
          <w:rFonts w:ascii="Times New Roman" w:eastAsia="Times New Roman" w:hAnsi="Times New Roman" w:cs="Times New Roman"/>
          <w:sz w:val="24"/>
          <w:szCs w:val="24"/>
        </w:rPr>
        <w:br/>
        <w:t>The Federal Government is prepared, in continuation of the policy of the German Federal Republic, to enter into agreements with the Claims Conference [Conference on Jewish Material Claims against Germany] for additional Fund arrangements in order to provide hardship payments to persecutees who thus far received no or only minimal compensation according to the legislative provisions of the German Federal Republic.</w:t>
      </w:r>
      <w:r>
        <w:rPr>
          <w:rFonts w:ascii="Times New Roman" w:eastAsia="Times New Roman" w:hAnsi="Times New Roman" w:cs="Times New Roman"/>
          <w:noProof/>
          <w:sz w:val="24"/>
          <w:szCs w:val="24"/>
        </w:rPr>
        <w:drawing>
          <wp:inline distT="0" distB="0" distL="0" distR="0">
            <wp:extent cx="151130" cy="142875"/>
            <wp:effectExtent l="19050" t="0" r="1270" b="0"/>
            <wp:docPr id="2922" name="Imagen 29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CIS Agreement on the Protection of Victims of Armed Conflicts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Article 3 of the 1993 CIS Agreement on the Protection of Victims of Armed Conflicts requires States to adopt national measures granting “social security and compensation for material losses to people afflicted by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2923" name="Imagen 29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US-Germany Agreement concerning Final Benefits to Certain US Nationals Who Were Victims of National Socialist Measures of Persecution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1995, Germany and the United States concluded the US-Germany Agreement concerning Final Benefits to Certain US Nationals Who Were Victims of National Socialist Measures of Persecution (also known as the Princz Agreement), which provides:</w:t>
      </w:r>
      <w:r w:rsidRPr="00BE407E">
        <w:rPr>
          <w:rFonts w:ascii="Times New Roman" w:eastAsia="Times New Roman" w:hAnsi="Times New Roman" w:cs="Times New Roman"/>
          <w:sz w:val="24"/>
          <w:szCs w:val="24"/>
        </w:rPr>
        <w:br/>
        <w:t>Article 1</w:t>
      </w:r>
      <w:r w:rsidRPr="00BE407E">
        <w:rPr>
          <w:rFonts w:ascii="Times New Roman" w:eastAsia="Times New Roman" w:hAnsi="Times New Roman" w:cs="Times New Roman"/>
          <w:sz w:val="24"/>
          <w:szCs w:val="24"/>
        </w:rPr>
        <w:br/>
        <w:t>This Agreement shall settle compensation claims by certain United States nationals who suffered loss of liberty or damage to body or health as a result of National Socialist measures of persecution conducted directly against them. This Agreement shall cover only the claims of persons who, at the time of their persecution, were already nationals of the United States of America and who have to date received no compensation from the Federal Republic of Germany. This Agreement shall, inter alia, not cover persons who were subjected to forced labor alone while not being detained in a concentration camp as victims of National Socialist measures of persecution.</w:t>
      </w:r>
      <w:r w:rsidRPr="00BE407E">
        <w:rPr>
          <w:rFonts w:ascii="Times New Roman" w:eastAsia="Times New Roman" w:hAnsi="Times New Roman" w:cs="Times New Roman"/>
          <w:sz w:val="24"/>
          <w:szCs w:val="24"/>
        </w:rPr>
        <w:br/>
        <w:t>Article 2</w:t>
      </w:r>
      <w:r w:rsidRPr="00BE407E">
        <w:rPr>
          <w:rFonts w:ascii="Times New Roman" w:eastAsia="Times New Roman" w:hAnsi="Times New Roman" w:cs="Times New Roman"/>
          <w:sz w:val="24"/>
          <w:szCs w:val="24"/>
        </w:rPr>
        <w:br/>
        <w:t>1. For the prompt settlement of known cases of compensation claims covered by Article 1, the Government of the Federal Republic of Germany shall pay to the Government of the United States of America three million Deutsche Mark …</w:t>
      </w:r>
      <w:r w:rsidRPr="00BE407E">
        <w:rPr>
          <w:rFonts w:ascii="Times New Roman" w:eastAsia="Times New Roman" w:hAnsi="Times New Roman" w:cs="Times New Roman"/>
          <w:sz w:val="24"/>
          <w:szCs w:val="24"/>
        </w:rPr>
        <w:br/>
        <w:t>2. For any possible future cases not known at the present moment, both Governments intend to negotiate two years after the entry into force of this Agreement, an additional lump sum payment based on the same criteria as set forth in Article 1 and derived on the same basis as the amount under paragraph 1.</w:t>
      </w:r>
      <w:r w:rsidRPr="00BE407E">
        <w:rPr>
          <w:rFonts w:ascii="Times New Roman" w:eastAsia="Times New Roman" w:hAnsi="Times New Roman" w:cs="Times New Roman"/>
          <w:sz w:val="24"/>
          <w:szCs w:val="24"/>
        </w:rPr>
        <w:br/>
        <w:t>Article 3</w:t>
      </w:r>
      <w:r w:rsidRPr="00BE407E">
        <w:rPr>
          <w:rFonts w:ascii="Times New Roman" w:eastAsia="Times New Roman" w:hAnsi="Times New Roman" w:cs="Times New Roman"/>
          <w:sz w:val="24"/>
          <w:szCs w:val="24"/>
        </w:rPr>
        <w:br/>
        <w:t>The distribution of the amounts … to the individual beneficiaries shall be left to the discretion of the Government of the United States of America.</w:t>
      </w:r>
      <w:r>
        <w:rPr>
          <w:rFonts w:ascii="Times New Roman" w:eastAsia="Times New Roman" w:hAnsi="Times New Roman" w:cs="Times New Roman"/>
          <w:noProof/>
          <w:sz w:val="24"/>
          <w:szCs w:val="24"/>
        </w:rPr>
        <w:drawing>
          <wp:inline distT="0" distB="0" distL="0" distR="0">
            <wp:extent cx="151130" cy="142875"/>
            <wp:effectExtent l="19050" t="0" r="1270" b="0"/>
            <wp:docPr id="2924" name="Imagen 29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Agreement on Refugees and Displaced Persons annexed to the Dayton Accords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Article 1(1) of the 1995 Agreement on Refugees and Displaced Persons annexed to the Dayton Accords provides: </w:t>
      </w:r>
      <w:r w:rsidRPr="00BE407E">
        <w:rPr>
          <w:rFonts w:ascii="Times New Roman" w:eastAsia="Times New Roman" w:hAnsi="Times New Roman" w:cs="Times New Roman"/>
          <w:sz w:val="24"/>
          <w:szCs w:val="24"/>
        </w:rPr>
        <w:br/>
        <w:t>All refugees and displaced persons … shall have the right to have restored to them property of which they were deprived in the course of hostilities since 1991 and to be compensated for any property that cannot be restored to them.</w:t>
      </w:r>
      <w:r>
        <w:rPr>
          <w:rFonts w:ascii="Times New Roman" w:eastAsia="Times New Roman" w:hAnsi="Times New Roman" w:cs="Times New Roman"/>
          <w:noProof/>
          <w:sz w:val="24"/>
          <w:szCs w:val="24"/>
        </w:rPr>
        <w:drawing>
          <wp:inline distT="0" distB="0" distL="0" distR="0">
            <wp:extent cx="151130" cy="142875"/>
            <wp:effectExtent l="19050" t="0" r="1270" b="0"/>
            <wp:docPr id="2925" name="Imagen 29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By Article VII of the 1995 Agreement on Refugees and Displaced Persons annexed to the Dayton Accords, the Commission for Real Property Claims of Displaced Persons and Refugees in Bosnia and Herzegovina was established. According to Article XI, the mandate of the Commission was to</w:t>
      </w:r>
      <w:r w:rsidRPr="00BE407E">
        <w:rPr>
          <w:rFonts w:ascii="Times New Roman" w:eastAsia="Times New Roman" w:hAnsi="Times New Roman" w:cs="Times New Roman"/>
          <w:sz w:val="24"/>
          <w:szCs w:val="24"/>
        </w:rPr>
        <w:br/>
        <w:t>receive and decide any claims for real property in Bosnia and Herzegovina, where the property has not voluntarily been sold or otherwise transferred since April 1, 1992, and where the claimant does not now enjoy possession of that property. Claims may be for return of the property or for just compensation in lieu of return.</w:t>
      </w:r>
      <w:r>
        <w:rPr>
          <w:rFonts w:ascii="Times New Roman" w:eastAsia="Times New Roman" w:hAnsi="Times New Roman" w:cs="Times New Roman"/>
          <w:noProof/>
          <w:sz w:val="24"/>
          <w:szCs w:val="24"/>
        </w:rPr>
        <w:drawing>
          <wp:inline distT="0" distB="0" distL="0" distR="0">
            <wp:extent cx="151130" cy="142875"/>
            <wp:effectExtent l="19050" t="0" r="1270" b="0"/>
            <wp:docPr id="2926" name="Imagen 29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XII(2) and (6) of the 1995 Agreement on Refugees and Displaced Persons annexed to the Dayton Accords provides:</w:t>
      </w:r>
      <w:r w:rsidRPr="00BE407E">
        <w:rPr>
          <w:rFonts w:ascii="Times New Roman" w:eastAsia="Times New Roman" w:hAnsi="Times New Roman" w:cs="Times New Roman"/>
          <w:sz w:val="24"/>
          <w:szCs w:val="24"/>
        </w:rPr>
        <w:br/>
        <w:t>Any person requesting compensation in lieu of return who is found by the Commission to be the lawful owner of that property shall be awarded just compensation as determined by the Commission.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In cases in which the claimant is awarded compensation in lieu of return of the property, </w:t>
      </w:r>
      <w:r w:rsidRPr="00BE407E">
        <w:rPr>
          <w:rFonts w:ascii="Times New Roman" w:eastAsia="Times New Roman" w:hAnsi="Times New Roman" w:cs="Times New Roman"/>
          <w:sz w:val="24"/>
          <w:szCs w:val="24"/>
        </w:rPr>
        <w:lastRenderedPageBreak/>
        <w:t>the Commission may award a monetary grant or a compensation bond for the future purchase of real property. The Parties welcome the willingness of the international community assisting in the construction and financing of housing in Bosnia and Herzegovina to accept compensation bonds awarded by the Commission as payment, and to award persons holding such compensation bonds priority in obtaining that housing.</w:t>
      </w:r>
      <w:r>
        <w:rPr>
          <w:rFonts w:ascii="Times New Roman" w:eastAsia="Times New Roman" w:hAnsi="Times New Roman" w:cs="Times New Roman"/>
          <w:noProof/>
          <w:sz w:val="24"/>
          <w:szCs w:val="24"/>
        </w:rPr>
        <w:drawing>
          <wp:inline distT="0" distB="0" distL="0" distR="0">
            <wp:extent cx="151130" cy="142875"/>
            <wp:effectExtent l="19050" t="0" r="1270" b="0"/>
            <wp:docPr id="2927" name="Imagen 29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XI of the 1995 Agreement on Refugees and Displaced Persons annexed to the Dayton Accords, which establishes the Commission for Real Property Claims of Displaced Persons and Refugees in Bosnia and Herzegovina, provides:</w:t>
      </w:r>
      <w:r w:rsidRPr="00BE407E">
        <w:rPr>
          <w:rFonts w:ascii="Times New Roman" w:eastAsia="Times New Roman" w:hAnsi="Times New Roman" w:cs="Times New Roman"/>
          <w:sz w:val="24"/>
          <w:szCs w:val="24"/>
        </w:rPr>
        <w:br/>
        <w:t>The Commission shall receive and decide any claims for real property in Bosnia and Herzegovina, where the property has not voluntarily been sold or otherwise transferred since April 1, 1992, and where the claimant does not now enjoy possession of that property. Claims may be for return of the property or for just compensation in lieu of return.</w:t>
      </w:r>
      <w:r>
        <w:rPr>
          <w:rFonts w:ascii="Times New Roman" w:eastAsia="Times New Roman" w:hAnsi="Times New Roman" w:cs="Times New Roman"/>
          <w:noProof/>
          <w:sz w:val="24"/>
          <w:szCs w:val="24"/>
        </w:rPr>
        <w:drawing>
          <wp:inline distT="0" distB="0" distL="0" distR="0">
            <wp:extent cx="151130" cy="142875"/>
            <wp:effectExtent l="19050" t="0" r="1270" b="0"/>
            <wp:docPr id="2928" name="Imagen 29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US-China Memorandum of Understanding on the Settlement of Chinese Claims for Deaths, Injuries or Losses resulting from the Bombing of the Chinese Embassy in Belgrade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1999 US-China Memorandum of Understanding on the Settlement of Chinese Claims for Deaths, Injuries or Losses resulting from the Bombing of the Chinese Embassy in Belgrade provides:</w:t>
      </w:r>
      <w:r w:rsidRPr="00BE407E">
        <w:rPr>
          <w:rFonts w:ascii="Times New Roman" w:eastAsia="Times New Roman" w:hAnsi="Times New Roman" w:cs="Times New Roman"/>
          <w:sz w:val="24"/>
          <w:szCs w:val="24"/>
        </w:rPr>
        <w:br/>
        <w:t>1. The two sides have reached a consensus on the payment relating to deaths, injuries or losses suffered by the personnel of the Chinese side. The U.S. Government will pay to the Chinese Government the sum of U.S. $4,500,000 in a single payment as promptly as possible consistent with U.S. legal requirements, for direct distribution by the latter to the bereaved families and those suffering injuries or losses.</w:t>
      </w:r>
      <w:r w:rsidRPr="00BE407E">
        <w:rPr>
          <w:rFonts w:ascii="Times New Roman" w:eastAsia="Times New Roman" w:hAnsi="Times New Roman" w:cs="Times New Roman"/>
          <w:sz w:val="24"/>
          <w:szCs w:val="24"/>
        </w:rPr>
        <w:br/>
        <w:t>2. The Chinese Government, upon receipt of the amount mentioned above, will distribute, as soon as possible, all the funds among the bereaved families and those suffering injuries or losses, and provide the U.S. Government with relevant information and receipts confirming the distribution.</w:t>
      </w:r>
      <w:r w:rsidRPr="00BE407E">
        <w:rPr>
          <w:rFonts w:ascii="Times New Roman" w:eastAsia="Times New Roman" w:hAnsi="Times New Roman" w:cs="Times New Roman"/>
          <w:sz w:val="24"/>
          <w:szCs w:val="24"/>
        </w:rPr>
        <w:br/>
        <w:t>3. The agreed amount, when fully paid as agreed, will constitute a full and final settlement of any and all claims for deaths, injuries or losses suffered by the personnel of the Chinese side caused by the U.S. bombing of the Chinese Embassy in the Federal Republic of Yugoslavia.</w:t>
      </w:r>
      <w:r>
        <w:rPr>
          <w:rFonts w:ascii="Times New Roman" w:eastAsia="Times New Roman" w:hAnsi="Times New Roman" w:cs="Times New Roman"/>
          <w:noProof/>
          <w:sz w:val="24"/>
          <w:szCs w:val="24"/>
        </w:rPr>
        <w:drawing>
          <wp:inline distT="0" distB="0" distL="0" distR="0">
            <wp:extent cx="151130" cy="142875"/>
            <wp:effectExtent l="19050" t="0" r="1270" b="0"/>
            <wp:docPr id="2929" name="Imagen 29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US-China Agreement on the Settlement of Chinese Claims for Property Loss and Damage resulting from the Bombing of the Chinese Embassy in Belgrade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 of the 1999 US-China Agreement on the Settlement of Chinese Claims for Property Loss and Damage resulting from the Bombing of the Chinese Embassy in Belgrade provides: “The sum of twenty eight million U.S. dollars shall constitute the final settlement amount.”</w:t>
      </w:r>
      <w:r>
        <w:rPr>
          <w:rFonts w:ascii="Times New Roman" w:eastAsia="Times New Roman" w:hAnsi="Times New Roman" w:cs="Times New Roman"/>
          <w:noProof/>
          <w:sz w:val="24"/>
          <w:szCs w:val="24"/>
        </w:rPr>
        <w:drawing>
          <wp:inline distT="0" distB="0" distL="0" distR="0">
            <wp:extent cx="151130" cy="142875"/>
            <wp:effectExtent l="19050" t="0" r="1270" b="0"/>
            <wp:docPr id="2930" name="Imagen 29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agreed amount, when fully paid as agreed, will constitute a full and final settlement of any and all claims for the property loss and damage suffered by the Chinese side as a result of the U.S. bombing of the Chinese Embassy in the Federal Republic of Yugoslavia.</w:t>
      </w:r>
      <w:r>
        <w:rPr>
          <w:rFonts w:ascii="Times New Roman" w:eastAsia="Times New Roman" w:hAnsi="Times New Roman" w:cs="Times New Roman"/>
          <w:noProof/>
          <w:sz w:val="24"/>
          <w:szCs w:val="24"/>
        </w:rPr>
        <w:drawing>
          <wp:inline distT="0" distB="0" distL="0" distR="0">
            <wp:extent cx="151130" cy="142875"/>
            <wp:effectExtent l="19050" t="0" r="1270" b="0"/>
            <wp:docPr id="2931" name="Imagen 29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US-China Memorandum of Understanding on the Settlement of US Claims for Property Loss and Damage Suffered after the Bombing of the Chinese Embassy in Belgrade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 of the 1999 US-China Memorandum of Understanding on the Settlement of US Claims for Property Loss and Damage Suffered after the Bombing of the Chinese Embassy in Belgrade provides:</w:t>
      </w:r>
      <w:r w:rsidRPr="00BE407E">
        <w:rPr>
          <w:rFonts w:ascii="Times New Roman" w:eastAsia="Times New Roman" w:hAnsi="Times New Roman" w:cs="Times New Roman"/>
          <w:sz w:val="24"/>
          <w:szCs w:val="24"/>
        </w:rPr>
        <w:br/>
        <w:t xml:space="preserve">The sum of 2.87 million US dollars shall constitute the final settlement amount. The Government of the People’s Republic of China shall pay the above-mentioned amount </w:t>
      </w:r>
      <w:r w:rsidRPr="00BE407E">
        <w:rPr>
          <w:rFonts w:ascii="Times New Roman" w:eastAsia="Times New Roman" w:hAnsi="Times New Roman" w:cs="Times New Roman"/>
          <w:sz w:val="24"/>
          <w:szCs w:val="24"/>
        </w:rPr>
        <w:lastRenderedPageBreak/>
        <w:t>to the Government of the United States in a single payment to an account opened by the Embassy of the United States in Beijing no later than ten working days after the payment by the Government of the United States under the Agreement Between the Government of the United States of America and the Government of the People’s Republic of China …</w:t>
      </w:r>
      <w:r>
        <w:rPr>
          <w:rFonts w:ascii="Times New Roman" w:eastAsia="Times New Roman" w:hAnsi="Times New Roman" w:cs="Times New Roman"/>
          <w:noProof/>
          <w:sz w:val="24"/>
          <w:szCs w:val="24"/>
        </w:rPr>
        <w:drawing>
          <wp:inline distT="0" distB="0" distL="0" distR="0">
            <wp:extent cx="151130" cy="142875"/>
            <wp:effectExtent l="19050" t="0" r="1270" b="0"/>
            <wp:docPr id="2932" name="Imagen 29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agreed amount, when fully paid as agreed, will constitute a full and final settlement of any and all claims for the property loss and damage suffered by the U.S. side after the U.S. bombing of the Chinese Embassy in the Federal Republic of Yugoslavia.</w:t>
      </w:r>
      <w:r>
        <w:rPr>
          <w:rFonts w:ascii="Times New Roman" w:eastAsia="Times New Roman" w:hAnsi="Times New Roman" w:cs="Times New Roman"/>
          <w:noProof/>
          <w:sz w:val="24"/>
          <w:szCs w:val="24"/>
        </w:rPr>
        <w:drawing>
          <wp:inline distT="0" distB="0" distL="0" distR="0">
            <wp:extent cx="151130" cy="142875"/>
            <wp:effectExtent l="19050" t="0" r="1270" b="0"/>
            <wp:docPr id="2933" name="Imagen 29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Agreement on the Foundation “Remembrance, Responsibility and the Future”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2000 Agreement on the Foundation “Remembrance, Responsibility and the Future”, concluded between Germany and the United States, aims to complement the creation of a foundation established under the German Law on the Creation of a Foundation “Remembrance, Responsibility and Future” (as amended) of 2000. Article 1(1) provides:</w:t>
      </w:r>
      <w:r w:rsidRPr="00BE407E">
        <w:rPr>
          <w:rFonts w:ascii="Times New Roman" w:eastAsia="Times New Roman" w:hAnsi="Times New Roman" w:cs="Times New Roman"/>
          <w:sz w:val="24"/>
          <w:szCs w:val="24"/>
        </w:rPr>
        <w:br/>
        <w:t>The parties agree that the Foundation “Remembrance, Responsibility and the Future” covers, and that it would be in their interests for the Foundation to be the exclusive remedy and forum for the resolution of, all claims that have been or may be asserted against German companies arising from the National Socialist era and World War II.</w:t>
      </w:r>
      <w:r>
        <w:rPr>
          <w:rFonts w:ascii="Times New Roman" w:eastAsia="Times New Roman" w:hAnsi="Times New Roman" w:cs="Times New Roman"/>
          <w:noProof/>
          <w:sz w:val="24"/>
          <w:szCs w:val="24"/>
        </w:rPr>
        <w:drawing>
          <wp:inline distT="0" distB="0" distL="0" distR="0">
            <wp:extent cx="151130" cy="142875"/>
            <wp:effectExtent l="19050" t="0" r="1270" b="0"/>
            <wp:docPr id="2934" name="Imagen 29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2(1) of the 2000 Agreement on the Foundation “Remembrance, Responsibility and the Future” provides:</w:t>
      </w:r>
      <w:r w:rsidRPr="00BE407E">
        <w:rPr>
          <w:rFonts w:ascii="Times New Roman" w:eastAsia="Times New Roman" w:hAnsi="Times New Roman" w:cs="Times New Roman"/>
          <w:sz w:val="24"/>
          <w:szCs w:val="24"/>
        </w:rPr>
        <w:br/>
        <w:t>The United States shall, in all cases in which the United States is notified that a claim described in article 1 (1) has been asserted in a court in the United States, inform its courts through a Statement of Interest … that it would be in the foreign policy interests of the United States for the Foundation to be the exclusive remedy and forum for resolving such claims asserted against German companies … and that dismissal of such cases would be in its foreign policy interest.</w:t>
      </w:r>
      <w:r>
        <w:rPr>
          <w:rFonts w:ascii="Times New Roman" w:eastAsia="Times New Roman" w:hAnsi="Times New Roman" w:cs="Times New Roman"/>
          <w:noProof/>
          <w:sz w:val="24"/>
          <w:szCs w:val="24"/>
        </w:rPr>
        <w:drawing>
          <wp:inline distT="0" distB="0" distL="0" distR="0">
            <wp:extent cx="151130" cy="142875"/>
            <wp:effectExtent l="19050" t="0" r="1270" b="0"/>
            <wp:docPr id="2935" name="Imagen 29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3 of the 2000 Agreement on the Foundation “Remembrance, Responsibility and the Future” provides:</w:t>
      </w:r>
      <w:r w:rsidRPr="00BE407E">
        <w:rPr>
          <w:rFonts w:ascii="Times New Roman" w:eastAsia="Times New Roman" w:hAnsi="Times New Roman" w:cs="Times New Roman"/>
          <w:sz w:val="24"/>
          <w:szCs w:val="24"/>
        </w:rPr>
        <w:br/>
        <w:t>(2) This agreement shall not affect unilateral decisions or bilateral or multilateral agreements that dealt with the consequences of the National Socialist era and World War II.</w:t>
      </w:r>
      <w:r w:rsidRPr="00BE407E">
        <w:rPr>
          <w:rFonts w:ascii="Times New Roman" w:eastAsia="Times New Roman" w:hAnsi="Times New Roman" w:cs="Times New Roman"/>
          <w:sz w:val="24"/>
          <w:szCs w:val="24"/>
        </w:rPr>
        <w:br/>
        <w:t>(3) The United States will not raise any reparations claims against the Federal Republic of Germany.</w:t>
      </w:r>
      <w:r>
        <w:rPr>
          <w:rFonts w:ascii="Times New Roman" w:eastAsia="Times New Roman" w:hAnsi="Times New Roman" w:cs="Times New Roman"/>
          <w:noProof/>
          <w:sz w:val="24"/>
          <w:szCs w:val="24"/>
        </w:rPr>
        <w:drawing>
          <wp:inline distT="0" distB="0" distL="0" distR="0">
            <wp:extent cx="151130" cy="142875"/>
            <wp:effectExtent l="19050" t="0" r="1270" b="0"/>
            <wp:docPr id="2936" name="Imagen 29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Austrian-US Executive Agreement concerning the Austrian Reconciliation Fund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2000, Austria and the United States concluded the Austrian-US Executive Agreement concerning the Austrian Reconciliation Fund, which is intended “to complement the creation of the [Austrian Reconciliation] Fund”. In the preamble, the two States recognize</w:t>
      </w:r>
      <w:r w:rsidRPr="00BE407E">
        <w:rPr>
          <w:rFonts w:ascii="Times New Roman" w:eastAsia="Times New Roman" w:hAnsi="Times New Roman" w:cs="Times New Roman"/>
          <w:sz w:val="24"/>
          <w:szCs w:val="24"/>
        </w:rPr>
        <w:br/>
        <w:t>that Austria has, by adopting legislation approved by the Allied Forces or building on international agreements to which the United States is a party, and in close cooperation with victims’ associations and interested governments, provided restitution and compensation to victims of National Socialist persecution, [and note] that, by means of the Austrian Fund for Reconciliation, Peace, and Cooperation (“Fund”), formed under Austrian federal law as an instrumentality of Austria and funded by contributions from Austria and Austrian companies, Austria and Austrian companies wish to respond to and acknowledge the moral responsibility for all claims involving or related to the use of slave or forced labor during the National Socialist era or World War II.</w:t>
      </w:r>
      <w:r>
        <w:rPr>
          <w:rFonts w:ascii="Times New Roman" w:eastAsia="Times New Roman" w:hAnsi="Times New Roman" w:cs="Times New Roman"/>
          <w:noProof/>
          <w:sz w:val="24"/>
          <w:szCs w:val="24"/>
        </w:rPr>
        <w:drawing>
          <wp:inline distT="0" distB="0" distL="0" distR="0">
            <wp:extent cx="151130" cy="142875"/>
            <wp:effectExtent l="19050" t="0" r="1270" b="0"/>
            <wp:docPr id="2937" name="Imagen 29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Austrian-Belarusian Agreement concerning the Austrian Reconciliation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2000, Austria concluded bilateral agreements with six Central and Eastern European States, including the Austrian-Belarusian Agreement concerning the Austrian </w:t>
      </w:r>
      <w:r w:rsidRPr="00BE407E">
        <w:rPr>
          <w:rFonts w:ascii="Times New Roman" w:eastAsia="Times New Roman" w:hAnsi="Times New Roman" w:cs="Times New Roman"/>
          <w:sz w:val="24"/>
          <w:szCs w:val="24"/>
        </w:rPr>
        <w:lastRenderedPageBreak/>
        <w:t>Reconciliation Fund, in order to fulfil the conditions necessary for the coming into force of the Austrian Reconciliation Fund Law. All of these agreements provided for cooperation between the respective States in the payment of compensation to former slave labourers and forced labourers by the Austrian Reconciliation Fund via national foundations which were to be established by the respective States.</w:t>
      </w:r>
      <w:r>
        <w:rPr>
          <w:rFonts w:ascii="Times New Roman" w:eastAsia="Times New Roman" w:hAnsi="Times New Roman" w:cs="Times New Roman"/>
          <w:noProof/>
          <w:sz w:val="24"/>
          <w:szCs w:val="24"/>
        </w:rPr>
        <w:drawing>
          <wp:inline distT="0" distB="0" distL="0" distR="0">
            <wp:extent cx="151130" cy="142875"/>
            <wp:effectExtent l="19050" t="0" r="1270" b="0"/>
            <wp:docPr id="2938" name="Imagen 29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Austrian-Czech Agreement concerning the Austrian Reconciliation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2000, Austria concluded bilateral agreements with six Central and Eastern European States, including the Austrian-Czech Agreement concerning the Austrian Reconciliation Fund, in order to fulfil the conditions necessary for the coming into force of the Austrian Reconciliation Fund Law. All of these agreements provided for cooperation between the respective States in the payment of compensation to former slave labourers and forced labourers by the Austrian Reconciliation Fund via national foundations which were to be established by the respective States.</w:t>
      </w:r>
      <w:r>
        <w:rPr>
          <w:rFonts w:ascii="Times New Roman" w:eastAsia="Times New Roman" w:hAnsi="Times New Roman" w:cs="Times New Roman"/>
          <w:noProof/>
          <w:sz w:val="24"/>
          <w:szCs w:val="24"/>
        </w:rPr>
        <w:drawing>
          <wp:inline distT="0" distB="0" distL="0" distR="0">
            <wp:extent cx="151130" cy="142875"/>
            <wp:effectExtent l="19050" t="0" r="1270" b="0"/>
            <wp:docPr id="2939" name="Imagen 29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Austrian-Hungarian Agreement concerning the Austrian Reconciliation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2000, Austria concluded bilateral agreements with six Central and Eastern European States, including the Austrian-Hungarian Agreement concerning the Austrian Reconciliation Fund, in order to fulfil the conditions necessary for the coming into force of the Austrian Reconciliation Fund Law. All of these agreements provided for cooperation between the respective States in the payment of compensation to former slave labourers and forced labourers by the Austrian Reconciliation Fund via national foundations which were to be established by the respective States.</w:t>
      </w:r>
      <w:r>
        <w:rPr>
          <w:rFonts w:ascii="Times New Roman" w:eastAsia="Times New Roman" w:hAnsi="Times New Roman" w:cs="Times New Roman"/>
          <w:noProof/>
          <w:sz w:val="24"/>
          <w:szCs w:val="24"/>
        </w:rPr>
        <w:drawing>
          <wp:inline distT="0" distB="0" distL="0" distR="0">
            <wp:extent cx="151130" cy="142875"/>
            <wp:effectExtent l="19050" t="0" r="1270" b="0"/>
            <wp:docPr id="2940" name="Imagen 29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Austrian-Polish Agreement concerning the Austrian Reconciliation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2000, Austria concluded bilateral agreements with six Central and Eastern European States, including the Austrian-Polish Agreement concerning the Austrian Reconciliation Fund, in order to fulfil the conditions necessary for the coming into force of the Austrian Reconciliation Fund Law. All of these agreements provided for cooperation between the respective States in the payment of compensation to former slave labourers and forced labourers by the Austrian Reconciliation Fund via national foundations which were to be established by the respective States.</w:t>
      </w:r>
      <w:r>
        <w:rPr>
          <w:rFonts w:ascii="Times New Roman" w:eastAsia="Times New Roman" w:hAnsi="Times New Roman" w:cs="Times New Roman"/>
          <w:noProof/>
          <w:sz w:val="24"/>
          <w:szCs w:val="24"/>
        </w:rPr>
        <w:drawing>
          <wp:inline distT="0" distB="0" distL="0" distR="0">
            <wp:extent cx="151130" cy="142875"/>
            <wp:effectExtent l="19050" t="0" r="1270" b="0"/>
            <wp:docPr id="2941" name="Imagen 29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Austrian-Ukrainian Agreement concerning the Austrian Reconciliation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2000, Austria concluded bilateral agreements with six Central and Eastern European States, including the Austrian-Ukrainian Agreement concerning the Austrian Reconciliation Fund, in order to fulfil the conditions necessary for the coming into force of the Austrian Reconciliation Fund Law. All of these agreements provided for cooperation between the respective States in the payment of compensation to former slave labourers and forced labourers by the Austrian Reconciliation Fund via national foundations which were to be established by the respective States.</w:t>
      </w:r>
      <w:r>
        <w:rPr>
          <w:rFonts w:ascii="Times New Roman" w:eastAsia="Times New Roman" w:hAnsi="Times New Roman" w:cs="Times New Roman"/>
          <w:noProof/>
          <w:sz w:val="24"/>
          <w:szCs w:val="24"/>
        </w:rPr>
        <w:drawing>
          <wp:inline distT="0" distB="0" distL="0" distR="0">
            <wp:extent cx="151130" cy="142875"/>
            <wp:effectExtent l="19050" t="0" r="1270" b="0"/>
            <wp:docPr id="2942" name="Imagen 29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Austrian-Russian Agreement concerning the Austrian Reconciliation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2000, Austria concluded bilateral agreements with six Central and Eastern European States, including the Austrian-Russian Agreement concerning the Austrian Reconciliation Fund, in order to fulfil the conditions necessary for the coming into force of the Austrian Reconciliation Fund Law. All of these agreements provided for cooperation between the respective States in the payment of compensation to former slave labourers and forced labourers by the Austrian Reconciliation Fund via national foundations which were to be established by the respective States.</w:t>
      </w:r>
      <w:r>
        <w:rPr>
          <w:rFonts w:ascii="Times New Roman" w:eastAsia="Times New Roman" w:hAnsi="Times New Roman" w:cs="Times New Roman"/>
          <w:noProof/>
          <w:sz w:val="24"/>
          <w:szCs w:val="24"/>
        </w:rPr>
        <w:drawing>
          <wp:inline distT="0" distB="0" distL="0" distR="0">
            <wp:extent cx="151130" cy="142875"/>
            <wp:effectExtent l="19050" t="0" r="1270" b="0"/>
            <wp:docPr id="2943" name="Imagen 29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Peace Agreement between Eritrea and Ethiopia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5 of the 2000 Peace Agreement between Eritrea and Ethiopia provides:</w:t>
      </w:r>
      <w:r w:rsidRPr="00BE407E">
        <w:rPr>
          <w:rFonts w:ascii="Times New Roman" w:eastAsia="Times New Roman" w:hAnsi="Times New Roman" w:cs="Times New Roman"/>
          <w:sz w:val="24"/>
          <w:szCs w:val="24"/>
        </w:rPr>
        <w:br/>
        <w:t xml:space="preserve">1. Consistent with the 1998 OAU Framework Agreement on Eritrea and Ethiopia, in which the parties commit themselves to addressing the negative socio-economic impact of the crisis on the civilian population, including the impact on those persons who have </w:t>
      </w:r>
      <w:r w:rsidRPr="00BE407E">
        <w:rPr>
          <w:rFonts w:ascii="Times New Roman" w:eastAsia="Times New Roman" w:hAnsi="Times New Roman" w:cs="Times New Roman"/>
          <w:sz w:val="24"/>
          <w:szCs w:val="24"/>
        </w:rPr>
        <w:lastRenderedPageBreak/>
        <w:t>been deported, a neutral Claims Commission shall be established. The mandate of the Commission is to decide through binding arbitration all claims for loss, damage or injury by one Government against the other, and by nationals (including both natural and juridical persons) of one party against the Government of the other party or entities owned or controlled by the other party that are (a) related to the conflict that was the subject of the Framework Agreement, the Modalities for its Implementation and the Cessation of Hostilities Agreement , and (b) result from violations of international humanitarian law, including the 1949 Geneva Conventions, or other violations of international law. The Commission shall not hear claims arising from the cost of military operations, preparing for military operations, or the use of force, except to the extent that such claims involve violations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2944" name="Imagen 29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Washington Agreement between France and the US Concerning Payments for Certain Losses Suffered during World War II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the preamble to the 2001 Washington Agreement between France and the US Concerning Payments for Certain Losses Suffered during World War II, the parties recognize that “France, following the end of World War II, enacted legislation that provided restitution and compensation for victims of anti-Semitic persecution during World War II under the authority of the occupying German authorities or the Vichy Government”. They also welcomed the various efforts of the French government to legislate with respect to compensation programmes for victims of the French occupation during the Second World War, as well as the establishment of a fund of US$ 22.5 million, contributed by the banks, and another commitment of the banks to contribute 100 million Euro to the Foundation for the Memory of the Shoah.</w:t>
      </w:r>
      <w:r>
        <w:rPr>
          <w:rFonts w:ascii="Times New Roman" w:eastAsia="Times New Roman" w:hAnsi="Times New Roman" w:cs="Times New Roman"/>
          <w:noProof/>
          <w:sz w:val="24"/>
          <w:szCs w:val="24"/>
        </w:rPr>
        <w:drawing>
          <wp:inline distT="0" distB="0" distL="0" distR="0">
            <wp:extent cx="151130" cy="142875"/>
            <wp:effectExtent l="19050" t="0" r="1270" b="0"/>
            <wp:docPr id="2945" name="Imagen 29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1(1) of the 2001 Washington Agreement between France and the US Concerning Payments for Certain Losses Suffered during World War II, the parties agreed that:</w:t>
      </w:r>
      <w:r w:rsidRPr="00BE407E">
        <w:rPr>
          <w:rFonts w:ascii="Times New Roman" w:eastAsia="Times New Roman" w:hAnsi="Times New Roman" w:cs="Times New Roman"/>
          <w:sz w:val="24"/>
          <w:szCs w:val="24"/>
        </w:rPr>
        <w:br/>
        <w:t>The Commission [for the Compensation of Victims of Spoliation Resulting from Anti-Semitic Legislation in Force During the Occupation], the [Fund of US$22.5 million, contributed by the banks], and the [Foundation for the Memory of the Shoah] cover, and that it would be in the interest of all concerned for these entities to be the exclusive remedies and fora for the resolution of, any and all claims that have been or may be asserted against the Banks.</w:t>
      </w:r>
      <w:r>
        <w:rPr>
          <w:rFonts w:ascii="Times New Roman" w:eastAsia="Times New Roman" w:hAnsi="Times New Roman" w:cs="Times New Roman"/>
          <w:noProof/>
          <w:sz w:val="24"/>
          <w:szCs w:val="24"/>
        </w:rPr>
        <w:drawing>
          <wp:inline distT="0" distB="0" distL="0" distR="0">
            <wp:extent cx="151130" cy="142875"/>
            <wp:effectExtent l="19050" t="0" r="1270" b="0"/>
            <wp:docPr id="2946" name="Imagen 29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it would be in the foreign policy interests of the United States for the [Commission for the Compensation of Victims of Spoliation Resulting from Anti-Semitic Legislation in Force During the Occupation], the [Foundation for the Memory of the Shoah], and the [Fund of US$22.5 million, contributed by the banks] to be the exclusive remedies and fora for resolving such claims asserted against the Banks and that dismissal of such cases would be in its foreign policy interest.</w:t>
      </w:r>
      <w:r>
        <w:rPr>
          <w:rFonts w:ascii="Times New Roman" w:eastAsia="Times New Roman" w:hAnsi="Times New Roman" w:cs="Times New Roman"/>
          <w:noProof/>
          <w:sz w:val="24"/>
          <w:szCs w:val="24"/>
        </w:rPr>
        <w:drawing>
          <wp:inline distT="0" distB="0" distL="0" distR="0">
            <wp:extent cx="151130" cy="142875"/>
            <wp:effectExtent l="19050" t="0" r="1270" b="0"/>
            <wp:docPr id="2947" name="Imagen 29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Annex A to the Austrian-US Agreement concerning the Austrian General Settlement Fund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Paragraph 1 of the 2001 Annex A to the Austrian-US Agreement concerning the Austrian General Settlement Fund, reflecting “key elements of the General Settlement Fund (‘GSF’) … and the additional measures for victims of National Socialism that form the basis for the Exchange of Notes between the United States and Austria”, provides:</w:t>
      </w:r>
      <w:r w:rsidRPr="00BE407E">
        <w:rPr>
          <w:rFonts w:ascii="Times New Roman" w:eastAsia="Times New Roman" w:hAnsi="Times New Roman" w:cs="Times New Roman"/>
          <w:sz w:val="24"/>
          <w:szCs w:val="24"/>
        </w:rPr>
        <w:br/>
        <w:t xml:space="preserve">Immediate Compensation for Survivors: The Austrian Government will make a US $150 million contribution to the National Fund, which will be distributed in its entirety on an expedited basis to all Holocaust survivors originating from or living in Austria … This amount will cover 1) apartment and small business leases; 2) household property; 3) personal valuables and effects. This amount will not cover potential claims against </w:t>
      </w:r>
      <w:r w:rsidRPr="00BE407E">
        <w:rPr>
          <w:rFonts w:ascii="Times New Roman" w:eastAsia="Times New Roman" w:hAnsi="Times New Roman" w:cs="Times New Roman"/>
          <w:sz w:val="24"/>
          <w:szCs w:val="24"/>
        </w:rPr>
        <w:lastRenderedPageBreak/>
        <w:t xml:space="preserve">Dorotheum … or </w:t>
      </w:r>
      <w:r w:rsidRPr="00BE407E">
        <w:rPr>
          <w:rFonts w:ascii="Times New Roman" w:eastAsia="Times New Roman" w:hAnsi="Times New Roman" w:cs="Times New Roman"/>
          <w:i/>
          <w:iCs/>
          <w:sz w:val="24"/>
          <w:szCs w:val="24"/>
        </w:rPr>
        <w:t>in rem</w:t>
      </w:r>
      <w:r w:rsidRPr="00BE407E">
        <w:rPr>
          <w:rFonts w:ascii="Times New Roman" w:eastAsia="Times New Roman" w:hAnsi="Times New Roman" w:cs="Times New Roman"/>
          <w:sz w:val="24"/>
          <w:szCs w:val="24"/>
        </w:rPr>
        <w:t xml:space="preserve"> claims for works of art. This amount will be credited against the final cap for the GSF.</w:t>
      </w:r>
      <w:r>
        <w:rPr>
          <w:rFonts w:ascii="Times New Roman" w:eastAsia="Times New Roman" w:hAnsi="Times New Roman" w:cs="Times New Roman"/>
          <w:noProof/>
          <w:sz w:val="24"/>
          <w:szCs w:val="24"/>
        </w:rPr>
        <w:drawing>
          <wp:inline distT="0" distB="0" distL="0" distR="0">
            <wp:extent cx="151130" cy="142875"/>
            <wp:effectExtent l="19050" t="0" r="1270" b="0"/>
            <wp:docPr id="2948" name="Imagen 29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Paragraph 2 of the 2001 Annex A to the Austrian-US Agreement concerning the Austrian General Settlement Fund provides:</w:t>
      </w:r>
      <w:r w:rsidRPr="00BE407E">
        <w:rPr>
          <w:rFonts w:ascii="Times New Roman" w:eastAsia="Times New Roman" w:hAnsi="Times New Roman" w:cs="Times New Roman"/>
          <w:sz w:val="24"/>
          <w:szCs w:val="24"/>
        </w:rPr>
        <w:br/>
        <w:t xml:space="preserve">Establishment of a General Settlement Fund: The Austrian Federal Government will propose the necessary legislation to the National Council by April 30, 2001 to establish a GSF. Austria will undertake its best efforts to ensure that this legislation is passed by June 30, 2001. The legislation will enter into force once all contributions have been made available. The GSF will be a voluntary fund that will provide </w:t>
      </w:r>
      <w:r w:rsidRPr="00BE407E">
        <w:rPr>
          <w:rFonts w:ascii="Times New Roman" w:eastAsia="Times New Roman" w:hAnsi="Times New Roman" w:cs="Times New Roman"/>
          <w:i/>
          <w:iCs/>
          <w:sz w:val="24"/>
          <w:szCs w:val="24"/>
        </w:rPr>
        <w:t>ex gratia</w:t>
      </w:r>
      <w:r w:rsidRPr="00BE407E">
        <w:rPr>
          <w:rFonts w:ascii="Times New Roman" w:eastAsia="Times New Roman" w:hAnsi="Times New Roman" w:cs="Times New Roman"/>
          <w:sz w:val="24"/>
          <w:szCs w:val="24"/>
        </w:rPr>
        <w:t xml:space="preserve"> payments to certain applicants. The GSF will include both a “claims-based” and an “equity-based” component. The GSF will be capped at US $210 million plus interest, at the Euribor rate, accruing to it beginning 30 days after all claims, pending as of June 30, 2001, against Austria and/or Austrian companies arising out of or related to the National Socialist era or World War II are dismissed with prejudice, and such interest shall continue to accrue on the funds available at any given time until the GSF has paid all approved claims. The US $210 million contribution by Austria and Austrian companies (including the Austrian insurance industry) + interest, under the terms described </w:t>
      </w:r>
      <w:r w:rsidRPr="00BE407E">
        <w:rPr>
          <w:rFonts w:ascii="Times New Roman" w:eastAsia="Times New Roman" w:hAnsi="Times New Roman" w:cs="Times New Roman"/>
          <w:i/>
          <w:iCs/>
          <w:sz w:val="24"/>
          <w:szCs w:val="24"/>
        </w:rPr>
        <w:t>supra</w:t>
      </w:r>
      <w:r w:rsidRPr="00BE407E">
        <w:rPr>
          <w:rFonts w:ascii="Times New Roman" w:eastAsia="Times New Roman" w:hAnsi="Times New Roman" w:cs="Times New Roman"/>
          <w:sz w:val="24"/>
          <w:szCs w:val="24"/>
        </w:rPr>
        <w:t xml:space="preserve">, will be in addition to the US $150 million referred to </w:t>
      </w:r>
      <w:r w:rsidRPr="00BE407E">
        <w:rPr>
          <w:rFonts w:ascii="Times New Roman" w:eastAsia="Times New Roman" w:hAnsi="Times New Roman" w:cs="Times New Roman"/>
          <w:i/>
          <w:iCs/>
          <w:sz w:val="24"/>
          <w:szCs w:val="24"/>
        </w:rPr>
        <w:t>supra</w:t>
      </w:r>
      <w:r w:rsidRPr="00BE407E">
        <w:rPr>
          <w:rFonts w:ascii="Times New Roman" w:eastAsia="Times New Roman" w:hAnsi="Times New Roman" w:cs="Times New Roman"/>
          <w:sz w:val="24"/>
          <w:szCs w:val="24"/>
        </w:rPr>
        <w:t xml:space="preserve"> in para. 1. The distribution of payments by the GSF will be based on decisions of the independent Claims Committee.</w:t>
      </w:r>
      <w:r>
        <w:rPr>
          <w:rFonts w:ascii="Times New Roman" w:eastAsia="Times New Roman" w:hAnsi="Times New Roman" w:cs="Times New Roman"/>
          <w:noProof/>
          <w:sz w:val="24"/>
          <w:szCs w:val="24"/>
        </w:rPr>
        <w:drawing>
          <wp:inline distT="0" distB="0" distL="0" distR="0">
            <wp:extent cx="151130" cy="142875"/>
            <wp:effectExtent l="19050" t="0" r="1270" b="0"/>
            <wp:docPr id="2949" name="Imagen 29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Protocol to the African Charter on Human and Peoples’ Rights on the Establishment of an African Court on Human and Peoples’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27(1) of the 2003 Protocol to the African Charter on Human and Peoples’ Rights on the Establishment of an African Court on Human and Peoples’ Rights provides: “If the Court finds that there has been violation of a human or peoples’ right, it shall make appropriate orders to remedy the violation, including the payment of fair compensation or reparation.”</w:t>
      </w:r>
      <w:r>
        <w:rPr>
          <w:rFonts w:ascii="Times New Roman" w:eastAsia="Times New Roman" w:hAnsi="Times New Roman" w:cs="Times New Roman"/>
          <w:noProof/>
          <w:sz w:val="24"/>
          <w:szCs w:val="24"/>
        </w:rPr>
        <w:drawing>
          <wp:inline distT="0" distB="0" distL="0" distR="0">
            <wp:extent cx="151130" cy="142875"/>
            <wp:effectExtent l="19050" t="0" r="1270" b="0"/>
            <wp:docPr id="2950" name="Imagen 29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8" w:history="1">
        <w:r w:rsidRPr="00BE407E">
          <w:rPr>
            <w:rFonts w:ascii="Times New Roman" w:eastAsia="Times New Roman" w:hAnsi="Times New Roman" w:cs="Times New Roman"/>
            <w:color w:val="0000FF"/>
            <w:sz w:val="24"/>
            <w:szCs w:val="24"/>
            <w:u w:val="single"/>
          </w:rPr>
          <w:t>II. Other Instruments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Hague Rules of Air Warfare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24(5) of the 1923 Hague Rules of Air Warfare requires a belligerent State “to pay compensation for injuries to person or to property caused by the violation by any of its officers or forces of the provisions of this article [on aerial bombardment]”.</w:t>
      </w:r>
      <w:r>
        <w:rPr>
          <w:rFonts w:ascii="Times New Roman" w:eastAsia="Times New Roman" w:hAnsi="Times New Roman" w:cs="Times New Roman"/>
          <w:noProof/>
          <w:sz w:val="24"/>
          <w:szCs w:val="24"/>
        </w:rPr>
        <w:drawing>
          <wp:inline distT="0" distB="0" distL="0" distR="0">
            <wp:extent cx="151130" cy="142875"/>
            <wp:effectExtent l="19050" t="0" r="1270" b="0"/>
            <wp:docPr id="2951" name="Imagen 29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ILA Draft Convention for the Protection of Civilian Populations against New Engines of War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29 of the 1938 ILA Draft Convention for the Protection of Civilian Populations against New Engines of War provides: “Any State committing a breach of this Convention is liable to pay compensation for all damage caused by such breach to a State injured thereby or any of its nationals.”</w:t>
      </w:r>
      <w:r>
        <w:rPr>
          <w:rFonts w:ascii="Times New Roman" w:eastAsia="Times New Roman" w:hAnsi="Times New Roman" w:cs="Times New Roman"/>
          <w:noProof/>
          <w:sz w:val="24"/>
          <w:szCs w:val="24"/>
        </w:rPr>
        <w:drawing>
          <wp:inline distT="0" distB="0" distL="0" distR="0">
            <wp:extent cx="151130" cy="142875"/>
            <wp:effectExtent l="19050" t="0" r="1270" b="0"/>
            <wp:docPr id="2952" name="Imagen 29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Luxembourg Agreement between Germany and the Conference on Jewish Material Claims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Protocol No. 1 of the 1952 Luxembourg Agreement between Germany and the Conference on Jewish Material Claims, concluded at a meeting between the representatives of the Federal Republic of Germany and the Conference on Jewish Material Claims at which “the extension of the legislation existing in the Federal Republic of Germany for the redress of National-Socialist wrongs” was discussed and at which the representatives of both parties “agreed on a number of principles for the improvement of the existing legislation as well as on other measures”, provides:</w:t>
      </w:r>
      <w:r w:rsidRPr="00BE407E">
        <w:rPr>
          <w:rFonts w:ascii="Times New Roman" w:eastAsia="Times New Roman" w:hAnsi="Times New Roman" w:cs="Times New Roman"/>
          <w:sz w:val="24"/>
          <w:szCs w:val="24"/>
        </w:rPr>
        <w:br/>
        <w:t xml:space="preserve">The Government of the Federal Republic of Germany declare that they will take as soon as possible all steps within their constitutional competence to ensure the carrying out of </w:t>
      </w:r>
      <w:r w:rsidRPr="00BE407E">
        <w:rPr>
          <w:rFonts w:ascii="Times New Roman" w:eastAsia="Times New Roman" w:hAnsi="Times New Roman" w:cs="Times New Roman"/>
          <w:sz w:val="24"/>
          <w:szCs w:val="24"/>
        </w:rPr>
        <w:lastRenderedPageBreak/>
        <w:t>the following programme:</w:t>
      </w:r>
      <w:r w:rsidRPr="00BE407E">
        <w:rPr>
          <w:rFonts w:ascii="Times New Roman" w:eastAsia="Times New Roman" w:hAnsi="Times New Roman" w:cs="Times New Roman"/>
          <w:sz w:val="24"/>
          <w:szCs w:val="24"/>
        </w:rPr>
        <w:br/>
        <w:t>I. Compensation</w:t>
      </w:r>
      <w:r w:rsidRPr="00BE407E">
        <w:rPr>
          <w:rFonts w:ascii="Times New Roman" w:eastAsia="Times New Roman" w:hAnsi="Times New Roman" w:cs="Times New Roman"/>
          <w:sz w:val="24"/>
          <w:szCs w:val="24"/>
        </w:rPr>
        <w:br/>
        <w:t>1. The Government of the Federal Republic of Germany is resolved to supplement and amend the existing compensation legislation by a Federal Supplementing and Coordinating Law (</w:t>
      </w:r>
      <w:r w:rsidRPr="00BE407E">
        <w:rPr>
          <w:rFonts w:ascii="Times New Roman" w:eastAsia="Times New Roman" w:hAnsi="Times New Roman" w:cs="Times New Roman"/>
          <w:i/>
          <w:iCs/>
          <w:sz w:val="24"/>
          <w:szCs w:val="24"/>
        </w:rPr>
        <w:t>Bundesergänzungs- und rahmengesetz</w:t>
      </w:r>
      <w:r w:rsidRPr="00BE407E">
        <w:rPr>
          <w:rFonts w:ascii="Times New Roman" w:eastAsia="Times New Roman" w:hAnsi="Times New Roman" w:cs="Times New Roman"/>
          <w:sz w:val="24"/>
          <w:szCs w:val="24"/>
        </w:rPr>
        <w:t>) so as to ensure that the legal position of the persecutees throughout the Federal territory be no less favourable than under the General Claims Law now in force in the US Zone.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 Where residence and date-line requirements are applicable under compensation legislation, compensation payments for the deprivation of liberty shall be granted to persons who emigrated before the date-line and had their last German domicile or residence within the Federal territory.</w:t>
      </w:r>
      <w:r w:rsidRPr="00BE407E">
        <w:rPr>
          <w:rFonts w:ascii="Times New Roman" w:eastAsia="Times New Roman" w:hAnsi="Times New Roman" w:cs="Times New Roman"/>
          <w:sz w:val="24"/>
          <w:szCs w:val="24"/>
        </w:rPr>
        <w:br/>
        <w:t>4. Persecutees who were subject to compulsory labour and lived under conditions similar to incarceration shall be treated as if they had been deprived of liberty by reason of persecution.</w:t>
      </w:r>
      <w:r w:rsidRPr="00BE407E">
        <w:rPr>
          <w:rFonts w:ascii="Times New Roman" w:eastAsia="Times New Roman" w:hAnsi="Times New Roman" w:cs="Times New Roman"/>
          <w:sz w:val="24"/>
          <w:szCs w:val="24"/>
        </w:rPr>
        <w:br/>
        <w:t>5. A persecutee who, within the boundaries of the German Reich as of December 31, 1937, lived “underground” under conditions similar to incarceration or unworthy of human beings shall be treated as if he had been deprived of liberty by reason of persecution, in the meaning of that term under compensation legislation.</w:t>
      </w:r>
      <w:r w:rsidRPr="00BE407E">
        <w:rPr>
          <w:rFonts w:ascii="Times New Roman" w:eastAsia="Times New Roman" w:hAnsi="Times New Roman" w:cs="Times New Roman"/>
          <w:sz w:val="24"/>
          <w:szCs w:val="24"/>
        </w:rPr>
        <w:br/>
        <w:t>6. Where a persecutee died after March 8, 1945, his heirs (children, spouse or parents) shall be entitled to assert his claim for compensation for deprivation of liberty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9. The Government of the Federal Republic of Germany will provide compensation to persons who suffered losses as officials or employees of Jewish communities or public institutions within the boundaries of the German Reich as of December 31, 1937.</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12. Persons who were persecuted because of their political convictions, race, faith or ideology and who settled in the Federal Republic or emigrated abroad from expulsion areas … shall receive compensation for deprivation of liberty and damage to health and limb … Compensation in accordance with Paragraph 1 shall also be paid to persecutees who emigrated abroad or settled in the Federal Republic during or after the time the general expulsion took place.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14. Persons who were persecuted for their political convictions, race, faith or ideology during the National-Socialist regime of terror and who are at present stateless or political refugees and who were deprived of liberty by National-Socialist terror acts shall receive appropriate compensation for deprivation of liberty and damage to health and limb.</w:t>
      </w:r>
      <w:r>
        <w:rPr>
          <w:rFonts w:ascii="Times New Roman" w:eastAsia="Times New Roman" w:hAnsi="Times New Roman" w:cs="Times New Roman"/>
          <w:noProof/>
          <w:sz w:val="24"/>
          <w:szCs w:val="24"/>
        </w:rPr>
        <w:drawing>
          <wp:inline distT="0" distB="0" distL="0" distR="0">
            <wp:extent cx="151130" cy="142875"/>
            <wp:effectExtent l="19050" t="0" r="1270" b="0"/>
            <wp:docPr id="2953" name="Imagen 29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Protocol No. 2 of the 1952 Luxembourg Agreement between Germany and the Conference on Jewish Material Claims provides:</w:t>
      </w:r>
      <w:r w:rsidRPr="00BE407E">
        <w:rPr>
          <w:rFonts w:ascii="Times New Roman" w:eastAsia="Times New Roman" w:hAnsi="Times New Roman" w:cs="Times New Roman"/>
          <w:sz w:val="24"/>
          <w:szCs w:val="24"/>
        </w:rPr>
        <w:br/>
        <w:t>Whereas the National-Socialist regime of terror confiscated vast amounts of property and other assets from Jews in Germany and in territories formerly under German rule;</w:t>
      </w:r>
      <w:r w:rsidRPr="00BE407E">
        <w:rPr>
          <w:rFonts w:ascii="Times New Roman" w:eastAsia="Times New Roman" w:hAnsi="Times New Roman" w:cs="Times New Roman"/>
          <w:sz w:val="24"/>
          <w:szCs w:val="24"/>
        </w:rPr>
        <w:br/>
        <w:t>And whereas part of the material losses suffered by the persecutees of National-Socialism is being made good by means of internal German legislation in the fields of restitution and indemnification and whereas an extension of this internal German legislation, in particular in the field of indemnification, is intended;</w:t>
      </w:r>
      <w:r w:rsidRPr="00BE407E">
        <w:rPr>
          <w:rFonts w:ascii="Times New Roman" w:eastAsia="Times New Roman" w:hAnsi="Times New Roman" w:cs="Times New Roman"/>
          <w:sz w:val="24"/>
          <w:szCs w:val="24"/>
        </w:rPr>
        <w:br/>
        <w:t>And whereas considerable values, such as those spoliated in the occupied territories, cannot be returned, and that indemnification for many economic losses which have been suffered cannot be made because, as a result of the policy of extermination pursued by National-Socialism, claimants are no longer in existence;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And whereas [a] considerable number of Jewish persecutees of National-Socialism are needy as a result of their persecution …</w:t>
      </w:r>
      <w:r w:rsidRPr="00BE407E">
        <w:rPr>
          <w:rFonts w:ascii="Times New Roman" w:eastAsia="Times New Roman" w:hAnsi="Times New Roman" w:cs="Times New Roman"/>
          <w:sz w:val="24"/>
          <w:szCs w:val="24"/>
        </w:rPr>
        <w:br/>
        <w:t>And having regard to [the 1952 Luxembourg Agreement between Germany and Israel] …</w:t>
      </w:r>
      <w:r w:rsidRPr="00BE407E">
        <w:rPr>
          <w:rFonts w:ascii="Times New Roman" w:eastAsia="Times New Roman" w:hAnsi="Times New Roman" w:cs="Times New Roman"/>
          <w:sz w:val="24"/>
          <w:szCs w:val="24"/>
        </w:rPr>
        <w:br/>
        <w:t>[Germany and the Conference on Jewish Material Claims] therefore … concluded the following Agreement:</w:t>
      </w:r>
      <w:r w:rsidRPr="00BE407E">
        <w:rPr>
          <w:rFonts w:ascii="Times New Roman" w:eastAsia="Times New Roman" w:hAnsi="Times New Roman" w:cs="Times New Roman"/>
          <w:sz w:val="24"/>
          <w:szCs w:val="24"/>
        </w:rPr>
        <w:br/>
        <w:t>Article 1</w:t>
      </w:r>
      <w:r w:rsidRPr="00BE407E">
        <w:rPr>
          <w:rFonts w:ascii="Times New Roman" w:eastAsia="Times New Roman" w:hAnsi="Times New Roman" w:cs="Times New Roman"/>
          <w:sz w:val="24"/>
          <w:szCs w:val="24"/>
        </w:rPr>
        <w:br/>
        <w:t>In view of the considerations hereinbefore recited the Government of the Federal Republic of Germany hereby undertakes the obligation towards the [Conference on Jewish Material Claims] to enter, in the Agreement with the State of Israel, into a contractual undertaking to pay the sum of 450 million Deutsche Mark to the State of Israel for the benefit of the [Conference on Jewish Material Claims].</w:t>
      </w:r>
      <w:r w:rsidRPr="00BE407E">
        <w:rPr>
          <w:rFonts w:ascii="Times New Roman" w:eastAsia="Times New Roman" w:hAnsi="Times New Roman" w:cs="Times New Roman"/>
          <w:sz w:val="24"/>
          <w:szCs w:val="24"/>
        </w:rPr>
        <w:br/>
        <w:t>Article 2</w:t>
      </w:r>
      <w:r w:rsidRPr="00BE407E">
        <w:rPr>
          <w:rFonts w:ascii="Times New Roman" w:eastAsia="Times New Roman" w:hAnsi="Times New Roman" w:cs="Times New Roman"/>
          <w:sz w:val="24"/>
          <w:szCs w:val="24"/>
        </w:rPr>
        <w:br/>
        <w:t>The Federal Republic of Germany will discharge their obligation undertaken for the benefit of the [Conference on Jewish Material Claims], in the [1952 Luxembourg Agreement between Germany and Israel], by payments made to the State of Israel … The amounts so paid and transmitted by the State of Israel to the [Conference on Jewish Material Claims] will be used for the relief, rehabilitation and resettlement of Jewish victims of National-Socialist persecution … Such amounts will, in principle, be used for the benefit of victims who at the time of the conclusion of the present Agreement were living outside Israel.</w:t>
      </w:r>
      <w:r>
        <w:rPr>
          <w:rFonts w:ascii="Times New Roman" w:eastAsia="Times New Roman" w:hAnsi="Times New Roman" w:cs="Times New Roman"/>
          <w:noProof/>
          <w:sz w:val="24"/>
          <w:szCs w:val="24"/>
        </w:rPr>
        <w:drawing>
          <wp:inline distT="0" distB="0" distL="0" distR="0">
            <wp:extent cx="151130" cy="142875"/>
            <wp:effectExtent l="19050" t="0" r="1270" b="0"/>
            <wp:docPr id="2954" name="Imagen 29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UN Declaration on Enforced Disappearance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19 of the 1992 UN Declaration on Enforced Disappearance provides:</w:t>
      </w:r>
      <w:r w:rsidRPr="00BE407E">
        <w:rPr>
          <w:rFonts w:ascii="Times New Roman" w:eastAsia="Times New Roman" w:hAnsi="Times New Roman" w:cs="Times New Roman"/>
          <w:sz w:val="24"/>
          <w:szCs w:val="24"/>
        </w:rPr>
        <w:br/>
        <w:t>The victims of acts of enforced disappearance and their family shall obtain redress and shall have the right to adequate compensation, including the means for as complete a rehabilitation as possible. In the event of the death of the victim as a result of an act of enforced disappearance, their dependants shall also be entitled to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55" name="Imagen 29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Comprehensive Agreement on Human Rights in Guatemala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VIII of the 1994 Comprehensive Agreement on Human Rights in Guatemala provides:</w:t>
      </w:r>
      <w:r w:rsidRPr="00BE407E">
        <w:rPr>
          <w:rFonts w:ascii="Times New Roman" w:eastAsia="Times New Roman" w:hAnsi="Times New Roman" w:cs="Times New Roman"/>
          <w:sz w:val="24"/>
          <w:szCs w:val="24"/>
        </w:rPr>
        <w:br/>
        <w:t>The Parties recognize that it is a humanitarian duty to compensate and/or assist victims of human rights violations. Said compensation and/or assistance shall be effected by means of government measures and programmes of a civilian and socio-economic nature addressed, as a matter of priority, to those whose need is greatest, given their economic and social position.</w:t>
      </w:r>
      <w:r>
        <w:rPr>
          <w:rFonts w:ascii="Times New Roman" w:eastAsia="Times New Roman" w:hAnsi="Times New Roman" w:cs="Times New Roman"/>
          <w:noProof/>
          <w:sz w:val="24"/>
          <w:szCs w:val="24"/>
        </w:rPr>
        <w:drawing>
          <wp:inline distT="0" distB="0" distL="0" distR="0">
            <wp:extent cx="151130" cy="142875"/>
            <wp:effectExtent l="19050" t="0" r="1270" b="0"/>
            <wp:docPr id="2956" name="Imagen 29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Comprehensive Agreement on Respect for Human Rights and IHL in the Philippines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2(3) of Part III of the 1998 Comprehensive Agreement on Respect for Human Rights and IHL in the Philippines states that the right of the victims and their families to seek justice for violations of human rights includes “adequate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57" name="Imagen 29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Basic Principles and Guidelines on the Right to a Remedy and Reparation for Victims of Violations of International Human Rights and Humanitarian Law (2000)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23 of the 2000 Basic Principles and Guidelines on the Right to a Remedy and Reparation for Victims of Violations of International Human Rights and Humanitarian Law provides:</w:t>
      </w:r>
      <w:r w:rsidRPr="00BE407E">
        <w:rPr>
          <w:rFonts w:ascii="Times New Roman" w:eastAsia="Times New Roman" w:hAnsi="Times New Roman" w:cs="Times New Roman"/>
          <w:sz w:val="24"/>
          <w:szCs w:val="24"/>
        </w:rPr>
        <w:br/>
        <w:t>Compensation should be provided for any economically assessable damage resulting from violations of international human rights and humanitarian law, such as: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Physical or mental harm, including pain, suffering and emotional distress;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Lost opportunities, including education;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Material damages and loss of earnings, including loss of earning potential;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Harm to reputation or dignity;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(e) Costs required for legal or expert assistance, medicines and medical services, and psychological and social services.</w:t>
      </w:r>
      <w:r>
        <w:rPr>
          <w:rFonts w:ascii="Times New Roman" w:eastAsia="Times New Roman" w:hAnsi="Times New Roman" w:cs="Times New Roman"/>
          <w:noProof/>
          <w:sz w:val="24"/>
          <w:szCs w:val="24"/>
        </w:rPr>
        <w:drawing>
          <wp:inline distT="0" distB="0" distL="0" distR="0">
            <wp:extent cx="151130" cy="142875"/>
            <wp:effectExtent l="19050" t="0" r="1270" b="0"/>
            <wp:docPr id="2958" name="Imagen 29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UNMIK Regulation No. 2000/60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Sections 2(2), (5) and (6) of UNMIK Regulation No. 2000/60 provide:</w:t>
      </w:r>
      <w:r w:rsidRPr="00BE407E">
        <w:rPr>
          <w:rFonts w:ascii="Times New Roman" w:eastAsia="Times New Roman" w:hAnsi="Times New Roman" w:cs="Times New Roman"/>
          <w:sz w:val="24"/>
          <w:szCs w:val="24"/>
        </w:rPr>
        <w:br/>
        <w:t>2.2 Any person whose property right was lost between 23 March 1989 and 24 March 1999 as a result of discrimination has a right to restitution in accordance with the present regulation. Restitution may take the form of restoration of the property right (hereafter “restitution in kind”) or compensation.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2.5 Any refugee or displaced person with a right to property has a right to return to the property, or to dispose of it in accordance with the law, subject to the present regulation.</w:t>
      </w:r>
      <w:r w:rsidRPr="00BE407E">
        <w:rPr>
          <w:rFonts w:ascii="Times New Roman" w:eastAsia="Times New Roman" w:hAnsi="Times New Roman" w:cs="Times New Roman"/>
          <w:sz w:val="24"/>
          <w:szCs w:val="24"/>
        </w:rPr>
        <w:br/>
        <w:t>2.6 Any person with a property right on 24 March 1999, who has lost possession of that property and has not voluntarily disposed of the property right, is entitled to an order from the Commission for repossession of the property. The Commission shall not receive claims for compensation for damage to or destruction of property.</w:t>
      </w:r>
      <w:r>
        <w:rPr>
          <w:rFonts w:ascii="Times New Roman" w:eastAsia="Times New Roman" w:hAnsi="Times New Roman" w:cs="Times New Roman"/>
          <w:noProof/>
          <w:sz w:val="24"/>
          <w:szCs w:val="24"/>
        </w:rPr>
        <w:drawing>
          <wp:inline distT="0" distB="0" distL="0" distR="0">
            <wp:extent cx="151130" cy="142875"/>
            <wp:effectExtent l="19050" t="0" r="1270" b="0"/>
            <wp:docPr id="2959" name="Imagen 29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ILC Draft Articles on State Responsibility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34 of the 2001 ILC Draft Articles on State Responsibility, dealing with “Forms of reparation”, provides: “Full reparation for the injury caused by the internationally wrongful act shall take the form of restitution, compensation and satisfaction, either singly or in combination, in accordance with the provisions of this Chapter.”</w:t>
      </w:r>
      <w:r>
        <w:rPr>
          <w:rFonts w:ascii="Times New Roman" w:eastAsia="Times New Roman" w:hAnsi="Times New Roman" w:cs="Times New Roman"/>
          <w:noProof/>
          <w:sz w:val="24"/>
          <w:szCs w:val="24"/>
        </w:rPr>
        <w:drawing>
          <wp:inline distT="0" distB="0" distL="0" distR="0">
            <wp:extent cx="151130" cy="142875"/>
            <wp:effectExtent l="19050" t="0" r="1270" b="0"/>
            <wp:docPr id="2960" name="Imagen 29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36 of the 2001 ILC Draft Articles on State Responsibility, dealing with compensation as a form of reparation, provides:</w:t>
      </w:r>
      <w:r w:rsidRPr="00BE407E">
        <w:rPr>
          <w:rFonts w:ascii="Times New Roman" w:eastAsia="Times New Roman" w:hAnsi="Times New Roman" w:cs="Times New Roman"/>
          <w:sz w:val="24"/>
          <w:szCs w:val="24"/>
        </w:rPr>
        <w:br/>
        <w:t>1. The State responsible for an internationally wrongful act is under an obligation to compensate for the damage caused thereby, insofar as such damage is not made good by restitution.</w:t>
      </w:r>
      <w:r w:rsidRPr="00BE407E">
        <w:rPr>
          <w:rFonts w:ascii="Times New Roman" w:eastAsia="Times New Roman" w:hAnsi="Times New Roman" w:cs="Times New Roman"/>
          <w:sz w:val="24"/>
          <w:szCs w:val="24"/>
        </w:rPr>
        <w:br/>
        <w:t>2. The compensation shall cover any financially assessable damage including loss of profits insofar as it is established.</w:t>
      </w:r>
      <w:r>
        <w:rPr>
          <w:rFonts w:ascii="Times New Roman" w:eastAsia="Times New Roman" w:hAnsi="Times New Roman" w:cs="Times New Roman"/>
          <w:noProof/>
          <w:sz w:val="24"/>
          <w:szCs w:val="24"/>
        </w:rPr>
        <w:drawing>
          <wp:inline distT="0" distB="0" distL="0" distR="0">
            <wp:extent cx="151130" cy="142875"/>
            <wp:effectExtent l="19050" t="0" r="1270" b="0"/>
            <wp:docPr id="2961" name="Imagen 29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Linas-Marcoussis Agreement between the political forces of Côte d’Ivoire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2003 Linas-Marcoussis Agreement between the political forces of Côte d’Ivoire provides:</w:t>
      </w:r>
      <w:r w:rsidRPr="00BE407E">
        <w:rPr>
          <w:rFonts w:ascii="Times New Roman" w:eastAsia="Times New Roman" w:hAnsi="Times New Roman" w:cs="Times New Roman"/>
          <w:sz w:val="24"/>
          <w:szCs w:val="24"/>
        </w:rPr>
        <w:br/>
        <w:t>The government of national reconciliation shall commit itself to facilitating humanitarian operations in favour of all the victims of the conflict throughout the national territory.</w:t>
      </w:r>
      <w:r w:rsidRPr="00BE407E">
        <w:rPr>
          <w:rFonts w:ascii="Times New Roman" w:eastAsia="Times New Roman" w:hAnsi="Times New Roman" w:cs="Times New Roman"/>
          <w:sz w:val="24"/>
          <w:szCs w:val="24"/>
        </w:rPr>
        <w:br/>
        <w:t>On the basis of the report of the national human rights commission, it will take measures to indemnify and rehabilitate the victims.</w:t>
      </w:r>
      <w:r>
        <w:rPr>
          <w:rFonts w:ascii="Times New Roman" w:eastAsia="Times New Roman" w:hAnsi="Times New Roman" w:cs="Times New Roman"/>
          <w:noProof/>
          <w:sz w:val="24"/>
          <w:szCs w:val="24"/>
        </w:rPr>
        <w:drawing>
          <wp:inline distT="0" distB="0" distL="0" distR="0">
            <wp:extent cx="151130" cy="142875"/>
            <wp:effectExtent l="19050" t="0" r="1270" b="0"/>
            <wp:docPr id="2962" name="Imagen 29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Basic Principles and Guidelines on the Right to a Remedy and Reparation for Victims of Gross Violations of International Human Rights Law and Serious Violations of IHL (2005)</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Paragraph 20 of the 2005 Basic Principles and Guidelines on the Right to a Remedy and Reparation for Victims of Gross Violations of International Human Rights Law and Serious Violations of International Humanitarian Law states: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Compensation </w:t>
      </w:r>
      <w:r w:rsidRPr="00BE407E">
        <w:rPr>
          <w:rFonts w:ascii="Times New Roman" w:eastAsia="Times New Roman" w:hAnsi="Times New Roman" w:cs="Times New Roman"/>
          <w:sz w:val="24"/>
          <w:szCs w:val="24"/>
        </w:rPr>
        <w:t>should be provided for any economically assessable damage, as appropriate and proportional to the gravity of the violation and the circumstances of each case, resulting from gross violations of international human rights law and serious violations of international humanitarian law, such as: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Physical or mental harm;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Lost opportunities, including employment, education and social benefits;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Material damages and loss of earnings, including loss of earning potential;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d</w:t>
      </w:r>
      <w:r w:rsidRPr="00BE407E">
        <w:rPr>
          <w:rFonts w:ascii="Times New Roman" w:eastAsia="Times New Roman" w:hAnsi="Times New Roman" w:cs="Times New Roman"/>
          <w:sz w:val="24"/>
          <w:szCs w:val="24"/>
        </w:rPr>
        <w:t>) Moral damage;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w:t>
      </w:r>
      <w:r w:rsidRPr="00BE407E">
        <w:rPr>
          <w:rFonts w:ascii="Times New Roman" w:eastAsia="Times New Roman" w:hAnsi="Times New Roman" w:cs="Times New Roman"/>
          <w:i/>
          <w:iCs/>
          <w:sz w:val="24"/>
          <w:szCs w:val="24"/>
        </w:rPr>
        <w:t>e</w:t>
      </w:r>
      <w:r w:rsidRPr="00BE407E">
        <w:rPr>
          <w:rFonts w:ascii="Times New Roman" w:eastAsia="Times New Roman" w:hAnsi="Times New Roman" w:cs="Times New Roman"/>
          <w:sz w:val="24"/>
          <w:szCs w:val="24"/>
        </w:rPr>
        <w:t>) Costs required for legal or expert assistance, medicine and medical services, and psychological and social services.</w:t>
      </w:r>
      <w:r>
        <w:rPr>
          <w:rFonts w:ascii="Times New Roman" w:eastAsia="Times New Roman" w:hAnsi="Times New Roman" w:cs="Times New Roman"/>
          <w:noProof/>
          <w:sz w:val="24"/>
          <w:szCs w:val="24"/>
        </w:rPr>
        <w:drawing>
          <wp:inline distT="0" distB="0" distL="0" distR="0">
            <wp:extent cx="151130" cy="142875"/>
            <wp:effectExtent l="19050" t="0" r="1270" b="0"/>
            <wp:docPr id="2963" name="Imagen 29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99" w:history="1">
        <w:r w:rsidRPr="00BE407E">
          <w:rPr>
            <w:rFonts w:ascii="Times New Roman" w:eastAsia="Times New Roman" w:hAnsi="Times New Roman" w:cs="Times New Roman"/>
            <w:color w:val="0000FF"/>
            <w:sz w:val="24"/>
            <w:szCs w:val="24"/>
            <w:u w:val="single"/>
          </w:rPr>
          <w:t>III. Military Manuals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Argentina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Argentina’s Law of War Manual (1969), in a provision dealing with the violation of the terms of an armistice by an individual, refers to Article 41 of the 1907 Hague Regulations and provides: </w:t>
      </w:r>
      <w:r w:rsidRPr="00BE407E">
        <w:rPr>
          <w:rFonts w:ascii="Times New Roman" w:eastAsia="Times New Roman" w:hAnsi="Times New Roman" w:cs="Times New Roman"/>
          <w:sz w:val="24"/>
          <w:szCs w:val="24"/>
        </w:rPr>
        <w:br/>
        <w:t>The violation of the terms of the armistice by private persons acting on their own initiative only entitles [the injured party] to demand the punishment of the offenders or, if necessary, compensation for the damages sustained.</w:t>
      </w:r>
      <w:r>
        <w:rPr>
          <w:rFonts w:ascii="Times New Roman" w:eastAsia="Times New Roman" w:hAnsi="Times New Roman" w:cs="Times New Roman"/>
          <w:noProof/>
          <w:sz w:val="24"/>
          <w:szCs w:val="24"/>
        </w:rPr>
        <w:drawing>
          <wp:inline distT="0" distB="0" distL="0" distR="0">
            <wp:extent cx="151130" cy="142875"/>
            <wp:effectExtent l="19050" t="0" r="1270" b="0"/>
            <wp:docPr id="2964" name="Imagen 29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Argentina’s Law of War Manual (1989), referring to Article 91 of the 1977 Additional Protocol I, provides: “The party which violates the [1949 Geneva] Conventions or [the 1977 Additional] Protocol I shall, if the case demands,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65" name="Imagen 29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Canada’s LOAC Manual (1999) states that the means of securing observance of the law of armed conflict “include protest and demand for compensation by a belligerent or neutral power”.</w:t>
      </w:r>
      <w:r>
        <w:rPr>
          <w:rFonts w:ascii="Times New Roman" w:eastAsia="Times New Roman" w:hAnsi="Times New Roman" w:cs="Times New Roman"/>
          <w:noProof/>
          <w:sz w:val="24"/>
          <w:szCs w:val="24"/>
        </w:rPr>
        <w:drawing>
          <wp:inline distT="0" distB="0" distL="0" distR="0">
            <wp:extent cx="151130" cy="142875"/>
            <wp:effectExtent l="19050" t="0" r="1270" b="0"/>
            <wp:docPr id="2966" name="Imagen 29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Canada’s LOAC Manual (2001) states in its chapter on the treatment of prisoners of war (PWs):</w:t>
      </w:r>
      <w:r w:rsidRPr="00BE407E">
        <w:rPr>
          <w:rFonts w:ascii="Times New Roman" w:eastAsia="Times New Roman" w:hAnsi="Times New Roman" w:cs="Times New Roman"/>
          <w:sz w:val="24"/>
          <w:szCs w:val="24"/>
        </w:rPr>
        <w:br/>
        <w:t>The responsibility for the treatment of PWs rests upon the Detaining Power. Failure to properly care for PWs may make that power liable to pay compensation, while the individuals responsible for such ill-treatment or for allowing it to occur, are liable to be tried as war criminals.</w:t>
      </w:r>
      <w:r>
        <w:rPr>
          <w:rFonts w:ascii="Times New Roman" w:eastAsia="Times New Roman" w:hAnsi="Times New Roman" w:cs="Times New Roman"/>
          <w:noProof/>
          <w:sz w:val="24"/>
          <w:szCs w:val="24"/>
        </w:rPr>
        <w:drawing>
          <wp:inline distT="0" distB="0" distL="0" distR="0">
            <wp:extent cx="151130" cy="142875"/>
            <wp:effectExtent l="19050" t="0" r="1270" b="0"/>
            <wp:docPr id="2967" name="Imagen 29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1502. General</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2. Once hostilities have commenced, the means of securing observance of LOAC are limited … [They] include protest and demand for compensation by a belligerent or neutral power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1506. State responsibility</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 Parties to the conflict are responsible for all acts committed by persons forming part of its armed forces. [A] state which violates the LOAC shall, if the case demands,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68" name="Imagen 29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Canada’s Code of Conduct After Capture Manual (2004) states: “responsibility for the treatment of PWs [prisoners of war] rests upon the detaining power. Failure to care for PWs properly may make that power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69" name="Imagen 29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Colombia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Colombia’s Basic Military Manual (1995), after mentioning the possibility of taking political, economic and legal sanctions against a State whose agents or civil servants have committed violations of international law, provides: “For the States and their governments, the sanctions entail high costs which represent compensations”. After discussing the responsibility of individual members of the armed forces who have committed violations of international law, the manual states: “Furthermore, apart from the individual sanctions, the nation can be sentenced, by its highest tribunals, to compensate for the damages and prejudices caused to individuals by arbitrary and illegal conduct of its authorities.”</w:t>
      </w:r>
      <w:r>
        <w:rPr>
          <w:rFonts w:ascii="Times New Roman" w:eastAsia="Times New Roman" w:hAnsi="Times New Roman" w:cs="Times New Roman"/>
          <w:noProof/>
          <w:sz w:val="24"/>
          <w:szCs w:val="24"/>
        </w:rPr>
        <w:drawing>
          <wp:inline distT="0" distB="0" distL="0" distR="0">
            <wp:extent cx="151130" cy="142875"/>
            <wp:effectExtent l="19050" t="0" r="1270" b="0"/>
            <wp:docPr id="2970" name="Imagen 29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Côte d’Ivoire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Côte d’Ivoire’s Teaching Manual (2007) provides in Book III, Volume 2 (Instruction of second-year trainee officers):</w:t>
      </w:r>
      <w:r w:rsidRPr="00BE407E">
        <w:rPr>
          <w:rFonts w:ascii="Times New Roman" w:eastAsia="Times New Roman" w:hAnsi="Times New Roman" w:cs="Times New Roman"/>
          <w:sz w:val="24"/>
          <w:szCs w:val="24"/>
        </w:rPr>
        <w:br/>
        <w:t xml:space="preserve">III.1. </w:t>
      </w:r>
      <w:r w:rsidRPr="00BE407E">
        <w:rPr>
          <w:rFonts w:ascii="Times New Roman" w:eastAsia="Times New Roman" w:hAnsi="Times New Roman" w:cs="Times New Roman"/>
          <w:i/>
          <w:iCs/>
          <w:sz w:val="24"/>
          <w:szCs w:val="24"/>
        </w:rPr>
        <w:t>Collective responsibility</w:t>
      </w:r>
      <w:r w:rsidRPr="00BE407E">
        <w:rPr>
          <w:rFonts w:ascii="Times New Roman" w:eastAsia="Times New Roman" w:hAnsi="Times New Roman" w:cs="Times New Roman"/>
          <w:sz w:val="24"/>
          <w:szCs w:val="24"/>
        </w:rPr>
        <w:br/>
        <w:t>Collective responsibility of a belligerent party for a violation of the law of armed conflicts [LOAC] takes several forms.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third type of collective responsibility lies in the financial responsibility of States for damages caused by their illegal acts. In 1907, this form of responsibility of the State was formally included in Hague Convention (IV) respecting the Laws and Customs of War on Land. According to Article 3, a belligerent party which has committed a violation of the provisions of the Regulations “shall, if the case demands, be liable to pay compensation”. The article specifies further that that party “shall be responsible for all acts committed by persons forming part of its armed forces”.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practice, it is rare that the financial responsibility of the State in case of breaches of the Law of Armed Conflicts has important effects. At the most, a peace treaty can impose on the vanquished party the obligation to pay a global sum to the victor, in reparation of financial losses the latter has suffered due to the war.</w:t>
      </w:r>
      <w:r w:rsidRPr="00BE407E">
        <w:rPr>
          <w:rFonts w:ascii="Times New Roman" w:eastAsia="Times New Roman" w:hAnsi="Times New Roman" w:cs="Times New Roman"/>
          <w:sz w:val="24"/>
          <w:szCs w:val="24"/>
        </w:rPr>
        <w:br/>
        <w:t>The main interest of the diverse modalities relating to the responsibility of the State probably lies in their dissuasive effect. The fact that every violation of the law of armed conflicts engages the responsibility of the State can prompt the authorities to respect the provisions of the LOAC.</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III.4. </w:t>
      </w:r>
      <w:r w:rsidRPr="00BE407E">
        <w:rPr>
          <w:rFonts w:ascii="Times New Roman" w:eastAsia="Times New Roman" w:hAnsi="Times New Roman" w:cs="Times New Roman"/>
          <w:i/>
          <w:iCs/>
          <w:sz w:val="24"/>
          <w:szCs w:val="24"/>
        </w:rPr>
        <w:t>Mechanisms to engage the responsibility of the State</w:t>
      </w:r>
      <w:r w:rsidRPr="00BE407E">
        <w:rPr>
          <w:rFonts w:ascii="Times New Roman" w:eastAsia="Times New Roman" w:hAnsi="Times New Roman" w:cs="Times New Roman"/>
          <w:sz w:val="24"/>
          <w:szCs w:val="24"/>
        </w:rPr>
        <w:br/>
        <w:t>… A party to a conflict which violates the provisions of the law of armed conflicts can, if necessary, be called upon to pay compensation.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Breaches of international humanitarian law by members of the armed forces engage the international responsibility of the State concerned. Consequently, a State will have to answer for the consequences of every act contrary to the law committed by every soldier vis-à-vis the State that suffered the breach. It must restore the situation and, if need be, is bound to indemnify the State which has suffered the breach.</w:t>
      </w:r>
      <w:r>
        <w:rPr>
          <w:rFonts w:ascii="Times New Roman" w:eastAsia="Times New Roman" w:hAnsi="Times New Roman" w:cs="Times New Roman"/>
          <w:noProof/>
          <w:sz w:val="24"/>
          <w:szCs w:val="24"/>
        </w:rPr>
        <w:drawing>
          <wp:inline distT="0" distB="0" distL="0" distR="0">
            <wp:extent cx="151130" cy="142875"/>
            <wp:effectExtent l="19050" t="0" r="1270" b="0"/>
            <wp:docPr id="2971" name="Imagen 29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Ecuador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Ecuador’s Naval Manual (1989), under a provision entitled “Observance of the law of armed conflict”, states: “In the event of a clearly established violation of the law of armed conflict, the aggrieved nation may: … 2. Protest to the offending nation and demand that those responsible be punished and/or that compensation be paid.”</w:t>
      </w:r>
      <w:r>
        <w:rPr>
          <w:rFonts w:ascii="Times New Roman" w:eastAsia="Times New Roman" w:hAnsi="Times New Roman" w:cs="Times New Roman"/>
          <w:noProof/>
          <w:sz w:val="24"/>
          <w:szCs w:val="24"/>
        </w:rPr>
        <w:drawing>
          <wp:inline distT="0" distB="0" distL="0" distR="0">
            <wp:extent cx="151130" cy="142875"/>
            <wp:effectExtent l="19050" t="0" r="1270" b="0"/>
            <wp:docPr id="2972" name="Imagen 29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Germany’s Military Manual (1992), referring to Article 91 of the 1977 Additional Protocol I and Article 3 of the 1907 Hague Convention (IV), provides: “A party to a conflict which does not comply with the provisions of international humanitarian law shall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73" name="Imagen 29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Netherlands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Military Manual (1993) of the Netherlands, under a provision stating the responsibility of States for violations of IHL committed by members of their armed forces, refers to Article 91 of the 1977 Additional Protocol I and provides that “a party to a conflict may be obliged to pay compensation” for violations of IHL.</w:t>
      </w:r>
      <w:r>
        <w:rPr>
          <w:rFonts w:ascii="Times New Roman" w:eastAsia="Times New Roman" w:hAnsi="Times New Roman" w:cs="Times New Roman"/>
          <w:noProof/>
          <w:sz w:val="24"/>
          <w:szCs w:val="24"/>
        </w:rPr>
        <w:drawing>
          <wp:inline distT="0" distB="0" distL="0" distR="0">
            <wp:extent cx="151130" cy="142875"/>
            <wp:effectExtent l="19050" t="0" r="1270" b="0"/>
            <wp:docPr id="2974" name="Imagen 29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Military Manual (2005) of the Netherlands states: “If a prisoner of war is not properly treated, the captive may claim payment of compensation from the detaining power.”</w:t>
      </w:r>
      <w:r>
        <w:rPr>
          <w:rFonts w:ascii="Times New Roman" w:eastAsia="Times New Roman" w:hAnsi="Times New Roman" w:cs="Times New Roman"/>
          <w:noProof/>
          <w:sz w:val="24"/>
          <w:szCs w:val="24"/>
        </w:rPr>
        <w:drawing>
          <wp:inline distT="0" distB="0" distL="0" distR="0">
            <wp:extent cx="151130" cy="142875"/>
            <wp:effectExtent l="19050" t="0" r="1270" b="0"/>
            <wp:docPr id="2975" name="Imagen 29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A party to a conflict which breaches the provisions of the Geneva Conventions or AP I [1977 Additional Protocol I] is bound to pay compensation. It is liable for all actions carried out by persons belonging to its armed forces. In principle, this liability applies to those who perpetrated the damage and to any other parties to the conflict. When it violates the conditions of the humanitarian law of war, a party to a conflict may be required to pay compensation. Holding parties liable in this way contributes to compliance with the requirements of the humanitarian law of war.</w:t>
      </w:r>
      <w:r>
        <w:rPr>
          <w:rFonts w:ascii="Times New Roman" w:eastAsia="Times New Roman" w:hAnsi="Times New Roman" w:cs="Times New Roman"/>
          <w:noProof/>
          <w:sz w:val="24"/>
          <w:szCs w:val="24"/>
        </w:rPr>
        <w:drawing>
          <wp:inline distT="0" distB="0" distL="0" distR="0">
            <wp:extent cx="151130" cy="142875"/>
            <wp:effectExtent l="19050" t="0" r="1270" b="0"/>
            <wp:docPr id="2976" name="Imagen 29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New Zealand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New Zealand’s Military Manual (1992) states: “The only remedy against a State for breaches of the law of armed conflict committed by its authority or by its personnel is by way of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77" name="Imagen 29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Nigeria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Nigeria’s Manual on the Laws of War provides: “If the State contravenes the rules of the laws of War, it has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78" name="Imagen 29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IHL Manual (2004) states: “The belligerent State is bound to pay compensation for damage caused to persons or property [through violations of IHL].”</w:t>
      </w:r>
      <w:r>
        <w:rPr>
          <w:rFonts w:ascii="Times New Roman" w:eastAsia="Times New Roman" w:hAnsi="Times New Roman" w:cs="Times New Roman"/>
          <w:noProof/>
          <w:sz w:val="24"/>
          <w:szCs w:val="24"/>
        </w:rPr>
        <w:drawing>
          <wp:inline distT="0" distB="0" distL="0" distR="0">
            <wp:extent cx="151130" cy="142875"/>
            <wp:effectExtent l="19050" t="0" r="1270" b="0"/>
            <wp:docPr id="2979" name="Imagen 29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IHL and Human Rights Manual (2010) states: “The belligerent State is bound to pay compensation for damage caused to persons or property [through violations of IHL].”</w:t>
      </w:r>
      <w:r>
        <w:rPr>
          <w:rFonts w:ascii="Times New Roman" w:eastAsia="Times New Roman" w:hAnsi="Times New Roman" w:cs="Times New Roman"/>
          <w:noProof/>
          <w:sz w:val="24"/>
          <w:szCs w:val="24"/>
        </w:rPr>
        <w:drawing>
          <wp:inline distT="0" distB="0" distL="0" distR="0">
            <wp:extent cx="151130" cy="142875"/>
            <wp:effectExtent l="19050" t="0" r="1270" b="0"/>
            <wp:docPr id="2980" name="Imagen 29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Republic of Korea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Republic of Korea’s Military Law Manual (1996) provides that any party injured by a violation of IHL by the enemy can ask for remedies.</w:t>
      </w:r>
      <w:r>
        <w:rPr>
          <w:rFonts w:ascii="Times New Roman" w:eastAsia="Times New Roman" w:hAnsi="Times New Roman" w:cs="Times New Roman"/>
          <w:noProof/>
          <w:sz w:val="24"/>
          <w:szCs w:val="24"/>
        </w:rPr>
        <w:drawing>
          <wp:inline distT="0" distB="0" distL="0" distR="0">
            <wp:extent cx="151130" cy="142875"/>
            <wp:effectExtent l="19050" t="0" r="1270" b="0"/>
            <wp:docPr id="2981" name="Imagen 29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Spain’s LOAC Manual (1996), in a chapter dealing with the consequences of “incorrect behaviour” of members of the armed forces, notes:</w:t>
      </w:r>
      <w:r w:rsidRPr="00BE407E">
        <w:rPr>
          <w:rFonts w:ascii="Times New Roman" w:eastAsia="Times New Roman" w:hAnsi="Times New Roman" w:cs="Times New Roman"/>
          <w:sz w:val="24"/>
          <w:szCs w:val="24"/>
        </w:rPr>
        <w:br/>
        <w:t>In the event of non-compliance with the rules [of the LOAC], the State is liable insofar as it has the obligation to pay compensation in accordance with any resolutions condemning the acts in question or to adopt any other measures agreed on by the international community.</w:t>
      </w:r>
      <w:r>
        <w:rPr>
          <w:rFonts w:ascii="Times New Roman" w:eastAsia="Times New Roman" w:hAnsi="Times New Roman" w:cs="Times New Roman"/>
          <w:noProof/>
          <w:sz w:val="24"/>
          <w:szCs w:val="24"/>
        </w:rPr>
        <w:drawing>
          <wp:inline distT="0" distB="0" distL="0" distR="0">
            <wp:extent cx="151130" cy="142875"/>
            <wp:effectExtent l="19050" t="0" r="1270" b="0"/>
            <wp:docPr id="2982" name="Imagen 29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Spain’s LOAC Manual (2007), in a section dealing with the consequences of misconduct in combat by its armed forces, states:</w:t>
      </w:r>
      <w:r w:rsidRPr="00BE407E">
        <w:rPr>
          <w:rFonts w:ascii="Times New Roman" w:eastAsia="Times New Roman" w:hAnsi="Times New Roman" w:cs="Times New Roman"/>
          <w:sz w:val="24"/>
          <w:szCs w:val="24"/>
        </w:rPr>
        <w:br/>
        <w:t>In the event of failure to comply with the established rules [of the LOAC], the State is liable to pay any compensation awarded and adopt any measures agreed by the international community. States are therefore responsible for all criminal acts committed by their armed forces.</w:t>
      </w:r>
      <w:r>
        <w:rPr>
          <w:rFonts w:ascii="Times New Roman" w:eastAsia="Times New Roman" w:hAnsi="Times New Roman" w:cs="Times New Roman"/>
          <w:noProof/>
          <w:sz w:val="24"/>
          <w:szCs w:val="24"/>
        </w:rPr>
        <w:drawing>
          <wp:inline distT="0" distB="0" distL="0" distR="0">
            <wp:extent cx="151130" cy="142875"/>
            <wp:effectExtent l="19050" t="0" r="1270" b="0"/>
            <wp:docPr id="2983" name="Imagen 29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When a State that is party to a conflict violates the provisions of the Conventions, it is liable, if the case demands, to pay compensation. The State is responsible for all acts committed by persons forming part of its armed forces and is therefore liable to pay any compensation awarded for violations committed by such persons.</w:t>
      </w:r>
      <w:r>
        <w:rPr>
          <w:rFonts w:ascii="Times New Roman" w:eastAsia="Times New Roman" w:hAnsi="Times New Roman" w:cs="Times New Roman"/>
          <w:noProof/>
          <w:sz w:val="24"/>
          <w:szCs w:val="24"/>
        </w:rPr>
        <w:drawing>
          <wp:inline distT="0" distB="0" distL="0" distR="0">
            <wp:extent cx="151130" cy="142875"/>
            <wp:effectExtent l="19050" t="0" r="1270" b="0"/>
            <wp:docPr id="2984" name="Imagen 29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State and international organizations can commit unlawful acts. They are not, however, held criminally responsible, but are liable to pay compensation. Whether individuals accused of war crimes are successfully prosecuted or not (by international or national courts) does not affect the responsibility of the State, which is liable to pay compensation in the form of reparation. Any party to a conflict that violates treaty-law provisions relating to armed conflict is liable to pay compensation and is responsible for all acts committed by the persons forming part of their armed forces. The proper channels for enforcing this responsibility are diplomatic protests or international legal proceedings.</w:t>
      </w:r>
      <w:r>
        <w:rPr>
          <w:rFonts w:ascii="Times New Roman" w:eastAsia="Times New Roman" w:hAnsi="Times New Roman" w:cs="Times New Roman"/>
          <w:noProof/>
          <w:sz w:val="24"/>
          <w:szCs w:val="24"/>
        </w:rPr>
        <w:drawing>
          <wp:inline distT="0" distB="0" distL="0" distR="0">
            <wp:extent cx="151130" cy="142875"/>
            <wp:effectExtent l="19050" t="0" r="1270" b="0"/>
            <wp:docPr id="2985" name="Imagen 29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Switzerland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Switzerland’s Basic Military Manual (1987) provides: “The belligerent State that is the victim of violations of the [1949 Geneva] Conventions can take the following measures: … if need be it can demand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86" name="Imagen 29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Kingdom of Great Britain and Northern Ireland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UK Military Manual (1958), in a chapter dealing with “Means of securing legitimate warfare”, quotes Article 3 of the 1907 Hague Convention (IV). In addition to other means of securing legitimate warfare, the manual lists “compensation” and refers to Article 3 of the 1907 Hague Convention (IV).</w:t>
      </w:r>
      <w:r>
        <w:rPr>
          <w:rFonts w:ascii="Times New Roman" w:eastAsia="Times New Roman" w:hAnsi="Times New Roman" w:cs="Times New Roman"/>
          <w:noProof/>
          <w:sz w:val="24"/>
          <w:szCs w:val="24"/>
        </w:rPr>
        <w:drawing>
          <wp:inline distT="0" distB="0" distL="0" distR="0">
            <wp:extent cx="151130" cy="142875"/>
            <wp:effectExtent l="19050" t="0" r="1270" b="0"/>
            <wp:docPr id="2987" name="Imagen 29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UK LOAC Manual (2004) states:</w:t>
      </w:r>
      <w:r w:rsidRPr="00BE407E">
        <w:rPr>
          <w:rFonts w:ascii="Times New Roman" w:eastAsia="Times New Roman" w:hAnsi="Times New Roman" w:cs="Times New Roman"/>
          <w:sz w:val="24"/>
          <w:szCs w:val="24"/>
        </w:rPr>
        <w:br/>
        <w:t>Enforcement of the law of armed conflict can involve a wide variety of measures. “Enforcement” is taken here to mean action to ensure observance of the law and also action that may be taken following alleged or actual violations. Action aimed at effective enforcement of the law can include, but is not limited to: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 Demands for compensation in respect of violations.</w:t>
      </w:r>
      <w:r>
        <w:rPr>
          <w:rFonts w:ascii="Times New Roman" w:eastAsia="Times New Roman" w:hAnsi="Times New Roman" w:cs="Times New Roman"/>
          <w:noProof/>
          <w:sz w:val="24"/>
          <w:szCs w:val="24"/>
        </w:rPr>
        <w:drawing>
          <wp:inline distT="0" distB="0" distL="0" distR="0">
            <wp:extent cx="151130" cy="142875"/>
            <wp:effectExtent l="19050" t="0" r="1270" b="0"/>
            <wp:docPr id="2988" name="Imagen 29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It is a principle of international law that a state responsible for an internationally wrongful act is obliged to make full reparation for the injury caused by that act. This principle extends to the law of armed conflict in that a state is responsible for violations of the law committed by persons forming part of its armed forces and, if the case demands, is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2989" name="Imagen 29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US Field Manual (1956), quoting Article 3 of the 1907 Hague Convention (IV), states:</w:t>
      </w:r>
      <w:r w:rsidRPr="00BE407E">
        <w:rPr>
          <w:rFonts w:ascii="Times New Roman" w:eastAsia="Times New Roman" w:hAnsi="Times New Roman" w:cs="Times New Roman"/>
          <w:sz w:val="24"/>
          <w:szCs w:val="24"/>
        </w:rPr>
        <w:br/>
        <w:t>In the event of violation of the law of war, the injured party may legally resort to remedial action of the following types: … Protest or demand for compensation … Such communications may be sent through the protecting power, a humanitarian organization performing the duties of a protecting power, or a neutral state, or by parlementaire direct to the commander of the offending forces.</w:t>
      </w:r>
      <w:r>
        <w:rPr>
          <w:rFonts w:ascii="Times New Roman" w:eastAsia="Times New Roman" w:hAnsi="Times New Roman" w:cs="Times New Roman"/>
          <w:noProof/>
          <w:sz w:val="24"/>
          <w:szCs w:val="24"/>
        </w:rPr>
        <w:drawing>
          <wp:inline distT="0" distB="0" distL="0" distR="0">
            <wp:extent cx="151130" cy="142875"/>
            <wp:effectExtent l="19050" t="0" r="1270" b="0"/>
            <wp:docPr id="2990" name="Imagen 29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US Air Force Pamphlet (1976), quoting Article 3 of the 1907 Hague Convention (IV) and Article 29 of the 1949 Geneva Convention I and Article 12 of the 1949 Geneva Convention III, states:</w:t>
      </w:r>
      <w:r w:rsidRPr="00BE407E">
        <w:rPr>
          <w:rFonts w:ascii="Times New Roman" w:eastAsia="Times New Roman" w:hAnsi="Times New Roman" w:cs="Times New Roman"/>
          <w:sz w:val="24"/>
          <w:szCs w:val="24"/>
        </w:rPr>
        <w:br/>
        <w:t>Under international law, states which violate their obligations are responsible, in appropriate cases, for payment of monetary damages to compensate states for injuries suffered. This principle applies to law of armed conflict violations. State responsibility to compensate victims of violations is an important feature in enforcement measures. Claims for compensation are frequently combined with protests about violations … Thus, the violater state’s obligation to compensate for violations of the Hague Regulations applies regardless of whether the acts constituting violations were authorized by competent authorities of the violator state … However, as a general rule, in the absence of some cause for the fault such as inadequate supervision or training, no obligation for compensation arises on the part of the state for other violations of the law of armed conflict committed by individual members outside of their general area of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2991" name="Imagen 29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The US Naval Handbook (1995), under a provision dealing with “Enforcement of the law of armed conflict”, states: “In the event </w:t>
      </w:r>
      <w:r w:rsidRPr="00BE407E">
        <w:rPr>
          <w:rFonts w:ascii="Times New Roman" w:eastAsia="Times New Roman" w:hAnsi="Times New Roman" w:cs="Times New Roman"/>
          <w:i/>
          <w:iCs/>
          <w:sz w:val="24"/>
          <w:szCs w:val="24"/>
        </w:rPr>
        <w:t>of a clearly established violation</w:t>
      </w:r>
      <w:r w:rsidRPr="00BE407E">
        <w:rPr>
          <w:rFonts w:ascii="Times New Roman" w:eastAsia="Times New Roman" w:hAnsi="Times New Roman" w:cs="Times New Roman"/>
          <w:sz w:val="24"/>
          <w:szCs w:val="24"/>
        </w:rPr>
        <w:t xml:space="preserve"> of the law of armed conflict, the aggrieved nation may: … 2. Protest to the offending nation and demand that those responsible be punished and/or that compensation be paid.”</w:t>
      </w:r>
      <w:r>
        <w:rPr>
          <w:rFonts w:ascii="Times New Roman" w:eastAsia="Times New Roman" w:hAnsi="Times New Roman" w:cs="Times New Roman"/>
          <w:noProof/>
          <w:sz w:val="24"/>
          <w:szCs w:val="24"/>
        </w:rPr>
        <w:drawing>
          <wp:inline distT="0" distB="0" distL="0" distR="0">
            <wp:extent cx="151130" cy="142875"/>
            <wp:effectExtent l="19050" t="0" r="1270" b="0"/>
            <wp:docPr id="2992" name="Imagen 29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r w:rsidRPr="00BE407E">
        <w:rPr>
          <w:rFonts w:ascii="Times New Roman" w:eastAsia="Times New Roman" w:hAnsi="Times New Roman" w:cs="Times New Roman"/>
          <w:sz w:val="24"/>
          <w:szCs w:val="24"/>
        </w:rPr>
        <w:br/>
        <w:t xml:space="preserve">The Annotated Supplement to the US Naval Handbook (1997), which contains a list of cases of demands for compensation involving US forces, states: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It is now generally established that the principle laid down in art. 3 [of the 1907 Hague Convention (IV)] is applicable to the violation of any rule regulating the conduct of hostilities and not merely to violations of the [1907] Hague Regulations.</w:t>
      </w:r>
      <w:r>
        <w:rPr>
          <w:rFonts w:ascii="Times New Roman" w:eastAsia="Times New Roman" w:hAnsi="Times New Roman" w:cs="Times New Roman"/>
          <w:noProof/>
          <w:sz w:val="24"/>
          <w:szCs w:val="24"/>
        </w:rPr>
        <w:drawing>
          <wp:inline distT="0" distB="0" distL="0" distR="0">
            <wp:extent cx="151130" cy="142875"/>
            <wp:effectExtent l="19050" t="0" r="1270" b="0"/>
            <wp:docPr id="2993" name="Imagen 29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US Naval Handbook (2007), under a provision dealing with “Enforcement of the law of armed conflict”, states: “In the event </w:t>
      </w:r>
      <w:r w:rsidRPr="00BE407E">
        <w:rPr>
          <w:rFonts w:ascii="Times New Roman" w:eastAsia="Times New Roman" w:hAnsi="Times New Roman" w:cs="Times New Roman"/>
          <w:i/>
          <w:iCs/>
          <w:sz w:val="24"/>
          <w:szCs w:val="24"/>
        </w:rPr>
        <w:t xml:space="preserve">of a clearly established violation </w:t>
      </w:r>
      <w:r w:rsidRPr="00BE407E">
        <w:rPr>
          <w:rFonts w:ascii="Times New Roman" w:eastAsia="Times New Roman" w:hAnsi="Times New Roman" w:cs="Times New Roman"/>
          <w:sz w:val="24"/>
          <w:szCs w:val="24"/>
        </w:rPr>
        <w:t>of the law of armed conflict, the aggrieved nation may: … 2. Protest to the offending nation and demand that those responsible be punished and/or that compensation be paid.”</w:t>
      </w:r>
      <w:r>
        <w:rPr>
          <w:rFonts w:ascii="Times New Roman" w:eastAsia="Times New Roman" w:hAnsi="Times New Roman" w:cs="Times New Roman"/>
          <w:noProof/>
          <w:sz w:val="24"/>
          <w:szCs w:val="24"/>
        </w:rPr>
        <w:drawing>
          <wp:inline distT="0" distB="0" distL="0" distR="0">
            <wp:extent cx="151130" cy="142875"/>
            <wp:effectExtent l="19050" t="0" r="1270" b="0"/>
            <wp:docPr id="2994" name="Imagen 29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0" w:history="1">
        <w:r w:rsidRPr="00BE407E">
          <w:rPr>
            <w:rFonts w:ascii="Times New Roman" w:eastAsia="Times New Roman" w:hAnsi="Times New Roman" w:cs="Times New Roman"/>
            <w:color w:val="0000FF"/>
            <w:sz w:val="24"/>
            <w:szCs w:val="24"/>
            <w:u w:val="single"/>
          </w:rPr>
          <w:t>IV. National Legislation</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Argentina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Argentina’s Law on Compensation for Political Prisoners (1991) provides:</w:t>
      </w:r>
      <w:r w:rsidRPr="00BE407E">
        <w:rPr>
          <w:rFonts w:ascii="Times New Roman" w:eastAsia="Times New Roman" w:hAnsi="Times New Roman" w:cs="Times New Roman"/>
          <w:sz w:val="24"/>
          <w:szCs w:val="24"/>
        </w:rPr>
        <w:br/>
        <w:t>Article 1 – Persons who, during a state of siege, were put at the disposal of the national executive power, by decree thereof, or civilians who were detained on the basis of orders issued by a military court – whether or not they have undertaken legal proceedings for damage or prejudice suffered – come within the purview of this law, provided they have not already received compensation in accordance with a prior legal ruling concerning the events in question.</w:t>
      </w:r>
      <w:r w:rsidRPr="00BE407E">
        <w:rPr>
          <w:rFonts w:ascii="Times New Roman" w:eastAsia="Times New Roman" w:hAnsi="Times New Roman" w:cs="Times New Roman"/>
          <w:sz w:val="24"/>
          <w:szCs w:val="24"/>
        </w:rPr>
        <w:br/>
        <w:t>Article 2 – In order to come within the purview of this law, the above-mentioned persons must fulfil one of the following conditions: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They must have been put at the disposal of the national executive power prior to 10 December 1983.</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In the case of civilians, they must have been deprived of their freedom on the basis of orders issued by a military court, regardless of whether or not they were convicted by that court.</w:t>
      </w:r>
      <w:r>
        <w:rPr>
          <w:rFonts w:ascii="Times New Roman" w:eastAsia="Times New Roman" w:hAnsi="Times New Roman" w:cs="Times New Roman"/>
          <w:noProof/>
          <w:sz w:val="24"/>
          <w:szCs w:val="24"/>
        </w:rPr>
        <w:drawing>
          <wp:inline distT="0" distB="0" distL="0" distR="0">
            <wp:extent cx="151130" cy="142875"/>
            <wp:effectExtent l="19050" t="0" r="1270" b="0"/>
            <wp:docPr id="2995" name="Imagen 29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Argentina’s Law on Compensation for Enforced Disappearances (1994) provides:</w:t>
      </w:r>
      <w:r w:rsidRPr="00BE407E">
        <w:rPr>
          <w:rFonts w:ascii="Times New Roman" w:eastAsia="Times New Roman" w:hAnsi="Times New Roman" w:cs="Times New Roman"/>
          <w:sz w:val="24"/>
          <w:szCs w:val="24"/>
        </w:rPr>
        <w:br/>
        <w:t>Article 1 – Persons who, at the time of the enactment of this law, are the victims of enforced disappearance, shall be entitled to receive, by proxy, special damages equal to the monthly salary of a level-A civil servant (coefficient 100), as provided by Decree No. 993/91.</w:t>
      </w:r>
      <w:r>
        <w:rPr>
          <w:rFonts w:ascii="Times New Roman" w:eastAsia="Times New Roman" w:hAnsi="Times New Roman" w:cs="Times New Roman"/>
          <w:noProof/>
          <w:sz w:val="24"/>
          <w:szCs w:val="24"/>
        </w:rPr>
        <w:drawing>
          <wp:inline distT="0" distB="0" distL="0" distR="0">
            <wp:extent cx="151130" cy="142875"/>
            <wp:effectExtent l="19050" t="0" r="1270" b="0"/>
            <wp:docPr id="2996" name="Imagen 29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1995, by its National Fund Law (1995), Austria established a national fund “for the provision of benefits to the victims of National Socialism”.</w:t>
      </w:r>
      <w:r>
        <w:rPr>
          <w:rFonts w:ascii="Times New Roman" w:eastAsia="Times New Roman" w:hAnsi="Times New Roman" w:cs="Times New Roman"/>
          <w:noProof/>
          <w:sz w:val="24"/>
          <w:szCs w:val="24"/>
        </w:rPr>
        <w:drawing>
          <wp:inline distT="0" distB="0" distL="0" distR="0">
            <wp:extent cx="151130" cy="142875"/>
            <wp:effectExtent l="19050" t="0" r="1270" b="0"/>
            <wp:docPr id="2997" name="Imagen 29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The Fund shall render benefits to persons</w:t>
      </w:r>
      <w:r w:rsidRPr="00BE407E">
        <w:rPr>
          <w:rFonts w:ascii="Times New Roman" w:eastAsia="Times New Roman" w:hAnsi="Times New Roman" w:cs="Times New Roman"/>
          <w:sz w:val="24"/>
          <w:szCs w:val="24"/>
        </w:rPr>
        <w:br/>
        <w:t>(1) who were persecuted by the National Socialist regime for political reasons, for reasons of birth, religion, nationality, sexual orientation, because of physical or mental disability or on the basis of accusations of allegedly antisocial attitudes, or who in other ways fell victim to typically National Socialist injustice or left the country to escape such persecution,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(4) The Fund shall render one-time-only or recurrent financial benefits.</w:t>
      </w:r>
      <w:r>
        <w:rPr>
          <w:rFonts w:ascii="Times New Roman" w:eastAsia="Times New Roman" w:hAnsi="Times New Roman" w:cs="Times New Roman"/>
          <w:noProof/>
          <w:sz w:val="24"/>
          <w:szCs w:val="24"/>
        </w:rPr>
        <w:drawing>
          <wp:inline distT="0" distB="0" distL="0" distR="0">
            <wp:extent cx="151130" cy="142875"/>
            <wp:effectExtent l="19050" t="0" r="1270" b="0"/>
            <wp:docPr id="2998" name="Imagen 29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(1) Without prejudice to [previous contributions], the Federal Government shall contribute to the Fund an amount the total of which shall correspond to the equivalent in Schillings as of 24 October 2000 of 150 million US Dollars and be allocated [to the Fund]. This amount shall be accounted for by the Fund in a special account for benefits paid under Paragraph 2.</w:t>
      </w:r>
      <w:r w:rsidRPr="00BE407E">
        <w:rPr>
          <w:rFonts w:ascii="Times New Roman" w:eastAsia="Times New Roman" w:hAnsi="Times New Roman" w:cs="Times New Roman"/>
          <w:sz w:val="24"/>
          <w:szCs w:val="24"/>
        </w:rPr>
        <w:br/>
        <w:t>(2) This amount shall be used for benefits to be paid to victims of National Socialism … as a final compensation for the following categories of losses of property: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apartment and small business leases;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household property;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c) personal valuables and effects.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present Federal Law shall be without prejudice to the </w:t>
      </w:r>
      <w:r w:rsidRPr="00BE407E">
        <w:rPr>
          <w:rFonts w:ascii="Times New Roman" w:eastAsia="Times New Roman" w:hAnsi="Times New Roman" w:cs="Times New Roman"/>
          <w:i/>
          <w:iCs/>
          <w:sz w:val="24"/>
          <w:szCs w:val="24"/>
        </w:rPr>
        <w:t>in rem</w:t>
      </w:r>
      <w:r w:rsidRPr="00BE407E">
        <w:rPr>
          <w:rFonts w:ascii="Times New Roman" w:eastAsia="Times New Roman" w:hAnsi="Times New Roman" w:cs="Times New Roman"/>
          <w:sz w:val="24"/>
          <w:szCs w:val="24"/>
        </w:rPr>
        <w:t xml:space="preserve"> return of works of art according to statutory provisions.</w:t>
      </w:r>
      <w:r w:rsidRPr="00BE407E">
        <w:rPr>
          <w:rFonts w:ascii="Times New Roman" w:eastAsia="Times New Roman" w:hAnsi="Times New Roman" w:cs="Times New Roman"/>
          <w:sz w:val="24"/>
          <w:szCs w:val="24"/>
        </w:rPr>
        <w:br/>
        <w:t>(3) Persons … who were persecuted by the National Socialist regime on political grounds, on grounds of origin, religion, nationality, sexual orientation, or of physical or mental handicap, or who left the country to escape such persecution, and who themselves, or whose parents, suffered a loss of property in one of the categories mentioned in Paragraph 2 as a result of, or in connection with, events in the territory of the present-day Republic of Austria between 13 March 1938 and 9 May 1945 shall be entitled to such benefits. There is no legal right to benefits by the Fund.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(6) The amount mentioned in Paragraph 1 shall be distributed in equal parts among those entitled to benefits.</w:t>
      </w:r>
      <w:r>
        <w:rPr>
          <w:rFonts w:ascii="Times New Roman" w:eastAsia="Times New Roman" w:hAnsi="Times New Roman" w:cs="Times New Roman"/>
          <w:noProof/>
          <w:sz w:val="24"/>
          <w:szCs w:val="24"/>
        </w:rPr>
        <w:drawing>
          <wp:inline distT="0" distB="0" distL="0" distR="0">
            <wp:extent cx="151130" cy="142875"/>
            <wp:effectExtent l="19050" t="0" r="1270" b="0"/>
            <wp:docPr id="2999" name="Imagen 29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2000, Austria adopted the Reconciliation Fund Law (2000), as amended in 2001, establishing a national fund, the goal of which was </w:t>
      </w:r>
      <w:r w:rsidRPr="00BE407E">
        <w:rPr>
          <w:rFonts w:ascii="Times New Roman" w:eastAsia="Times New Roman" w:hAnsi="Times New Roman" w:cs="Times New Roman"/>
          <w:sz w:val="24"/>
          <w:szCs w:val="24"/>
        </w:rPr>
        <w:br/>
        <w:t>to make a contribution toward reconciliation, peace, and cooperation through a voluntary gesture of the Republic of Austria to natural persons who were coerced into slave labor or forced labor by the National Socialist regime on the territory of the present day Republic of Austria.</w:t>
      </w:r>
      <w:r>
        <w:rPr>
          <w:rFonts w:ascii="Times New Roman" w:eastAsia="Times New Roman" w:hAnsi="Times New Roman" w:cs="Times New Roman"/>
          <w:noProof/>
          <w:sz w:val="24"/>
          <w:szCs w:val="24"/>
        </w:rPr>
        <w:drawing>
          <wp:inline distT="0" distB="0" distL="0" distR="0">
            <wp:extent cx="151130" cy="142875"/>
            <wp:effectExtent l="19050" t="0" r="1270" b="0"/>
            <wp:docPr id="3000" name="Imagen 30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1. 105,000 Austrian schillings to [slave labourers].</w:t>
      </w:r>
      <w:r w:rsidRPr="00BE407E">
        <w:rPr>
          <w:rFonts w:ascii="Times New Roman" w:eastAsia="Times New Roman" w:hAnsi="Times New Roman" w:cs="Times New Roman"/>
          <w:sz w:val="24"/>
          <w:szCs w:val="24"/>
        </w:rPr>
        <w:br/>
        <w:t>2. 35,000 Austrian schillings to [forced labourers] who had to perform forced labor in industry, business, construction, power companies and other commercial enterprises, public institutions, rail transportation or postal service.</w:t>
      </w:r>
      <w:r w:rsidRPr="00BE407E">
        <w:rPr>
          <w:rFonts w:ascii="Times New Roman" w:eastAsia="Times New Roman" w:hAnsi="Times New Roman" w:cs="Times New Roman"/>
          <w:sz w:val="24"/>
          <w:szCs w:val="24"/>
        </w:rPr>
        <w:br/>
        <w:t>3. 20,000 Austrian schillings to [forced labourers] who had to do forced labor exclusively in agriculture or forestry or in the form of personal services (housekeeping, hotel work, etc).</w:t>
      </w:r>
      <w:r w:rsidRPr="00BE407E">
        <w:rPr>
          <w:rFonts w:ascii="Times New Roman" w:eastAsia="Times New Roman" w:hAnsi="Times New Roman" w:cs="Times New Roman"/>
          <w:sz w:val="24"/>
          <w:szCs w:val="24"/>
        </w:rPr>
        <w:br/>
        <w:t>4. Children and minors [who were transported under the age of 12 with one or both parents into the territory of the present day Republic of Austria or who were born here during the mother’s period of forced labor] are to receive the amount to which the parent is entitled or would be entitled …</w:t>
      </w:r>
      <w:r w:rsidRPr="00BE407E">
        <w:rPr>
          <w:rFonts w:ascii="Times New Roman" w:eastAsia="Times New Roman" w:hAnsi="Times New Roman" w:cs="Times New Roman"/>
          <w:sz w:val="24"/>
          <w:szCs w:val="24"/>
        </w:rPr>
        <w:br/>
        <w:t>5. A supplementary payment of 5,000 Austrian schillings may be made to women who during their time as forced labourers gave birth to children in maternity facilities for eastern workers or who were forced to undergo abortions.</w:t>
      </w:r>
      <w:r>
        <w:rPr>
          <w:rFonts w:ascii="Times New Roman" w:eastAsia="Times New Roman" w:hAnsi="Times New Roman" w:cs="Times New Roman"/>
          <w:noProof/>
          <w:sz w:val="24"/>
          <w:szCs w:val="24"/>
        </w:rPr>
        <w:drawing>
          <wp:inline distT="0" distB="0" distL="0" distR="0">
            <wp:extent cx="151130" cy="142875"/>
            <wp:effectExtent l="19050" t="0" r="1270" b="0"/>
            <wp:docPr id="3001" name="Imagen 30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Payment of an award is made under the condition that the recipient make a declaration that with the receipt of an award under this federal law he renounces irrevocably any claim for slave labor or forced labor against the Republic of Austria or against Austrian business.</w:t>
      </w:r>
      <w:r>
        <w:rPr>
          <w:rFonts w:ascii="Times New Roman" w:eastAsia="Times New Roman" w:hAnsi="Times New Roman" w:cs="Times New Roman"/>
          <w:noProof/>
          <w:sz w:val="24"/>
          <w:szCs w:val="24"/>
        </w:rPr>
        <w:drawing>
          <wp:inline distT="0" distB="0" distL="0" distR="0">
            <wp:extent cx="151130" cy="142875"/>
            <wp:effectExtent l="19050" t="0" r="1270" b="0"/>
            <wp:docPr id="3002" name="Imagen 30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In 2001, Austria adopted the General Settlement Fund Law by which it established the General Settlement Fund, the purpose of which was “to comprehensively resolve open questions of compensation of victims of National Socialism for losses and damages as a result of or in connection with events having occurred on the territory of the present-day Republic of Austria during the National Socialist era”. The Law provides:</w:t>
      </w:r>
      <w:r w:rsidRPr="00BE407E">
        <w:rPr>
          <w:rFonts w:ascii="Times New Roman" w:eastAsia="Times New Roman" w:hAnsi="Times New Roman" w:cs="Times New Roman"/>
          <w:sz w:val="24"/>
          <w:szCs w:val="24"/>
        </w:rPr>
        <w:br/>
        <w:t>The Fund’s purpose shall be to acknowledge, through voluntary payments, the moral responsibility for losses and damages inflicted upon Jewish citizens and other victims of National Socialism as a result of or in connection with the National Socialist Regime. The return of works of art shall be governed by the special legislation presently in force.</w:t>
      </w:r>
      <w:r>
        <w:rPr>
          <w:rFonts w:ascii="Times New Roman" w:eastAsia="Times New Roman" w:hAnsi="Times New Roman" w:cs="Times New Roman"/>
          <w:noProof/>
          <w:sz w:val="24"/>
          <w:szCs w:val="24"/>
        </w:rPr>
        <w:drawing>
          <wp:inline distT="0" distB="0" distL="0" distR="0">
            <wp:extent cx="151130" cy="142875"/>
            <wp:effectExtent l="19050" t="0" r="1270" b="0"/>
            <wp:docPr id="3003" name="Imagen 30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To carry out its tasks, the Fund shall be endowed with an amount of 210 million US Dollars. This amount shall be made available, at the latest, 30 days after all claims in the United States pending as of June 30, 2001 against Austria or Austrian companies arising </w:t>
      </w:r>
      <w:r w:rsidRPr="00BE407E">
        <w:rPr>
          <w:rFonts w:ascii="Times New Roman" w:eastAsia="Times New Roman" w:hAnsi="Times New Roman" w:cs="Times New Roman"/>
          <w:sz w:val="24"/>
          <w:szCs w:val="24"/>
        </w:rPr>
        <w:lastRenderedPageBreak/>
        <w:t xml:space="preserve">out or related to the National Socialist era or World War II have been dismissed. Excepted therefrom are claims covered by the Reconciliation Fund … claims for the return of works of art, as well as claims </w:t>
      </w:r>
      <w:r w:rsidRPr="00BE407E">
        <w:rPr>
          <w:rFonts w:ascii="Times New Roman" w:eastAsia="Times New Roman" w:hAnsi="Times New Roman" w:cs="Times New Roman"/>
          <w:i/>
          <w:iCs/>
          <w:sz w:val="24"/>
          <w:szCs w:val="24"/>
        </w:rPr>
        <w:t>in rem</w:t>
      </w:r>
      <w:r w:rsidRPr="00BE407E">
        <w:rPr>
          <w:rFonts w:ascii="Times New Roman" w:eastAsia="Times New Roman" w:hAnsi="Times New Roman" w:cs="Times New Roman"/>
          <w:sz w:val="24"/>
          <w:szCs w:val="24"/>
        </w:rPr>
        <w:t xml:space="preserve"> restitution against provinces or municipalities.</w:t>
      </w:r>
      <w:r>
        <w:rPr>
          <w:rFonts w:ascii="Times New Roman" w:eastAsia="Times New Roman" w:hAnsi="Times New Roman" w:cs="Times New Roman"/>
          <w:noProof/>
          <w:sz w:val="24"/>
          <w:szCs w:val="24"/>
        </w:rPr>
        <w:drawing>
          <wp:inline distT="0" distB="0" distL="0" distR="0">
            <wp:extent cx="151130" cy="142875"/>
            <wp:effectExtent l="19050" t="0" r="1270" b="0"/>
            <wp:docPr id="3004" name="Imagen 30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(1) Persons (under the claims-based process also associations), who/which were persecuted by the National Socialist regime on political grounds or origin, religion, nationality, sexual orientation, or of physical or mental handicap or of accusations of so-called asociality, or who left the country to escape such persecution, and who suffered losses or damages as a result of or in connection with events having occurred on the territory of the present-day Republic of Austria during the National Socialist era shall be eligible to file an application.</w:t>
      </w:r>
      <w:r w:rsidRPr="00BE407E">
        <w:rPr>
          <w:rFonts w:ascii="Times New Roman" w:eastAsia="Times New Roman" w:hAnsi="Times New Roman" w:cs="Times New Roman"/>
          <w:sz w:val="24"/>
          <w:szCs w:val="24"/>
        </w:rPr>
        <w:br/>
        <w:t>(2) In addition … heirs of eligible claimants as defined in Paragraph 1 shall also be eligible to file an application. In case of a defunct association, an association which the Claims Committee regards as the legal successor shall be entitled to file an application as well.</w:t>
      </w:r>
      <w:r>
        <w:rPr>
          <w:rFonts w:ascii="Times New Roman" w:eastAsia="Times New Roman" w:hAnsi="Times New Roman" w:cs="Times New Roman"/>
          <w:noProof/>
          <w:sz w:val="24"/>
          <w:szCs w:val="24"/>
        </w:rPr>
        <w:drawing>
          <wp:inline distT="0" distB="0" distL="0" distR="0">
            <wp:extent cx="151130" cy="142875"/>
            <wp:effectExtent l="19050" t="0" r="1270" b="0"/>
            <wp:docPr id="3005" name="Imagen 30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payments shall be awarded as a final compensation for losses and damages as a result of or in connection with events having occurred on the territory of the present-day Republic of Austria during the National Socialist era. There shall be no legal right to these payments.</w:t>
      </w:r>
      <w:r>
        <w:rPr>
          <w:rFonts w:ascii="Times New Roman" w:eastAsia="Times New Roman" w:hAnsi="Times New Roman" w:cs="Times New Roman"/>
          <w:noProof/>
          <w:sz w:val="24"/>
          <w:szCs w:val="24"/>
        </w:rPr>
        <w:drawing>
          <wp:inline distT="0" distB="0" distL="0" distR="0">
            <wp:extent cx="151130" cy="142875"/>
            <wp:effectExtent l="19050" t="0" r="1270" b="0"/>
            <wp:docPr id="3006" name="Imagen 30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Canada’s Crimes against Humanity and War Crimes Act (2000) provides:</w:t>
      </w:r>
      <w:r w:rsidRPr="00BE407E">
        <w:rPr>
          <w:rFonts w:ascii="Times New Roman" w:eastAsia="Times New Roman" w:hAnsi="Times New Roman" w:cs="Times New Roman"/>
          <w:sz w:val="24"/>
          <w:szCs w:val="24"/>
        </w:rPr>
        <w:br/>
        <w:t>There is hereby established a fund, to be known as the Crimes Against Humanity Fund, into which shall be paid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all money obtained through enforcement in Canada of orders of the International Criminal Court for reparation or forfeiture or orders of that Court imposing a fine;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all money obtained in accordance with section 31;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any money otherwise received as a donation to the Crimes Against Humanity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Attorney General of Canada may make payments out of the Crimes Against Humanity Fund, with or without a deduction for costs, to the International Criminal Court, the Trust Fund established under article 79 of the Rome Statute, victims of offences under this Act or of offences within the jurisdiction of the International Criminal Court, and to the families of those victims, or otherwise as the Attorney General of Canada sees fit.</w:t>
      </w:r>
      <w:r>
        <w:rPr>
          <w:rFonts w:ascii="Times New Roman" w:eastAsia="Times New Roman" w:hAnsi="Times New Roman" w:cs="Times New Roman"/>
          <w:noProof/>
          <w:sz w:val="24"/>
          <w:szCs w:val="24"/>
        </w:rPr>
        <w:drawing>
          <wp:inline distT="0" distB="0" distL="0" distR="0">
            <wp:extent cx="151130" cy="142875"/>
            <wp:effectExtent l="19050" t="0" r="1270" b="0"/>
            <wp:docPr id="3007" name="Imagen 30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Minister of Public Works and Government Services shall pay into the Crimes Against Humanity Fund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 net proceeds received from the disposition of any property referred to in subsections 4(1) to (3) of the Seized Property Management Act that is forfeited to Her Majesty and disposed of by that Minister, if the property was derived as the result of the commission of an offence under this Act;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amounts paid or recovered as a fine imposed under subsection 462.37(3) of the Criminal Code in relation to proceedings for an offence under this Act.</w:t>
      </w:r>
      <w:r>
        <w:rPr>
          <w:rFonts w:ascii="Times New Roman" w:eastAsia="Times New Roman" w:hAnsi="Times New Roman" w:cs="Times New Roman"/>
          <w:noProof/>
          <w:sz w:val="24"/>
          <w:szCs w:val="24"/>
        </w:rPr>
        <w:drawing>
          <wp:inline distT="0" distB="0" distL="0" distR="0">
            <wp:extent cx="151130" cy="142875"/>
            <wp:effectExtent l="19050" t="0" r="1270" b="0"/>
            <wp:docPr id="3008" name="Imagen 30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Canada’s Crimes against Humanity and War Crimes Act (2000) was amended by an Act assented to on 18 December 2001, to provide:</w:t>
      </w:r>
      <w:r w:rsidRPr="00BE407E">
        <w:rPr>
          <w:rFonts w:ascii="Times New Roman" w:eastAsia="Times New Roman" w:hAnsi="Times New Roman" w:cs="Times New Roman"/>
          <w:sz w:val="24"/>
          <w:szCs w:val="24"/>
        </w:rPr>
        <w:br/>
        <w:t xml:space="preserve">30. (1) There is hereby established a fund, to be known as the Crimes Against Humanity Fund, into which shall be paid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all money obtained through enforcement in Canada of orders of the International Criminal Court for reparation or forfeiture or orders of that Court imposing a fine;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all money obtained in accordance with section 31;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xml:space="preserve">) any money otherwise received as a donation to the Crimes Against Humanity Fund.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Payment out of Fund</w:t>
      </w:r>
      <w:r w:rsidRPr="00BE407E">
        <w:rPr>
          <w:rFonts w:ascii="Times New Roman" w:eastAsia="Times New Roman" w:hAnsi="Times New Roman" w:cs="Times New Roman"/>
          <w:sz w:val="24"/>
          <w:szCs w:val="24"/>
        </w:rPr>
        <w:br/>
        <w:t xml:space="preserve">(2) The Attorney General of Canada may make payments out of the Crimes Against Humanity Fund, with or without a deduction for costs, to the International Criminal Court, the Trust Fund established under article 79 of the Rome Statute, victims of offences under this Act or of offences within the jurisdiction of the International Criminal Court, and to the families of those victims, or otherwise as the Attorney General of Canada sees fit. </w:t>
      </w:r>
      <w:r w:rsidRPr="00BE407E">
        <w:rPr>
          <w:rFonts w:ascii="Times New Roman" w:eastAsia="Times New Roman" w:hAnsi="Times New Roman" w:cs="Times New Roman"/>
          <w:sz w:val="24"/>
          <w:szCs w:val="24"/>
        </w:rPr>
        <w:br/>
        <w:t xml:space="preserve">… </w:t>
      </w:r>
      <w:r w:rsidRPr="00BE407E">
        <w:rPr>
          <w:rFonts w:ascii="Times New Roman" w:eastAsia="Times New Roman" w:hAnsi="Times New Roman" w:cs="Times New Roman"/>
          <w:sz w:val="24"/>
          <w:szCs w:val="24"/>
        </w:rPr>
        <w:br/>
        <w:t>Credits to Fund</w:t>
      </w:r>
      <w:r w:rsidRPr="00BE407E">
        <w:rPr>
          <w:rFonts w:ascii="Times New Roman" w:eastAsia="Times New Roman" w:hAnsi="Times New Roman" w:cs="Times New Roman"/>
          <w:sz w:val="24"/>
          <w:szCs w:val="24"/>
        </w:rPr>
        <w:br/>
        <w:t xml:space="preserve">31. The Minister of Public Works and Government Services shall pay into the Crimes Against Humanity Fund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the net amount received from the disposition of any property referred to in subsections 4(1) to (3) of the </w:t>
      </w:r>
      <w:r w:rsidRPr="00BE407E">
        <w:rPr>
          <w:rFonts w:ascii="Times New Roman" w:eastAsia="Times New Roman" w:hAnsi="Times New Roman" w:cs="Times New Roman"/>
          <w:i/>
          <w:iCs/>
          <w:sz w:val="24"/>
          <w:szCs w:val="24"/>
        </w:rPr>
        <w:t>Seized Property Management Act</w:t>
      </w:r>
      <w:r w:rsidRPr="00BE407E">
        <w:rPr>
          <w:rFonts w:ascii="Times New Roman" w:eastAsia="Times New Roman" w:hAnsi="Times New Roman" w:cs="Times New Roman"/>
          <w:sz w:val="24"/>
          <w:szCs w:val="24"/>
        </w:rPr>
        <w:t xml:space="preserve"> that is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any amount paid or recovered as a fine imposed under subsection 462.37(3) of the </w:t>
      </w:r>
      <w:r w:rsidRPr="00BE407E">
        <w:rPr>
          <w:rFonts w:ascii="Times New Roman" w:eastAsia="Times New Roman" w:hAnsi="Times New Roman" w:cs="Times New Roman"/>
          <w:i/>
          <w:iCs/>
          <w:sz w:val="24"/>
          <w:szCs w:val="24"/>
        </w:rPr>
        <w:t>Criminal Code</w:t>
      </w:r>
      <w:r w:rsidRPr="00BE407E">
        <w:rPr>
          <w:rFonts w:ascii="Times New Roman" w:eastAsia="Times New Roman" w:hAnsi="Times New Roman" w:cs="Times New Roman"/>
          <w:sz w:val="24"/>
          <w:szCs w:val="24"/>
        </w:rPr>
        <w:t xml:space="preserve"> in substitution for the property referred to in paragraph (</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w:t>
      </w:r>
      <w:r>
        <w:rPr>
          <w:rFonts w:ascii="Times New Roman" w:eastAsia="Times New Roman" w:hAnsi="Times New Roman" w:cs="Times New Roman"/>
          <w:noProof/>
          <w:sz w:val="24"/>
          <w:szCs w:val="24"/>
        </w:rPr>
        <w:drawing>
          <wp:inline distT="0" distB="0" distL="0" distR="0">
            <wp:extent cx="151130" cy="142875"/>
            <wp:effectExtent l="19050" t="0" r="1270" b="0"/>
            <wp:docPr id="3009" name="Imagen 30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Chile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Chile’s Law on the Establishment of a National Authority for Compensation and Reconciliation (1992), as amended in 2004, states that a “monthly compensatory pension is established for the benefit of the families of victims of violations of human rights and political violence”.</w:t>
      </w:r>
      <w:r>
        <w:rPr>
          <w:rFonts w:ascii="Times New Roman" w:eastAsia="Times New Roman" w:hAnsi="Times New Roman" w:cs="Times New Roman"/>
          <w:noProof/>
          <w:sz w:val="24"/>
          <w:szCs w:val="24"/>
        </w:rPr>
        <w:drawing>
          <wp:inline distT="0" distB="0" distL="0" distR="0">
            <wp:extent cx="151130" cy="142875"/>
            <wp:effectExtent l="19050" t="0" r="1270" b="0"/>
            <wp:docPr id="3010" name="Imagen 30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France’s Decree on Reparation for World War II Orphans (2004) provides: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Article 1</w:t>
      </w:r>
      <w:r w:rsidRPr="00BE407E">
        <w:rPr>
          <w:rFonts w:ascii="Times New Roman" w:eastAsia="Times New Roman" w:hAnsi="Times New Roman" w:cs="Times New Roman"/>
          <w:sz w:val="24"/>
          <w:szCs w:val="24"/>
        </w:rPr>
        <w:t xml:space="preserve"> – Any person whose mother or father, of French or foreign nationality, was deported from the national territory during the Occupation on the grounds and under the conditions mentioned in articles L.272 and L.286 of the Code on Military Invalidity Pensions and War Victims, and died in deportation, is entitled to reparation, in accordance with the provisions of the present Decree, if the person was younger than 21 years at the time the deportation took place.</w:t>
      </w:r>
      <w:r w:rsidRPr="00BE407E">
        <w:rPr>
          <w:rFonts w:ascii="Times New Roman" w:eastAsia="Times New Roman" w:hAnsi="Times New Roman" w:cs="Times New Roman"/>
          <w:sz w:val="24"/>
          <w:szCs w:val="24"/>
        </w:rPr>
        <w:br/>
        <w:t>This regime equally benefits persons, younger than 21 years at the time of the events, whose father or mother, of French or foreign nationality, was executed during the Occupation under the circumstances defined in articles L.274 and L.290 of the same Code.</w:t>
      </w:r>
      <w:r w:rsidRPr="00BE407E">
        <w:rPr>
          <w:rFonts w:ascii="Times New Roman" w:eastAsia="Times New Roman" w:hAnsi="Times New Roman" w:cs="Times New Roman"/>
          <w:sz w:val="24"/>
          <w:szCs w:val="24"/>
        </w:rPr>
        <w:br/>
        <w:t>Excluded from the benefit of the regime provided by the present Decree are persons who receive a lifelong compensation for the same facts by the Federal Republic of Germany or the Republic of Austria.</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Article 2</w:t>
      </w:r>
      <w:r w:rsidRPr="00BE407E">
        <w:rPr>
          <w:rFonts w:ascii="Times New Roman" w:eastAsia="Times New Roman" w:hAnsi="Times New Roman" w:cs="Times New Roman"/>
          <w:sz w:val="24"/>
          <w:szCs w:val="24"/>
        </w:rPr>
        <w:t xml:space="preserve"> – The reparation takes the form, at the choice of the beneficiary, of a compensation sum of 27 440.82 € or of a lifelong monthly allowance of 457.35 €.</w:t>
      </w:r>
      <w:r>
        <w:rPr>
          <w:rFonts w:ascii="Times New Roman" w:eastAsia="Times New Roman" w:hAnsi="Times New Roman" w:cs="Times New Roman"/>
          <w:noProof/>
          <w:sz w:val="24"/>
          <w:szCs w:val="24"/>
        </w:rPr>
        <w:drawing>
          <wp:inline distT="0" distB="0" distL="0" distR="0">
            <wp:extent cx="151130" cy="142875"/>
            <wp:effectExtent l="19050" t="0" r="1270" b="0"/>
            <wp:docPr id="3011" name="Imagen 30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Since the end of the Second World War, Germany has adopted several laws relative to the indemnification of victims of the war and the Holocaust, such as: the Law on the Equalization of Burdens as amended (1952); the Law for the Compensation of the Victims of National Socialist Persecution (1953), as amended in 1965; the Federal Restitution Law as amended (1957) which provides for compensation in case restitution was not possible; the Law on the Reparation of Losses as amended (1969); the Law on the Settlement of Open Property Matters as amended (1990); and the Law on Indemnification of Victims of Nazism as amended (1994).</w:t>
      </w:r>
      <w:r>
        <w:rPr>
          <w:rFonts w:ascii="Times New Roman" w:eastAsia="Times New Roman" w:hAnsi="Times New Roman" w:cs="Times New Roman"/>
          <w:noProof/>
          <w:sz w:val="24"/>
          <w:szCs w:val="24"/>
        </w:rPr>
        <w:drawing>
          <wp:inline distT="0" distB="0" distL="0" distR="0">
            <wp:extent cx="151130" cy="142875"/>
            <wp:effectExtent l="19050" t="0" r="1270" b="0"/>
            <wp:docPr id="3012" name="Imagen 30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2000, the German Bundestag (Lower House of Parliament), with the concurrence of the Bundesrat (Upper House of Parliament), adopted the Law on the Creation of a Foundation “Remembrance, Responsibility and Future” (2000), as amended in 2001, thereby establishing a foundation responsible for making payments to entitled claimants </w:t>
      </w:r>
      <w:r w:rsidRPr="00BE407E">
        <w:rPr>
          <w:rFonts w:ascii="Times New Roman" w:eastAsia="Times New Roman" w:hAnsi="Times New Roman" w:cs="Times New Roman"/>
          <w:sz w:val="24"/>
          <w:szCs w:val="24"/>
        </w:rPr>
        <w:lastRenderedPageBreak/>
        <w:t>and setting maximum amounts to be awarded to different categories of claimants.</w:t>
      </w:r>
      <w:r>
        <w:rPr>
          <w:rFonts w:ascii="Times New Roman" w:eastAsia="Times New Roman" w:hAnsi="Times New Roman" w:cs="Times New Roman"/>
          <w:noProof/>
          <w:sz w:val="24"/>
          <w:szCs w:val="24"/>
        </w:rPr>
        <w:drawing>
          <wp:inline distT="0" distB="0" distL="0" distR="0">
            <wp:extent cx="151130" cy="142875"/>
            <wp:effectExtent l="19050" t="0" r="1270" b="0"/>
            <wp:docPr id="3013" name="Imagen 30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1. persons who were held in a concentration camp … or in another place of confinement outside the territory of what is now the Republic of Austria or a ghetto under comparable conditions and were subjected to forced labor;</w:t>
      </w:r>
      <w:r w:rsidRPr="00BE407E">
        <w:rPr>
          <w:rFonts w:ascii="Times New Roman" w:eastAsia="Times New Roman" w:hAnsi="Times New Roman" w:cs="Times New Roman"/>
          <w:sz w:val="24"/>
          <w:szCs w:val="24"/>
        </w:rPr>
        <w:br/>
        <w:t>2. persons who were deported from their homelands into the territory of the German Reich within the borders of 1937 or to a German-occupied area, subjected to forced labor in a commercial enterprise or for public authorities there, and held under conditions other than those mentioned in Number 1, or were subjected to conditions resembling imprisonment or similar extremely harsh living conditions;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 persons who suffered property loss as a consequence of racial persecution with essential, direct, and harm-causing collaboration of German businesses … The partner organizations may also award compensation from the funds provided to them … to those victims of National Socialist crimes who are not members of one of the groups mentioned in Sentence 1, Numbers 1 and 2, particularly forced laborers in agriculture … The funds provided for in Section 9, Paragraph 4, Sentence 2, Number 2 are intended to compensate property damage inflicted during the National Socialist regime with the essential, direct, and harm-causing participation of German enterprises, but not inflicted for reasons of National Socialist persecution. The funds referred to in Section 9, Paragraph 3, shall be awarded in cases of medical experiments or in the event of the death of or severe damage to the health of a child lodged in a home for children of forced laborers; in cases of other personal injuries they may be awarded.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 Eligibility cannot be based on prisoner-of-war status.</w:t>
      </w:r>
      <w:r>
        <w:rPr>
          <w:rFonts w:ascii="Times New Roman" w:eastAsia="Times New Roman" w:hAnsi="Times New Roman" w:cs="Times New Roman"/>
          <w:noProof/>
          <w:sz w:val="24"/>
          <w:szCs w:val="24"/>
        </w:rPr>
        <w:drawing>
          <wp:inline distT="0" distB="0" distL="0" distR="0">
            <wp:extent cx="151130" cy="142875"/>
            <wp:effectExtent l="19050" t="0" r="1270" b="0"/>
            <wp:docPr id="3014" name="Imagen 30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Germany’s Federal Government Directive concerning the payment of amounts to victims of persecution in recognition of work in a ghetto which did not constitute forced labour and which has not been recognized to date under social insurance law (2007) states:</w:t>
      </w:r>
      <w:r w:rsidRPr="00BE407E">
        <w:rPr>
          <w:rFonts w:ascii="Times New Roman" w:eastAsia="Times New Roman" w:hAnsi="Times New Roman" w:cs="Times New Roman"/>
          <w:sz w:val="24"/>
          <w:szCs w:val="24"/>
        </w:rPr>
        <w:br/>
        <w:t>Persecuted persons within the meaning of § 1 of the Federal Law for the Compensation of the Victims of National Socialist Persecution [</w:t>
      </w:r>
      <w:r w:rsidRPr="00BE407E">
        <w:rPr>
          <w:rFonts w:ascii="Times New Roman" w:eastAsia="Times New Roman" w:hAnsi="Times New Roman" w:cs="Times New Roman"/>
          <w:i/>
          <w:iCs/>
          <w:sz w:val="24"/>
          <w:szCs w:val="24"/>
        </w:rPr>
        <w:t>Bundesentschädigungsgesetz</w:t>
      </w:r>
      <w:r w:rsidRPr="00BE407E">
        <w:rPr>
          <w:rFonts w:ascii="Times New Roman" w:eastAsia="Times New Roman" w:hAnsi="Times New Roman" w:cs="Times New Roman"/>
          <w:sz w:val="24"/>
          <w:szCs w:val="24"/>
        </w:rPr>
        <w:t xml:space="preserve"> (BEG) – Federal Indemnification Act] who have been forced to live in a ghetto in an area under national socialist influence and who during this time have been employed without coercion in an employment-like relation, can receive a one-off payment according to this Directive if</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 that time has not already been recognized as a ghetto contribution period according to the Law for the Payment of Pensions for Periods of Work in a Ghetto of 20 June 2002 ([</w:t>
      </w:r>
      <w:r w:rsidRPr="00BE407E">
        <w:rPr>
          <w:rFonts w:ascii="Times New Roman" w:eastAsia="Times New Roman" w:hAnsi="Times New Roman" w:cs="Times New Roman"/>
          <w:i/>
          <w:iCs/>
          <w:sz w:val="24"/>
          <w:szCs w:val="24"/>
        </w:rPr>
        <w:t>Gesetz zur Zahlbarmachung von Renten aus Beschäftigungen in einem Ghetto</w:t>
      </w:r>
      <w:r w:rsidRPr="00BE407E">
        <w:rPr>
          <w:rFonts w:ascii="Times New Roman" w:eastAsia="Times New Roman" w:hAnsi="Times New Roman" w:cs="Times New Roman"/>
          <w:sz w:val="24"/>
          <w:szCs w:val="24"/>
        </w:rPr>
        <w:t xml:space="preserve"> (ZRBG)]), and payments are not already being made for this time from a social security system,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for that work they have not received a payment from the funds of the Foundation “Remembrance, Responsibility and Future” or could have received such payment.</w:t>
      </w:r>
      <w:r>
        <w:rPr>
          <w:rFonts w:ascii="Times New Roman" w:eastAsia="Times New Roman" w:hAnsi="Times New Roman" w:cs="Times New Roman"/>
          <w:noProof/>
          <w:sz w:val="24"/>
          <w:szCs w:val="24"/>
        </w:rPr>
        <w:drawing>
          <wp:inline distT="0" distB="0" distL="0" distR="0">
            <wp:extent cx="151130" cy="142875"/>
            <wp:effectExtent l="19050" t="0" r="1270" b="0"/>
            <wp:docPr id="3015" name="Imagen 30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Regulations to the Law Creating the Comprehensive Reparations Plan (2006) states:</w:t>
      </w:r>
      <w:r w:rsidRPr="00BE407E">
        <w:rPr>
          <w:rFonts w:ascii="Times New Roman" w:eastAsia="Times New Roman" w:hAnsi="Times New Roman" w:cs="Times New Roman"/>
          <w:sz w:val="24"/>
          <w:szCs w:val="24"/>
        </w:rPr>
        <w:br/>
        <w:t>The aim of this programme is to grant economic reparation to the victims referred to in Articles 38 and 39 of the present Regulations. The granting of such reparations shall only be applicable once the process of identifying the victims is completed and only if the general procedure for the registration, identification and certification referred to in Article 73 of these Regulations was followed.</w:t>
      </w:r>
      <w:r>
        <w:rPr>
          <w:rFonts w:ascii="Times New Roman" w:eastAsia="Times New Roman" w:hAnsi="Times New Roman" w:cs="Times New Roman"/>
          <w:noProof/>
          <w:sz w:val="24"/>
          <w:szCs w:val="24"/>
        </w:rPr>
        <w:drawing>
          <wp:inline distT="0" distB="0" distL="0" distR="0">
            <wp:extent cx="151130" cy="142875"/>
            <wp:effectExtent l="19050" t="0" r="1270" b="0"/>
            <wp:docPr id="3016" name="Imagen 30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Russian Federation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The Russian Federation’s Constitution (1993) provides: “The rights of persons who have sustained harm from crimes and abuses of power shall be protected by the law. The state shall guarantee the victims access to justice and compensation for damage.” It also provides: “Everyone shall have the right to compensation by the state for the damage caused by unlawful actions (or inaction) of state organs, or their officials.”</w:t>
      </w:r>
      <w:r>
        <w:rPr>
          <w:rFonts w:ascii="Times New Roman" w:eastAsia="Times New Roman" w:hAnsi="Times New Roman" w:cs="Times New Roman"/>
          <w:noProof/>
          <w:sz w:val="24"/>
          <w:szCs w:val="24"/>
        </w:rPr>
        <w:drawing>
          <wp:inline distT="0" distB="0" distL="0" distR="0">
            <wp:extent cx="151130" cy="142875"/>
            <wp:effectExtent l="19050" t="0" r="1270" b="0"/>
            <wp:docPr id="3017" name="Imagen 30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Spain’s Military Criminal Code (1985) provides: “The State is the civil authority with subsidiary liability for any offences that are committed by members of the armed forces in the line of duty and that are considered as such by the court.”</w:t>
      </w:r>
      <w:r>
        <w:rPr>
          <w:rFonts w:ascii="Times New Roman" w:eastAsia="Times New Roman" w:hAnsi="Times New Roman" w:cs="Times New Roman"/>
          <w:noProof/>
          <w:sz w:val="24"/>
          <w:szCs w:val="24"/>
        </w:rPr>
        <w:drawing>
          <wp:inline distT="0" distB="0" distL="0" distR="0">
            <wp:extent cx="151130" cy="142875"/>
            <wp:effectExtent l="19050" t="0" r="1270" b="0"/>
            <wp:docPr id="3018" name="Imagen 30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Spain’s Penal Code (1995) provides:</w:t>
      </w:r>
      <w:r w:rsidRPr="00BE407E">
        <w:rPr>
          <w:rFonts w:ascii="Times New Roman" w:eastAsia="Times New Roman" w:hAnsi="Times New Roman" w:cs="Times New Roman"/>
          <w:sz w:val="24"/>
          <w:szCs w:val="24"/>
        </w:rPr>
        <w:br/>
        <w:t>The State, the autonomous community, the province, the island, the municipality or another public authority, depending on the case, has subsidiary liability for damage caused by a person who has committed a fraudulent or culpable act, provided that the person in question is a representative, agent or employee of said authority, or an official acting in the line of duty, that the damage caused was a direct consequence of running the public services entrusted to that person, and that there can be no duplication of the compensation awarded. The aforesaid is without prejudice to the liability associated with the normal or faulty functioning of such services, in keeping with the rules of administrative procedure.</w:t>
      </w:r>
      <w:r>
        <w:rPr>
          <w:rFonts w:ascii="Times New Roman" w:eastAsia="Times New Roman" w:hAnsi="Times New Roman" w:cs="Times New Roman"/>
          <w:noProof/>
          <w:sz w:val="24"/>
          <w:szCs w:val="24"/>
        </w:rPr>
        <w:drawing>
          <wp:inline distT="0" distB="0" distL="0" distR="0">
            <wp:extent cx="151130" cy="142875"/>
            <wp:effectExtent l="19050" t="0" r="1270" b="0"/>
            <wp:docPr id="3019" name="Imagen 30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Switzerland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Switzerland’s Law on (State) Responsibility (1958), as amended, provides: “The Confederation shall be liable for any damage unlawfully caused to a third party by an official in the exercise of his or her official duties, regardless of the fault committed by the official.”</w:t>
      </w:r>
      <w:r>
        <w:rPr>
          <w:rFonts w:ascii="Times New Roman" w:eastAsia="Times New Roman" w:hAnsi="Times New Roman" w:cs="Times New Roman"/>
          <w:noProof/>
          <w:sz w:val="24"/>
          <w:szCs w:val="24"/>
        </w:rPr>
        <w:drawing>
          <wp:inline distT="0" distB="0" distL="0" distR="0">
            <wp:extent cx="151130" cy="142875"/>
            <wp:effectExtent l="19050" t="0" r="1270" b="0"/>
            <wp:docPr id="3020" name="Imagen 30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If the official has committed a fault resulting in death or bodily harm, the competent authority may, taking into consideration the special circumstances of the case, award the victim or the relatives of the victim adequate moral damages.</w:t>
      </w:r>
      <w:r w:rsidRPr="00BE407E">
        <w:rPr>
          <w:rFonts w:ascii="Times New Roman" w:eastAsia="Times New Roman" w:hAnsi="Times New Roman" w:cs="Times New Roman"/>
          <w:sz w:val="24"/>
          <w:szCs w:val="24"/>
        </w:rPr>
        <w:br/>
        <w:t>Whoever suffers unlawful moral injury has the right, if the official has committed a fault, to be paid damages therefor, provided that this is justified by the gravity of the injury and that compensation has not otherwise been given by the official concerned.</w:t>
      </w:r>
      <w:r>
        <w:rPr>
          <w:rFonts w:ascii="Times New Roman" w:eastAsia="Times New Roman" w:hAnsi="Times New Roman" w:cs="Times New Roman"/>
          <w:noProof/>
          <w:sz w:val="24"/>
          <w:szCs w:val="24"/>
        </w:rPr>
        <w:drawing>
          <wp:inline distT="0" distB="0" distL="0" distR="0">
            <wp:extent cx="151130" cy="142875"/>
            <wp:effectExtent l="19050" t="0" r="1270" b="0"/>
            <wp:docPr id="3021" name="Imagen 30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1988, the US passed the Law on Restitution for WWII Internment of Japanese-Americans and Aleuts (1988) (as amended) containing a Statement of Congress to the effect that:</w:t>
      </w:r>
      <w:r w:rsidRPr="00BE407E">
        <w:rPr>
          <w:rFonts w:ascii="Times New Roman" w:eastAsia="Times New Roman" w:hAnsi="Times New Roman" w:cs="Times New Roman"/>
          <w:sz w:val="24"/>
          <w:szCs w:val="24"/>
        </w:rPr>
        <w:br/>
        <w:t>(a) With regard to individuals of Japanese ancestry</w:t>
      </w:r>
      <w:r w:rsidRPr="00BE407E">
        <w:rPr>
          <w:rFonts w:ascii="Times New Roman" w:eastAsia="Times New Roman" w:hAnsi="Times New Roman" w:cs="Times New Roman"/>
          <w:sz w:val="24"/>
          <w:szCs w:val="24"/>
        </w:rPr>
        <w:br/>
        <w:t>The Congress recognizes that, as described by the Commission on Wartime Relocation and Internment of Civilians, a grave injustice was done to both citizens and permanent resident aliens of Japanese ancestry by the evacuation, relocation, and internment of civilians during World War II … The excluded individuals of Japanese ancestry suffered enormous damages, both material and intangible, and there were incalculable losses in education and job training, all of which resulted in significant human suffering for which appropriate compensation has not been made …</w:t>
      </w:r>
      <w:r w:rsidRPr="00BE407E">
        <w:rPr>
          <w:rFonts w:ascii="Times New Roman" w:eastAsia="Times New Roman" w:hAnsi="Times New Roman" w:cs="Times New Roman"/>
          <w:sz w:val="24"/>
          <w:szCs w:val="24"/>
        </w:rPr>
        <w:br/>
        <w:t>(b) With respect to the Aleuts</w:t>
      </w:r>
      <w:r w:rsidRPr="00BE407E">
        <w:rPr>
          <w:rFonts w:ascii="Times New Roman" w:eastAsia="Times New Roman" w:hAnsi="Times New Roman" w:cs="Times New Roman"/>
          <w:sz w:val="24"/>
          <w:szCs w:val="24"/>
        </w:rPr>
        <w:br/>
        <w:t xml:space="preserve">The Congress recognizes that, as described by the Commission on Wartime Relocation and Internment of Civilians, the Aleut civilian residents of the Pribilof Islands and the Aleutian Islands west of Unimak Island were relocated during World War II to temporary camps in isolated regions of southeast Alaska where they remained, under United States control and in the care of the United States, until long after any potential danger to their home villages had passed. The United States failed to provide reasonable care for the Aleuts, and this resulted in widespread illness, disease, and death among the </w:t>
      </w:r>
      <w:r w:rsidRPr="00BE407E">
        <w:rPr>
          <w:rFonts w:ascii="Times New Roman" w:eastAsia="Times New Roman" w:hAnsi="Times New Roman" w:cs="Times New Roman"/>
          <w:sz w:val="24"/>
          <w:szCs w:val="24"/>
        </w:rPr>
        <w:lastRenderedPageBreak/>
        <w:t>residents of the camps; and the United States further failed to protect Aleut personal and community property while such property was in its possession or under its control. The United States has not compensated the Aleuts adequately for the conversion or destruction of personal property, and the conversion or destruction of community property caused by the United States military occupation of Aleut villages during World War II. There is no remedy for injustices suffered by the Aleuts during World War II except an Act of Congress providing appropriate compensation for those losses which are attributable to the conduct of United States forces and other officials and employees of the United States.</w:t>
      </w:r>
      <w:r>
        <w:rPr>
          <w:rFonts w:ascii="Times New Roman" w:eastAsia="Times New Roman" w:hAnsi="Times New Roman" w:cs="Times New Roman"/>
          <w:noProof/>
          <w:sz w:val="24"/>
          <w:szCs w:val="24"/>
        </w:rPr>
        <w:drawing>
          <wp:inline distT="0" distB="0" distL="0" distR="0">
            <wp:extent cx="151130" cy="142875"/>
            <wp:effectExtent l="19050" t="0" r="1270" b="0"/>
            <wp:docPr id="3022" name="Imagen 30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Attorney General shall, subject to the availability of funds appropriated to the Fund for such purpose, pay out of the Fund to each eligible individual the sum of $20,000, unless such individual refuses … to accept the payment.</w:t>
      </w:r>
      <w:r>
        <w:rPr>
          <w:rFonts w:ascii="Times New Roman" w:eastAsia="Times New Roman" w:hAnsi="Times New Roman" w:cs="Times New Roman"/>
          <w:noProof/>
          <w:sz w:val="24"/>
          <w:szCs w:val="24"/>
        </w:rPr>
        <w:drawing>
          <wp:inline distT="0" distB="0" distL="0" distR="0">
            <wp:extent cx="151130" cy="142875"/>
            <wp:effectExtent l="19050" t="0" r="1270" b="0"/>
            <wp:docPr id="3023" name="Imagen 30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The Secretary shall, in accordance with this section, make per capita payments out of the Fund to eligible Aleuts. The Secretary shall pay, subject to the availability of funds appropriated to the Fund for such payments, to each eligible Aleut the sum of $12,000.</w:t>
      </w:r>
      <w:r>
        <w:rPr>
          <w:rFonts w:ascii="Times New Roman" w:eastAsia="Times New Roman" w:hAnsi="Times New Roman" w:cs="Times New Roman"/>
          <w:noProof/>
          <w:sz w:val="24"/>
          <w:szCs w:val="24"/>
        </w:rPr>
        <w:drawing>
          <wp:inline distT="0" distB="0" distL="0" distR="0">
            <wp:extent cx="151130" cy="142875"/>
            <wp:effectExtent l="19050" t="0" r="1270" b="0"/>
            <wp:docPr id="3024" name="Imagen 30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The public lands on Attu Island, Alaska, within the National Wildlife Refuge System have been designated as wilderness … In order to make restitution for the loss of traditional Aleut lands and village properties on Attu Island, while preserving the present designation of Attu Island lands as part of the National Wilderness Preservation System, compensation to the Aleut people, in lieu of the conveyance of Attu Island, shall be provided.</w:t>
      </w:r>
      <w:r>
        <w:rPr>
          <w:rFonts w:ascii="Times New Roman" w:eastAsia="Times New Roman" w:hAnsi="Times New Roman" w:cs="Times New Roman"/>
          <w:noProof/>
          <w:sz w:val="24"/>
          <w:szCs w:val="24"/>
        </w:rPr>
        <w:drawing>
          <wp:inline distT="0" distB="0" distL="0" distR="0">
            <wp:extent cx="151130" cy="142875"/>
            <wp:effectExtent l="19050" t="0" r="1270" b="0"/>
            <wp:docPr id="3025" name="Imagen 30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 provision of the California Code of Civil Procedure (1873), as amended, dealing with compensation for slave and forced labour states:</w:t>
      </w:r>
      <w:r w:rsidRPr="00BE407E">
        <w:rPr>
          <w:rFonts w:ascii="Times New Roman" w:eastAsia="Times New Roman" w:hAnsi="Times New Roman" w:cs="Times New Roman"/>
          <w:sz w:val="24"/>
          <w:szCs w:val="24"/>
        </w:rPr>
        <w:br/>
        <w:t>Any Second World War slave labor victim, or heir of a Second World War slave labor victim, Second World War forced labor victim, or heir of a Second World War forced labor victim, may bring an action to recover compensation for labor performed as a Second World War slave labor victim or Second World War forced labor victim from any entity or successor in interest thereof, for whom that labor was performed, either directly or through a subsidiary or affiliate.</w:t>
      </w:r>
      <w:r>
        <w:rPr>
          <w:rFonts w:ascii="Times New Roman" w:eastAsia="Times New Roman" w:hAnsi="Times New Roman" w:cs="Times New Roman"/>
          <w:noProof/>
          <w:sz w:val="24"/>
          <w:szCs w:val="24"/>
        </w:rPr>
        <w:drawing>
          <wp:inline distT="0" distB="0" distL="0" distR="0">
            <wp:extent cx="151130" cy="142875"/>
            <wp:effectExtent l="19050" t="0" r="1270" b="0"/>
            <wp:docPr id="3026" name="Imagen 30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Uruguay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Uruguay’s Law on Cooperation with the ICC (2006) states: </w:t>
      </w:r>
      <w:r w:rsidRPr="00BE407E">
        <w:rPr>
          <w:rFonts w:ascii="Times New Roman" w:eastAsia="Times New Roman" w:hAnsi="Times New Roman" w:cs="Times New Roman"/>
          <w:sz w:val="24"/>
          <w:szCs w:val="24"/>
        </w:rPr>
        <w:br/>
        <w:t>14.1. The State shall be responsible for the reparation of victims of the crimes set out in Titles I to III of Part II of the present law [which include war crimes] committed in the territory of the Republic or abroad by agents of the State or by persons who were not agents of the State but who acted under the authorization, support or acquiescence of State agents.</w:t>
      </w:r>
      <w:r w:rsidRPr="00BE407E">
        <w:rPr>
          <w:rFonts w:ascii="Times New Roman" w:eastAsia="Times New Roman" w:hAnsi="Times New Roman" w:cs="Times New Roman"/>
          <w:sz w:val="24"/>
          <w:szCs w:val="24"/>
        </w:rPr>
        <w:br/>
        <w:t>14.2. The reparation of the victim must be comprehensive and include indemnity … and must be extended to the victim’s relatives or to the group or community to which the victim belongs. “Relatives” are understood as the group of persons united by the bond of marriage or parenthood as well as by the act of cohabiting or maintaining a common form of life.</w:t>
      </w:r>
      <w:r>
        <w:rPr>
          <w:rFonts w:ascii="Times New Roman" w:eastAsia="Times New Roman" w:hAnsi="Times New Roman" w:cs="Times New Roman"/>
          <w:noProof/>
          <w:sz w:val="24"/>
          <w:szCs w:val="24"/>
        </w:rPr>
        <w:drawing>
          <wp:inline distT="0" distB="0" distL="0" distR="0">
            <wp:extent cx="151130" cy="142875"/>
            <wp:effectExtent l="19050" t="0" r="1270" b="0"/>
            <wp:docPr id="3027" name="Imagen 30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Zimbabwe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Zimbabwe’s War Victims Compensation Act (1980), as amended to 2001, states:</w:t>
      </w:r>
      <w:r w:rsidRPr="00BE407E">
        <w:rPr>
          <w:rFonts w:ascii="Times New Roman" w:eastAsia="Times New Roman" w:hAnsi="Times New Roman" w:cs="Times New Roman"/>
          <w:sz w:val="24"/>
          <w:szCs w:val="24"/>
        </w:rPr>
        <w:br/>
        <w:t>PART I</w:t>
      </w:r>
      <w:r w:rsidRPr="00BE407E">
        <w:rPr>
          <w:rFonts w:ascii="Times New Roman" w:eastAsia="Times New Roman" w:hAnsi="Times New Roman" w:cs="Times New Roman"/>
          <w:sz w:val="24"/>
          <w:szCs w:val="24"/>
        </w:rPr>
        <w:br/>
        <w:t>PRELIMINARY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 Interpretation</w:t>
      </w:r>
      <w:r w:rsidRPr="00BE407E">
        <w:rPr>
          <w:rFonts w:ascii="Times New Roman" w:eastAsia="Times New Roman" w:hAnsi="Times New Roman" w:cs="Times New Roman"/>
          <w:sz w:val="24"/>
          <w:szCs w:val="24"/>
        </w:rPr>
        <w:br/>
        <w:t>(1) In this Act–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“the war” means the armed conflict which occurred in Zimbabwe and in neighbouring countries between the 1st January, 1962, and the 29th February, 1980, in connection with the bringing about of, or resistance to, political and social change in Zimbabwe.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PART III</w:t>
      </w:r>
      <w:r w:rsidRPr="00BE407E">
        <w:rPr>
          <w:rFonts w:ascii="Times New Roman" w:eastAsia="Times New Roman" w:hAnsi="Times New Roman" w:cs="Times New Roman"/>
          <w:sz w:val="24"/>
          <w:szCs w:val="24"/>
        </w:rPr>
        <w:br/>
        <w:t>APPLICATION OF ACT AND CLAIMS FOR AND ENTITLEMENT TO COMPENSATION</w:t>
      </w:r>
      <w:r w:rsidRPr="00BE407E">
        <w:rPr>
          <w:rFonts w:ascii="Times New Roman" w:eastAsia="Times New Roman" w:hAnsi="Times New Roman" w:cs="Times New Roman"/>
          <w:sz w:val="24"/>
          <w:szCs w:val="24"/>
        </w:rPr>
        <w:br/>
        <w:t>4. Application of Act</w:t>
      </w:r>
      <w:r w:rsidRPr="00BE407E">
        <w:rPr>
          <w:rFonts w:ascii="Times New Roman" w:eastAsia="Times New Roman" w:hAnsi="Times New Roman" w:cs="Times New Roman"/>
          <w:sz w:val="24"/>
          <w:szCs w:val="24"/>
        </w:rPr>
        <w:br/>
        <w:t>This Act shall apply in respect of</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any injury to a person the date of which was before the 1st March, 1980;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the death of a person caused by an injury referred to in paragraph (a); where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Provided that if the Minister [of Public Service, Labour and Social Welfare] by written notice to the Commissioner [of War Victims Compensation, instituted with the Act] so directs, this Act shall apply to such a person even if he was not a citizen of Zimbabwe at the time he sustained the injury.</w:t>
      </w:r>
      <w:r w:rsidRPr="00BE407E">
        <w:rPr>
          <w:rFonts w:ascii="Times New Roman" w:eastAsia="Times New Roman" w:hAnsi="Times New Roman" w:cs="Times New Roman"/>
          <w:sz w:val="24"/>
          <w:szCs w:val="24"/>
        </w:rPr>
        <w:br/>
        <w:t>5. Claims for compensation</w:t>
      </w:r>
      <w:r w:rsidRPr="00BE407E">
        <w:rPr>
          <w:rFonts w:ascii="Times New Roman" w:eastAsia="Times New Roman" w:hAnsi="Times New Roman" w:cs="Times New Roman"/>
          <w:sz w:val="24"/>
          <w:szCs w:val="24"/>
        </w:rPr>
        <w:br/>
        <w:t>(1) A claim for compensation may be made by or on behalf of any person who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has sustained an injury referred to in section four;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was a dependant of a person whose death was caused by an injury referred to in section four.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6. Consideration of claims and entitlements to benefits</w:t>
      </w:r>
      <w:r w:rsidRPr="00BE407E">
        <w:rPr>
          <w:rFonts w:ascii="Times New Roman" w:eastAsia="Times New Roman" w:hAnsi="Times New Roman" w:cs="Times New Roman"/>
          <w:sz w:val="24"/>
          <w:szCs w:val="24"/>
        </w:rPr>
        <w:br/>
        <w:t>(1) The Commissioner shall consider all claims for compensation made to him in terms of section five and, if he finds that the claimant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is suffering from disablement which was caused by an injury referred to in section four;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was a dependant of a person whose death was caused by an injury referred to in section four;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then, subject to this Act, the claimant shall be entitled to compensation.</w:t>
      </w:r>
      <w:r>
        <w:rPr>
          <w:rFonts w:ascii="Times New Roman" w:eastAsia="Times New Roman" w:hAnsi="Times New Roman" w:cs="Times New Roman"/>
          <w:noProof/>
          <w:sz w:val="24"/>
          <w:szCs w:val="24"/>
        </w:rPr>
        <w:drawing>
          <wp:inline distT="0" distB="0" distL="0" distR="0">
            <wp:extent cx="151130" cy="142875"/>
            <wp:effectExtent l="19050" t="0" r="1270" b="0"/>
            <wp:docPr id="3028" name="Imagen 30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PART IV</w:t>
      </w:r>
      <w:r w:rsidRPr="00BE407E">
        <w:rPr>
          <w:rFonts w:ascii="Times New Roman" w:eastAsia="Times New Roman" w:hAnsi="Times New Roman" w:cs="Times New Roman"/>
          <w:sz w:val="24"/>
          <w:szCs w:val="24"/>
        </w:rPr>
        <w:br/>
        <w:t>COMPENSATION FOR DISABLEMENT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8. Disablement pension</w:t>
      </w:r>
      <w:r w:rsidRPr="00BE407E">
        <w:rPr>
          <w:rFonts w:ascii="Times New Roman" w:eastAsia="Times New Roman" w:hAnsi="Times New Roman" w:cs="Times New Roman"/>
          <w:sz w:val="24"/>
          <w:szCs w:val="24"/>
        </w:rPr>
        <w:br/>
        <w:t>(1) … [A] disabled person whose degree of disability is one hundred per centum shall be entitled to a disablement pension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 … [A] disabled person whose degree of disability is less than one hundred per centum shall be entitled to a disablement pension which bears the same proportion to the pension which would have been payable … had his degree of disablement been one hundred per centum as his actual degree of disablement bears to one hundred per centum.</w:t>
      </w:r>
      <w:r w:rsidRPr="00BE407E">
        <w:rPr>
          <w:rFonts w:ascii="Times New Roman" w:eastAsia="Times New Roman" w:hAnsi="Times New Roman" w:cs="Times New Roman"/>
          <w:sz w:val="24"/>
          <w:szCs w:val="24"/>
        </w:rPr>
        <w:br/>
        <w:t>(3) If a disabled person is suffering from an injury which consists of an aggravation to a material extent of pre-existing ill-health, physical or mental incapacity or personal injury, the pension payable to him shall be assessed in respect of such aggravation only.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12. Refund of medical expenses</w:t>
      </w:r>
      <w:r w:rsidRPr="00BE407E">
        <w:rPr>
          <w:rFonts w:ascii="Times New Roman" w:eastAsia="Times New Roman" w:hAnsi="Times New Roman" w:cs="Times New Roman"/>
          <w:sz w:val="24"/>
          <w:szCs w:val="24"/>
        </w:rPr>
        <w:br/>
        <w:t>(1) Subject to this section, a disabled person shall be entitled to be paid a refund of any expenses reasonably and necessarily incurred by him as a result of his injury in respect of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dental, medical, surgical or hospital treatment;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(b) skilled nursing services;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the supply of medicines or surgical dressings;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the supply, maintenance, repair or renewal of artificial limbs or apparatus.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13. Vocational training</w:t>
      </w:r>
      <w:r w:rsidRPr="00BE407E">
        <w:rPr>
          <w:rFonts w:ascii="Times New Roman" w:eastAsia="Times New Roman" w:hAnsi="Times New Roman" w:cs="Times New Roman"/>
          <w:sz w:val="24"/>
          <w:szCs w:val="24"/>
        </w:rPr>
        <w:br/>
        <w:t>(1) In this section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“vocational training” includes any form of education or training which, in the opinion of the Commissioner [of War Victims Compensation, instituted with the Act], will permit a disabled person to support himself and his dependants or will increase his capacity to do so.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(3) If the Commissioner considers that a disabled person should, in consequence of his disablement, receive vocational training in a hospital or elsewhere, he may order the disabled person to undergo such training and may award him, in addition to any other benefits to which he is entitled under this Act, a temporary allowance in respect of the period during which he undergoes such training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(5) The Commissioner may grant to a disabled person a refund of the whole or any part of the charges, fees or expenses incurred by him in respect of the vocational training, subject to such conditions as the Commissioner may determine.</w:t>
      </w:r>
      <w:r w:rsidRPr="00BE407E">
        <w:rPr>
          <w:rFonts w:ascii="Times New Roman" w:eastAsia="Times New Roman" w:hAnsi="Times New Roman" w:cs="Times New Roman"/>
          <w:sz w:val="24"/>
          <w:szCs w:val="24"/>
        </w:rPr>
        <w:br/>
        <w:t>(6) … [T]he Commissioner may grant to the disabled person such sum as the Commissioner considers to be reasonable for the purchase of tools or other equipment required by him in the vocation for which he has been trained.</w:t>
      </w:r>
      <w:r w:rsidRPr="00BE407E">
        <w:rPr>
          <w:rFonts w:ascii="Times New Roman" w:eastAsia="Times New Roman" w:hAnsi="Times New Roman" w:cs="Times New Roman"/>
          <w:sz w:val="24"/>
          <w:szCs w:val="24"/>
        </w:rPr>
        <w:br/>
        <w:t>(7) If a disabled person refuses to undergo any vocational training ordered under this section, the Commissioner may reduce or withdraw any disablement pension payable to him under this Act.</w:t>
      </w:r>
      <w:r w:rsidRPr="00BE407E">
        <w:rPr>
          <w:rFonts w:ascii="Times New Roman" w:eastAsia="Times New Roman" w:hAnsi="Times New Roman" w:cs="Times New Roman"/>
          <w:sz w:val="24"/>
          <w:szCs w:val="24"/>
        </w:rPr>
        <w:br/>
        <w:t>14. Benefits for financial loss</w:t>
      </w:r>
      <w:r w:rsidRPr="00BE407E">
        <w:rPr>
          <w:rFonts w:ascii="Times New Roman" w:eastAsia="Times New Roman" w:hAnsi="Times New Roman" w:cs="Times New Roman"/>
          <w:sz w:val="24"/>
          <w:szCs w:val="24"/>
        </w:rPr>
        <w:br/>
        <w:t>Where a disabled person sustains a financial loss as a result of undergoing a medical examination or treatment in a hospital or otherwise on account of his disability, the Commissioner may, if the disabled person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is in receipt of a disablement pension, increase his pension;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is not in receipt of a disablement pension, award him such pension as the Commissioner considers equitable[.]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15. Constant attendance allowance</w:t>
      </w:r>
      <w:r w:rsidRPr="00BE407E">
        <w:rPr>
          <w:rFonts w:ascii="Times New Roman" w:eastAsia="Times New Roman" w:hAnsi="Times New Roman" w:cs="Times New Roman"/>
          <w:sz w:val="24"/>
          <w:szCs w:val="24"/>
        </w:rPr>
        <w:br/>
        <w:t>Where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 injury of a disabled person is of a serious nature;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the Commissioner is satisfied that the disability of the person referred to in paragraph (a) necessitates the constant and continuous attendance of a nurse or other attendant;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Commissioner may award to that disabled person, in addition to any other benefits payable in terms of this Part, an allowance not exceeding the reasonable expenditure actually incurred in respect of such attendance.</w:t>
      </w:r>
      <w:r w:rsidRPr="00BE407E">
        <w:rPr>
          <w:rFonts w:ascii="Times New Roman" w:eastAsia="Times New Roman" w:hAnsi="Times New Roman" w:cs="Times New Roman"/>
          <w:sz w:val="24"/>
          <w:szCs w:val="24"/>
        </w:rPr>
        <w:br/>
        <w:t>16. Clothing allowance</w:t>
      </w:r>
      <w:r w:rsidRPr="00BE407E">
        <w:rPr>
          <w:rFonts w:ascii="Times New Roman" w:eastAsia="Times New Roman" w:hAnsi="Times New Roman" w:cs="Times New Roman"/>
          <w:sz w:val="24"/>
          <w:szCs w:val="24"/>
        </w:rPr>
        <w:br/>
        <w:t>If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a disabled person is in receipt of a disablement pension in respect of a disability which requires him regularly to wear an artificial limb or to use crutches or any other appliance;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(b) in the opinion of the Commissioner, excessive wear and tear of the clothing of the disabled person referred to in paragraph (a) is thereby caused;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the Commissioner may award to that disabled person for the wear and tear of his clothing such allowance as the Commissioner considers reasonable in the circumstances.</w:t>
      </w:r>
      <w:r w:rsidRPr="00BE407E">
        <w:rPr>
          <w:rFonts w:ascii="Times New Roman" w:eastAsia="Times New Roman" w:hAnsi="Times New Roman" w:cs="Times New Roman"/>
          <w:sz w:val="24"/>
          <w:szCs w:val="24"/>
        </w:rPr>
        <w:br/>
        <w:t>17. Children’s allowance</w:t>
      </w:r>
      <w:r w:rsidRPr="00BE407E">
        <w:rPr>
          <w:rFonts w:ascii="Times New Roman" w:eastAsia="Times New Roman" w:hAnsi="Times New Roman" w:cs="Times New Roman"/>
          <w:sz w:val="24"/>
          <w:szCs w:val="24"/>
        </w:rPr>
        <w:br/>
        <w:t xml:space="preserve">(1) Subject to this section, where a disabled person is compelled to change his normal occupation or to follow a lower standard of occupation and, in the opinion of the Commissioner, his change of occupation or lower standard of occupation was a result of his disablement, he shall be paid in respect of his children an allowance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18. Travelling and subsistence allowances</w:t>
      </w:r>
      <w:r w:rsidRPr="00BE407E">
        <w:rPr>
          <w:rFonts w:ascii="Times New Roman" w:eastAsia="Times New Roman" w:hAnsi="Times New Roman" w:cs="Times New Roman"/>
          <w:sz w:val="24"/>
          <w:szCs w:val="24"/>
        </w:rPr>
        <w:br/>
        <w:t>(1) Subject to this section, where a disabled person is required to make a journey … for treatment or attention necessitated by his injury, he shall be paid an allowance at a rate determined by the Commissioner.</w:t>
      </w:r>
      <w:r w:rsidRPr="00BE407E">
        <w:rPr>
          <w:rFonts w:ascii="Times New Roman" w:eastAsia="Times New Roman" w:hAnsi="Times New Roman" w:cs="Times New Roman"/>
          <w:sz w:val="24"/>
          <w:szCs w:val="24"/>
        </w:rPr>
        <w:br/>
        <w:t>(2) The Commissioner may grant to a disabled person who is receiving treatment as an in-patient at an institution or hospital an allowance at such rate as the Commissioner considers equitable in the circumstances.</w:t>
      </w:r>
      <w:r>
        <w:rPr>
          <w:rFonts w:ascii="Times New Roman" w:eastAsia="Times New Roman" w:hAnsi="Times New Roman" w:cs="Times New Roman"/>
          <w:noProof/>
          <w:sz w:val="24"/>
          <w:szCs w:val="24"/>
        </w:rPr>
        <w:drawing>
          <wp:inline distT="0" distB="0" distL="0" distR="0">
            <wp:extent cx="151130" cy="142875"/>
            <wp:effectExtent l="19050" t="0" r="1270" b="0"/>
            <wp:docPr id="3029" name="Imagen 30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PART V</w:t>
      </w:r>
      <w:r w:rsidRPr="00BE407E">
        <w:rPr>
          <w:rFonts w:ascii="Times New Roman" w:eastAsia="Times New Roman" w:hAnsi="Times New Roman" w:cs="Times New Roman"/>
          <w:sz w:val="24"/>
          <w:szCs w:val="24"/>
        </w:rPr>
        <w:br/>
        <w:t>COMPENSATION FOR DEATH</w:t>
      </w:r>
      <w:r w:rsidRPr="00BE407E">
        <w:rPr>
          <w:rFonts w:ascii="Times New Roman" w:eastAsia="Times New Roman" w:hAnsi="Times New Roman" w:cs="Times New Roman"/>
          <w:sz w:val="24"/>
          <w:szCs w:val="24"/>
        </w:rPr>
        <w:br/>
        <w:t>19. Widow’s pension</w:t>
      </w:r>
      <w:r w:rsidRPr="00BE407E">
        <w:rPr>
          <w:rFonts w:ascii="Times New Roman" w:eastAsia="Times New Roman" w:hAnsi="Times New Roman" w:cs="Times New Roman"/>
          <w:sz w:val="24"/>
          <w:szCs w:val="24"/>
        </w:rPr>
        <w:br/>
        <w:t>(1) Subject to this section, if a deceased person leaves a widow, his widow shall be entitled to a pension calculated at the rate of sixty per centum of the earnings of the deceased person immediately prior to his death:</w:t>
      </w:r>
      <w:r w:rsidRPr="00BE407E">
        <w:rPr>
          <w:rFonts w:ascii="Times New Roman" w:eastAsia="Times New Roman" w:hAnsi="Times New Roman" w:cs="Times New Roman"/>
          <w:sz w:val="24"/>
          <w:szCs w:val="24"/>
        </w:rPr>
        <w:br/>
        <w:t>Provided that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(ii) the maximum rate of pension shall be six thousand six hundred and fifty-one dollars per annum.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A pension payable in terms of subsection (1)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shall cease with effect from the date on which the widow remarries.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 Where the pension payable to a widow in terms of subsection (1) has ceased in terms of paragraph (b) of subsection (2) and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 husband of the widow by that subsequent marriage dies;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the subsequent marriage is dissolved;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Commissioner [of War Victims Compensation, instituted with the Act] may restore the pension … in whole or in part … </w:t>
      </w:r>
      <w:r w:rsidRPr="00BE407E">
        <w:rPr>
          <w:rFonts w:ascii="Times New Roman" w:eastAsia="Times New Roman" w:hAnsi="Times New Roman" w:cs="Times New Roman"/>
          <w:sz w:val="24"/>
          <w:szCs w:val="24"/>
        </w:rPr>
        <w:br/>
        <w:t>20. Polygamous wives</w:t>
      </w:r>
      <w:r w:rsidRPr="00BE407E">
        <w:rPr>
          <w:rFonts w:ascii="Times New Roman" w:eastAsia="Times New Roman" w:hAnsi="Times New Roman" w:cs="Times New Roman"/>
          <w:sz w:val="24"/>
          <w:szCs w:val="24"/>
        </w:rPr>
        <w:br/>
        <w:t>(1) Where any compensation is payable in terms of this Act to the widow of a deceased person and that person at the time of his death had more than one wife, the compensation payable shall be paid to the widow designated by the Commissioner for the purposes of this Act or shall be apportioned between the widows in such proportions as the Commissioner considers equitable in the circumstances, as the Commissioner directs.</w:t>
      </w:r>
      <w:r w:rsidRPr="00BE407E">
        <w:rPr>
          <w:rFonts w:ascii="Times New Roman" w:eastAsia="Times New Roman" w:hAnsi="Times New Roman" w:cs="Times New Roman"/>
          <w:sz w:val="24"/>
          <w:szCs w:val="24"/>
        </w:rPr>
        <w:br/>
        <w:t>(2) Where a pension had been apportioned … between two or more widows and the pension payable to one of the widows ceases because of her death or remarriage or otherwise, the pension or pensions payable to the other widow or widows shall not be increased.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21. Children’s pensions</w:t>
      </w:r>
      <w:r w:rsidRPr="00BE407E">
        <w:rPr>
          <w:rFonts w:ascii="Times New Roman" w:eastAsia="Times New Roman" w:hAnsi="Times New Roman" w:cs="Times New Roman"/>
          <w:sz w:val="24"/>
          <w:szCs w:val="24"/>
        </w:rPr>
        <w:br/>
        <w:t xml:space="preserve">(1) If a deceased person leaves a widow and child, there shall be paid in respect of each child, subject to a maximum of five children, a pension at the appropriate rate specified </w:t>
      </w:r>
      <w:r w:rsidRPr="00BE407E">
        <w:rPr>
          <w:rFonts w:ascii="Times New Roman" w:eastAsia="Times New Roman" w:hAnsi="Times New Roman" w:cs="Times New Roman"/>
          <w:sz w:val="24"/>
          <w:szCs w:val="24"/>
        </w:rPr>
        <w:lastRenderedPageBreak/>
        <w:t>in Part I of the Second Schedule [which lays out the maximum pension for different age-categories of children in presence of a widow]: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If a deceased person leaves a child and no widow, there shall be paid in respect of each such child, subject to a maximum of five children, a pension at the appropriate rate specified in Part II of the Second Schedule [which lays out the maximum pension for different age-categories of children without a widow].</w:t>
      </w:r>
      <w:r w:rsidRPr="00BE407E">
        <w:rPr>
          <w:rFonts w:ascii="Times New Roman" w:eastAsia="Times New Roman" w:hAnsi="Times New Roman" w:cs="Times New Roman"/>
          <w:sz w:val="24"/>
          <w:szCs w:val="24"/>
        </w:rPr>
        <w:br/>
        <w:t>(3) If a child in respect of whom a pension is payable in terms of subsection (1) or (2)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dies, or otherwise ceases to be a child as defined in subsection (1) [a child is an unmarried legal or legalized son or daughter under 19 years of age] of section two, the pension payable under subsection (1) or (2) … shall cease or, if there is another child or children, be adjusted accordingly;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attains the age of six or twelve years, the pension payable under subsection (1) or (2) … shall be adjusted accordingly.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(7) If a deceased person leaves more than five children, the pensions payable in terms of this section in respect of the children shall be calculated in relation to the five eldest who are children as defined in subsection (1) of section two.</w:t>
      </w:r>
      <w:r w:rsidRPr="00BE407E">
        <w:rPr>
          <w:rFonts w:ascii="Times New Roman" w:eastAsia="Times New Roman" w:hAnsi="Times New Roman" w:cs="Times New Roman"/>
          <w:sz w:val="24"/>
          <w:szCs w:val="24"/>
        </w:rPr>
        <w:br/>
        <w:t>22. Pensions for other dependants</w:t>
      </w:r>
      <w:r w:rsidRPr="00BE407E">
        <w:rPr>
          <w:rFonts w:ascii="Times New Roman" w:eastAsia="Times New Roman" w:hAnsi="Times New Roman" w:cs="Times New Roman"/>
          <w:sz w:val="24"/>
          <w:szCs w:val="24"/>
        </w:rPr>
        <w:br/>
        <w:t>(1) Subject to subsection (2), if a deceased person leaves a dependant who is not his widow or child and who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is wholly or partly incapable of supporting himself;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is in need of support;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Commissioner may award to that dependant a pension or other benefit calculated in terms of subsection (2) for such period and subject to such terms and conditions as the Commissioner considers equitable in the circumstances.</w:t>
      </w:r>
      <w:r>
        <w:rPr>
          <w:rFonts w:ascii="Times New Roman" w:eastAsia="Times New Roman" w:hAnsi="Times New Roman" w:cs="Times New Roman"/>
          <w:noProof/>
          <w:sz w:val="24"/>
          <w:szCs w:val="24"/>
        </w:rPr>
        <w:drawing>
          <wp:inline distT="0" distB="0" distL="0" distR="0">
            <wp:extent cx="151130" cy="142875"/>
            <wp:effectExtent l="19050" t="0" r="1270" b="0"/>
            <wp:docPr id="3030" name="Imagen 30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PART VI</w:t>
      </w:r>
      <w:r w:rsidRPr="00BE407E">
        <w:rPr>
          <w:rFonts w:ascii="Times New Roman" w:eastAsia="Times New Roman" w:hAnsi="Times New Roman" w:cs="Times New Roman"/>
          <w:sz w:val="24"/>
          <w:szCs w:val="24"/>
        </w:rPr>
        <w:br/>
        <w:t>SPECIAL PROVISIONS FOR WOMEN AND CHILDREN</w:t>
      </w:r>
      <w:r w:rsidRPr="00BE407E">
        <w:rPr>
          <w:rFonts w:ascii="Times New Roman" w:eastAsia="Times New Roman" w:hAnsi="Times New Roman" w:cs="Times New Roman"/>
          <w:sz w:val="24"/>
          <w:szCs w:val="24"/>
        </w:rPr>
        <w:br/>
        <w:t>24. Special provisions relating to females</w:t>
      </w:r>
      <w:r w:rsidRPr="00BE407E">
        <w:rPr>
          <w:rFonts w:ascii="Times New Roman" w:eastAsia="Times New Roman" w:hAnsi="Times New Roman" w:cs="Times New Roman"/>
          <w:sz w:val="24"/>
          <w:szCs w:val="24"/>
        </w:rPr>
        <w:br/>
        <w:t>(1) If a disabled person is a female and has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a husband who is incapable of supporting himself due to physical or mental incapacity occasioned without his default;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one or more children who are incapable of supporting themselves and have no father who is both able and willing to support them;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a dependant who—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Commissioner [of War Victims Compensation, instituted with the Act] may award in respect of such husband, children or dependant, as the case may be, the compensation that would have been payable in terms of this Act had the disabled person been a male and had a wife or children or a dependant, as the case may be, in those circumstances.</w:t>
      </w:r>
      <w:r w:rsidRPr="00BE407E">
        <w:rPr>
          <w:rFonts w:ascii="Times New Roman" w:eastAsia="Times New Roman" w:hAnsi="Times New Roman" w:cs="Times New Roman"/>
          <w:sz w:val="24"/>
          <w:szCs w:val="24"/>
        </w:rPr>
        <w:br/>
        <w:t>(2) If a disabled person is a female who is—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married, her earnings shall, for the purpose of calculating the amount of any compensation payable to her in terms of this Act, be deemed to be the amount of the pension which would have been payable in terms of section nineteen had she been a widow;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unmarried, her earnings shall, for the purpose of calculating the amount of any compensation payable to her in terms of this Act, be deemed to be such amount as the Commissioner may determine.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 If a deceased person was a female and leaves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a widower who is incapable of supporting himself due to physical or mental incapacity occasioned without his default;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(b) one or more children who are incapable of supporting themselves and have no father who is both willing and able to support them;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a dependant who—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Commissioner may award to such widower or in respect of such children or dependant, as the case may be, the compensation that would have been payable in terms of this Act had the deceased person been a male and left a widow or children or a dependant, as the case may be, in those circumstances.</w:t>
      </w:r>
      <w:r w:rsidRPr="00BE407E">
        <w:rPr>
          <w:rFonts w:ascii="Times New Roman" w:eastAsia="Times New Roman" w:hAnsi="Times New Roman" w:cs="Times New Roman"/>
          <w:sz w:val="24"/>
          <w:szCs w:val="24"/>
        </w:rPr>
        <w:br/>
        <w:t>(4) If a deceased person was a female, her earnings shall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be deemed to have been such amount as the Commissioner may determine.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25. Special provisions relating to minors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 Notwithstanding anything contained in this Act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there shall be paid in respect of the disablement of a minor such compensation as the Commissioner may consider appropriate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no pension shall be payable to any person in respect of the death of a minor.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26. Educational allowances</w:t>
      </w:r>
      <w:r w:rsidRPr="00BE407E">
        <w:rPr>
          <w:rFonts w:ascii="Times New Roman" w:eastAsia="Times New Roman" w:hAnsi="Times New Roman" w:cs="Times New Roman"/>
          <w:sz w:val="24"/>
          <w:szCs w:val="24"/>
        </w:rPr>
        <w:br/>
        <w:t>(1) If any pension or allowance payable in terms of this Act in respect of the child of a disabled person or deceased person has ceased because the child has reached the age of nineteen or twenty-one years, as the case may be, and that child continues to receive full-time education at an educational institution, the Commissioner may … award an allowance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if that child attends at a university, at a rate not exceeding eight hundred and fifty-six dollars per annum;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if that child attends at an educational institution other than a university, at a rate not exceeding eight hundred and fifty-six dollars per annum or, if the Commissioner considers that there are special circumstances warranting a greater allowance, not exceeding five hundred and ninety-five dollars per annum.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(3) An allowance in terms of subsection (1) shall not be payable in respect of any period after the child attains the age of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in the case of a child attending at a university, twenty-four years;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in the case of a child attending at an educational institution other than a university, twenty-one years: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Provided that, if the Commissioner considers that there are special circumstances … the Commissioner may authorize the payment of the allowance or part thereof for such period as the Commissioner thinks fit.</w:t>
      </w:r>
      <w:r>
        <w:rPr>
          <w:rFonts w:ascii="Times New Roman" w:eastAsia="Times New Roman" w:hAnsi="Times New Roman" w:cs="Times New Roman"/>
          <w:noProof/>
          <w:sz w:val="24"/>
          <w:szCs w:val="24"/>
        </w:rPr>
        <w:drawing>
          <wp:inline distT="0" distB="0" distL="0" distR="0">
            <wp:extent cx="151130" cy="142875"/>
            <wp:effectExtent l="19050" t="0" r="1270" b="0"/>
            <wp:docPr id="3031" name="Imagen 30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1" w:history="1">
        <w:r w:rsidRPr="00BE407E">
          <w:rPr>
            <w:rFonts w:ascii="Times New Roman" w:eastAsia="Times New Roman" w:hAnsi="Times New Roman" w:cs="Times New Roman"/>
            <w:color w:val="0000FF"/>
            <w:sz w:val="24"/>
            <w:szCs w:val="24"/>
            <w:u w:val="single"/>
          </w:rPr>
          <w:t>V. National Case-law</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Bouzari case</w:t>
      </w:r>
      <w:r w:rsidRPr="00BE407E">
        <w:rPr>
          <w:rFonts w:ascii="Times New Roman" w:eastAsia="Times New Roman" w:hAnsi="Times New Roman" w:cs="Times New Roman"/>
          <w:sz w:val="24"/>
          <w:szCs w:val="24"/>
        </w:rPr>
        <w:t xml:space="preserve"> before Canada’s Court of Appeal for Ontario in 2004, the appellant appealed a decision of the Ontario Superior Court of Justice (</w:t>
      </w:r>
      <w:r w:rsidRPr="00BE407E">
        <w:rPr>
          <w:rFonts w:ascii="Times New Roman" w:eastAsia="Times New Roman" w:hAnsi="Times New Roman" w:cs="Times New Roman"/>
          <w:i/>
          <w:iCs/>
          <w:sz w:val="24"/>
          <w:szCs w:val="24"/>
        </w:rPr>
        <w:t>Bouzari v. Islamic Republic of Iran</w:t>
      </w:r>
      <w:r w:rsidRPr="00BE407E">
        <w:rPr>
          <w:rFonts w:ascii="Times New Roman" w:eastAsia="Times New Roman" w:hAnsi="Times New Roman" w:cs="Times New Roman"/>
          <w:sz w:val="24"/>
          <w:szCs w:val="24"/>
        </w:rPr>
        <w:t xml:space="preserve"> [2002] OJ No. 1624), which had barred him from suing the Islamic Republic of Iran, under Canada’s State Immunity Act 1985 (SIA). Bouzari had attempted to claim damages for torture, an action which had arisen out of events that had occurred in the Islamic Republic of Iran in 1993 and 1994. In summarizing the lower court’s decision, the Court of Appeal noted:</w:t>
      </w:r>
      <w:r w:rsidRPr="00BE407E">
        <w:rPr>
          <w:rFonts w:ascii="Times New Roman" w:eastAsia="Times New Roman" w:hAnsi="Times New Roman" w:cs="Times New Roman"/>
          <w:sz w:val="24"/>
          <w:szCs w:val="24"/>
        </w:rPr>
        <w:br/>
        <w:t xml:space="preserve">[19] The motion judge dismissed the action in reasons for judgment that are both thorough and erudite. She first addressed the question of the court’s jurisdiction over a </w:t>
      </w:r>
      <w:r w:rsidRPr="00BE407E">
        <w:rPr>
          <w:rFonts w:ascii="Times New Roman" w:eastAsia="Times New Roman" w:hAnsi="Times New Roman" w:cs="Times New Roman"/>
          <w:sz w:val="24"/>
          <w:szCs w:val="24"/>
        </w:rPr>
        <w:lastRenderedPageBreak/>
        <w:t>claim that is brought against a foreign defendant for a tort committed abroad. While she found no real and substantial connection with Ontario, as would normally be required to establish jurisdiction, she declined to decide the case on that basis because of the possibility that these rules might be modified where the claim is for torture by a foreign state inflicted in that state.</w:t>
      </w:r>
      <w:r w:rsidRPr="00BE407E">
        <w:rPr>
          <w:rFonts w:ascii="Times New Roman" w:eastAsia="Times New Roman" w:hAnsi="Times New Roman" w:cs="Times New Roman"/>
          <w:sz w:val="24"/>
          <w:szCs w:val="24"/>
        </w:rPr>
        <w:br/>
        <w:t>[20] She then turned to the issue of the state immunity of Iran. She found that none of the three exceptions provided in the SIA applies to displace the immunity accorded by s. 3 of that legislation. She also concluded that there is no public international law, sourced either in treaties or in customary international law, that alters that conclusion. Finally, she found that s. 3 of the SIA does not violate s. 7 of the Charter [</w:t>
      </w:r>
      <w:r w:rsidRPr="00BE407E">
        <w:rPr>
          <w:rFonts w:ascii="Times New Roman" w:eastAsia="Times New Roman" w:hAnsi="Times New Roman" w:cs="Times New Roman"/>
          <w:i/>
          <w:iCs/>
          <w:sz w:val="24"/>
          <w:szCs w:val="24"/>
        </w:rPr>
        <w:t>Canadian Charter of Rights and Freedoms</w:t>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[21] As a result, she concluded that the court has no jurisdiction over Iran in the circumstances of this case because of state immunity. She therefore dismissed the action. Mr. Bouzari now appeals.</w:t>
      </w:r>
      <w:r>
        <w:rPr>
          <w:rFonts w:ascii="Times New Roman" w:eastAsia="Times New Roman" w:hAnsi="Times New Roman" w:cs="Times New Roman"/>
          <w:noProof/>
          <w:sz w:val="24"/>
          <w:szCs w:val="24"/>
        </w:rPr>
        <w:drawing>
          <wp:inline distT="0" distB="0" distL="0" distR="0">
            <wp:extent cx="151130" cy="142875"/>
            <wp:effectExtent l="19050" t="0" r="1270" b="0"/>
            <wp:docPr id="3032" name="Imagen 30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[57] In my view [Goudge, JA], the wording of the SIA must be taken as a complete answer to this argument. Section 3(1) could not be clearer. To reiterate, it says: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3. (1) </w:t>
      </w:r>
      <w:r w:rsidRPr="00BE407E">
        <w:rPr>
          <w:rFonts w:ascii="Times New Roman" w:eastAsia="Times New Roman" w:hAnsi="Times New Roman" w:cs="Times New Roman"/>
          <w:i/>
          <w:iCs/>
          <w:sz w:val="24"/>
          <w:szCs w:val="24"/>
        </w:rPr>
        <w:t>Except as provided by this Act</w:t>
      </w:r>
      <w:r w:rsidRPr="00BE407E">
        <w:rPr>
          <w:rFonts w:ascii="Times New Roman" w:eastAsia="Times New Roman" w:hAnsi="Times New Roman" w:cs="Times New Roman"/>
          <w:sz w:val="24"/>
          <w:szCs w:val="24"/>
        </w:rPr>
        <w:t>, a foreign state is immune from the jurisdiction of any court in Canada [emphasis added by Court of Appeal].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[58] The plain and ordinary meaning of these words is that they codify the law of sovereign immunity.</w:t>
      </w:r>
      <w:r>
        <w:rPr>
          <w:rFonts w:ascii="Times New Roman" w:eastAsia="Times New Roman" w:hAnsi="Times New Roman" w:cs="Times New Roman"/>
          <w:noProof/>
          <w:sz w:val="24"/>
          <w:szCs w:val="24"/>
        </w:rPr>
        <w:drawing>
          <wp:inline distT="0" distB="0" distL="0" distR="0">
            <wp:extent cx="151130" cy="142875"/>
            <wp:effectExtent l="19050" t="0" r="1270" b="0"/>
            <wp:docPr id="3033" name="Imagen 30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[72] … [I]t is Article 14 [of the 1984 Convention Against Torture] which is the focus of the appellant’s argument. It reads as follows: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 Each State Party shall ensure in its legal system that the victim of an act of torture obtains redress and has an enforceable right to fair and adequate compensation including the means for as full rehabilitation as possible. In the event of the death of the victim as a result of an act of torture, his dependants shall be entitled to compensation.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Nothing in this article shall affect any right of the victim or other person to compensation which may exist under national law.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[81] In my view, the motion judge correctly concluded on the basis of these various considerations that Canada’s treaty obligation pursuant to Article 14 does not extend to providing the right to a civil remedy against a foreign state for torture committed abroad. The appellant’s various attacks on her careful analysis all must be dismissed. Canada’s treaty obligation under Article 14 simply does not extend to the appellant’s case.</w:t>
      </w:r>
      <w:r>
        <w:rPr>
          <w:rFonts w:ascii="Times New Roman" w:eastAsia="Times New Roman" w:hAnsi="Times New Roman" w:cs="Times New Roman"/>
          <w:noProof/>
          <w:sz w:val="24"/>
          <w:szCs w:val="24"/>
        </w:rPr>
        <w:drawing>
          <wp:inline distT="0" distB="0" distL="0" distR="0">
            <wp:extent cx="151130" cy="142875"/>
            <wp:effectExtent l="19050" t="0" r="1270" b="0"/>
            <wp:docPr id="3034" name="Imagen 30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[87] The motion judge found that prohibition of torture is a rule of </w:t>
      </w:r>
      <w:r w:rsidRPr="00BE407E">
        <w:rPr>
          <w:rFonts w:ascii="Times New Roman" w:eastAsia="Times New Roman" w:hAnsi="Times New Roman" w:cs="Times New Roman"/>
          <w:i/>
          <w:iCs/>
          <w:sz w:val="24"/>
          <w:szCs w:val="24"/>
        </w:rPr>
        <w:t>jus cogens</w:t>
      </w:r>
      <w:r w:rsidRPr="00BE407E">
        <w:rPr>
          <w:rFonts w:ascii="Times New Roman" w:eastAsia="Times New Roman" w:hAnsi="Times New Roman" w:cs="Times New Roman"/>
          <w:sz w:val="24"/>
          <w:szCs w:val="24"/>
        </w:rPr>
        <w:t>. For the purpose of this appeal, no one, including the Attorney General of Canada, questions this conclusion. Rather the question is the scope of that norm. In particular, does it extend to a requirement to provide the right to a civil remedy for torture committed abroad by a foreign state?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[94] … [A]s a matter of practice, states do not accord a civil remedy for torture committed abroad by foreign states. The peremptory norm of prohibition against torture does not encompass the civil remedy contended for by the appellant.</w:t>
      </w:r>
      <w:r>
        <w:rPr>
          <w:rFonts w:ascii="Times New Roman" w:eastAsia="Times New Roman" w:hAnsi="Times New Roman" w:cs="Times New Roman"/>
          <w:noProof/>
          <w:sz w:val="24"/>
          <w:szCs w:val="24"/>
        </w:rPr>
        <w:drawing>
          <wp:inline distT="0" distB="0" distL="0" distR="0">
            <wp:extent cx="151130" cy="142875"/>
            <wp:effectExtent l="19050" t="0" r="1270" b="0"/>
            <wp:docPr id="3035" name="Imagen 30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Democratic Republic of the Congo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March 2006, in the </w:t>
      </w:r>
      <w:r w:rsidRPr="00BE407E">
        <w:rPr>
          <w:rFonts w:ascii="Times New Roman" w:eastAsia="Times New Roman" w:hAnsi="Times New Roman" w:cs="Times New Roman"/>
          <w:i/>
          <w:iCs/>
          <w:sz w:val="24"/>
          <w:szCs w:val="24"/>
        </w:rPr>
        <w:t>Bongi Massaba case</w:t>
      </w:r>
      <w:r w:rsidRPr="00BE407E">
        <w:rPr>
          <w:rFonts w:ascii="Times New Roman" w:eastAsia="Times New Roman" w:hAnsi="Times New Roman" w:cs="Times New Roman"/>
          <w:sz w:val="24"/>
          <w:szCs w:val="24"/>
        </w:rPr>
        <w:t>, a case against a captain of the armed forces of the Democratic Republic of the Congo, the Military Garrison Court of Ituri at Bunia held:</w:t>
      </w:r>
      <w:r w:rsidRPr="00BE407E">
        <w:rPr>
          <w:rFonts w:ascii="Times New Roman" w:eastAsia="Times New Roman" w:hAnsi="Times New Roman" w:cs="Times New Roman"/>
          <w:sz w:val="24"/>
          <w:szCs w:val="24"/>
        </w:rPr>
        <w:br/>
        <w:t xml:space="preserve">Whereas, in the present case, the three conditions of civil liability are fulfilled, inasmuch as the defendant has committed a fault by causing, by bullet, the death of the </w:t>
      </w:r>
      <w:r w:rsidRPr="00BE407E">
        <w:rPr>
          <w:rFonts w:ascii="Times New Roman" w:eastAsia="Times New Roman" w:hAnsi="Times New Roman" w:cs="Times New Roman"/>
          <w:sz w:val="24"/>
          <w:szCs w:val="24"/>
        </w:rPr>
        <w:lastRenderedPageBreak/>
        <w:t>following persons …</w:t>
      </w:r>
      <w:r w:rsidRPr="00BE407E">
        <w:rPr>
          <w:rFonts w:ascii="Times New Roman" w:eastAsia="Times New Roman" w:hAnsi="Times New Roman" w:cs="Times New Roman"/>
          <w:sz w:val="24"/>
          <w:szCs w:val="24"/>
        </w:rPr>
        <w:br/>
        <w:t>Whereas, therefore, the civil liability of the defendant, as perpetrator of the act, is fully engaged.</w:t>
      </w:r>
      <w:r w:rsidRPr="00BE407E">
        <w:rPr>
          <w:rFonts w:ascii="Times New Roman" w:eastAsia="Times New Roman" w:hAnsi="Times New Roman" w:cs="Times New Roman"/>
          <w:sz w:val="24"/>
          <w:szCs w:val="24"/>
        </w:rPr>
        <w:br/>
        <w:t>Whereas, furthermore, the conditions of article 260, paragraph 3 [of the Congolese Civil Code], according to which masters and principals are liable for the damage caused by their servants and agents in the functions for which they were employed, must equally be examined;</w:t>
      </w:r>
      <w:r w:rsidRPr="00BE407E">
        <w:rPr>
          <w:rFonts w:ascii="Times New Roman" w:eastAsia="Times New Roman" w:hAnsi="Times New Roman" w:cs="Times New Roman"/>
          <w:sz w:val="24"/>
          <w:szCs w:val="24"/>
        </w:rPr>
        <w:br/>
        <w:t>Whereas, in fact, four conditions are required for the application of that article, namely: the existence of a link between the principal and the agent; proof that the damage was caused by the fault; occurrence of the damage in the exercise of the functions for which the agent was last employed; the damage was caused to a third person.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Whereas, in the present case, the four conditions mentioned above are fulfilled, inasmuch as: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there is an agent, namely the defendant Blaise Bongi Massaba, who worked under the authority and the orders of the principal who happens to be the Congolese State (Democratic Republic of the Congo), through the army, the FARDC;</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death of the five persons cited above was caused by the defendant, captain Blaise Bongi Massaba, agent of the Congolese State, who, with the help of a war weapon, shot on the five victims;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these victims, cited above, were third persons in the sense of the law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defendant, captain Blaise Bongi Massaba, agent of the army, the FARDC, committed the act which caused injury to the victims while being in service;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Whereas, in view of the above, the civil liability of the principal, namely the Congolese State (the Democratic Republic of the Congo), through its army (the FARDC), remains fully engaged;</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Therefore</w:t>
      </w:r>
      <w:r w:rsidRPr="00BE407E">
        <w:rPr>
          <w:rFonts w:ascii="Times New Roman" w:eastAsia="Times New Roman" w:hAnsi="Times New Roman" w:cs="Times New Roman"/>
          <w:i/>
          <w:iCs/>
          <w:sz w:val="24"/>
          <w:szCs w:val="24"/>
        </w:rPr>
        <w:br/>
        <w:t>…</w:t>
      </w:r>
      <w:r w:rsidRPr="00BE407E">
        <w:rPr>
          <w:rFonts w:ascii="Times New Roman" w:eastAsia="Times New Roman" w:hAnsi="Times New Roman" w:cs="Times New Roman"/>
          <w:i/>
          <w:iCs/>
          <w:sz w:val="24"/>
          <w:szCs w:val="24"/>
        </w:rPr>
        <w:br/>
        <w:t>The Military Garrison Tribunal of Ituri, finding on the civil action,</w:t>
      </w:r>
      <w:r w:rsidRPr="00BE407E">
        <w:rPr>
          <w:rFonts w:ascii="Times New Roman" w:eastAsia="Times New Roman" w:hAnsi="Times New Roman" w:cs="Times New Roman"/>
          <w:i/>
          <w:iCs/>
          <w:sz w:val="24"/>
          <w:szCs w:val="24"/>
        </w:rPr>
        <w:br/>
        <w:t>After proceedings in which both sides were heard, and by the majority of the votes of its members, by secret vote,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Consequently orders Mr Blaise Bongi Massaba jointly with the Democratic Republic of the Congo to pay each of the four families of the victims the equivalent in Congolese Francs of the sum of 75,000 US Dollars (seventy-five-thousand US Dollars) as damages and interest, covering all injuries, or the equivalent in Congolese Francs of the total sum of 300,000 US Dollars (three-hundred-thousand US Dollars).</w:t>
      </w:r>
      <w:r>
        <w:rPr>
          <w:rFonts w:ascii="Times New Roman" w:eastAsia="Times New Roman" w:hAnsi="Times New Roman" w:cs="Times New Roman"/>
          <w:noProof/>
          <w:sz w:val="24"/>
          <w:szCs w:val="24"/>
        </w:rPr>
        <w:drawing>
          <wp:inline distT="0" distB="0" distL="0" distR="0">
            <wp:extent cx="151130" cy="142875"/>
            <wp:effectExtent l="19050" t="0" r="1270" b="0"/>
            <wp:docPr id="3036" name="Imagen 30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Whereas the charges of the war crimes of pillage and violence to life and person are sufficiently established as required by the law;</w:t>
      </w:r>
      <w:r w:rsidRPr="00BE407E">
        <w:rPr>
          <w:rFonts w:ascii="Times New Roman" w:eastAsia="Times New Roman" w:hAnsi="Times New Roman" w:cs="Times New Roman"/>
          <w:sz w:val="24"/>
          <w:szCs w:val="24"/>
        </w:rPr>
        <w:br/>
        <w:t>Whereas these breaches caused damages and harm for which the civilian parties demand reparation and indemnification on the basis of articles 258 and 260 of the third book of the Congolese civil code;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Whereas the civil liability of the authors of breaches that have caused harm to the parties is based on article 258 of the third book of the Congolese civil code, according to which: “any act whatsoever which causes damage to another, obligates the person by whose fault that damage has occurred to repair it”.</w:t>
      </w:r>
      <w:r w:rsidRPr="00BE407E">
        <w:rPr>
          <w:rFonts w:ascii="Times New Roman" w:eastAsia="Times New Roman" w:hAnsi="Times New Roman" w:cs="Times New Roman"/>
          <w:sz w:val="24"/>
          <w:szCs w:val="24"/>
        </w:rPr>
        <w:br/>
        <w:t>What about the civil responsibility of the State?</w:t>
      </w:r>
      <w:r w:rsidRPr="00BE407E">
        <w:rPr>
          <w:rFonts w:ascii="Times New Roman" w:eastAsia="Times New Roman" w:hAnsi="Times New Roman" w:cs="Times New Roman"/>
          <w:sz w:val="24"/>
          <w:szCs w:val="24"/>
        </w:rPr>
        <w:br/>
        <w:t>Whereas that responsibility follows from the presumption of the fault the administration or the State can commit in the choice and supervision of its agents;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Whereas the beneficiary of the act accomplished by its agents on its account, it is only logical and follows from the elementary principle of fairness that the State is called on to repair the wrong resulting from the service from which it profits as master;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Whereas the State, just like the principal, must answer for the damage caused by its agents in the exercise of their functions, not because it has committed a fault, created a risk or broken the equality of burdens between citizens, but because it is obligated to guarantee the safety of individuals against damaging acts by those who exercise an activity in its name and on its account;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Whereas, in fact, when an organ of the State acts, it is the State itself that acts, and, consequently, when an agent commits a fault in the exercise of his functions, that fault engages the whole State …;</w:t>
      </w:r>
      <w:r w:rsidRPr="00BE407E">
        <w:rPr>
          <w:rFonts w:ascii="Times New Roman" w:eastAsia="Times New Roman" w:hAnsi="Times New Roman" w:cs="Times New Roman"/>
          <w:sz w:val="24"/>
          <w:szCs w:val="24"/>
        </w:rPr>
        <w:br/>
        <w:t>Whereas the abuse of the function is no obstacle to the responsibility of the master;</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Whereas the defendant Blaise Bongi Massaba, in his capacity as soldier of the FARDC, is an agent of the Congolese State, thus that soldier engages the responsibility of the State, since it is admitted that the abuse of functions is not an obstacle to the responsibility of the principal, namely the Democratic Republic of the Congo;</w:t>
      </w:r>
      <w:r w:rsidRPr="00BE407E">
        <w:rPr>
          <w:rFonts w:ascii="Times New Roman" w:eastAsia="Times New Roman" w:hAnsi="Times New Roman" w:cs="Times New Roman"/>
          <w:sz w:val="24"/>
          <w:szCs w:val="24"/>
        </w:rPr>
        <w:br/>
        <w:t>Whereas the Military Court of the Eastern Province therefore judges that the responsibility of the Democratic Republic of the Congo is engaged as regards the assassination of the five pupils from Tchekele by the soldiers of the third company under the command of the defendant Blaise Bongi Massaba;</w:t>
      </w:r>
      <w:r w:rsidRPr="00BE407E">
        <w:rPr>
          <w:rFonts w:ascii="Times New Roman" w:eastAsia="Times New Roman" w:hAnsi="Times New Roman" w:cs="Times New Roman"/>
          <w:sz w:val="24"/>
          <w:szCs w:val="24"/>
        </w:rPr>
        <w:br/>
        <w:t>Whereas the same applies to the other acts of attacks on property in which not only the soldiers are implicated but in which also and in particular the Congolese State has failed its mission to keep individuals safe;</w:t>
      </w:r>
      <w:r w:rsidRPr="00BE407E">
        <w:rPr>
          <w:rFonts w:ascii="Times New Roman" w:eastAsia="Times New Roman" w:hAnsi="Times New Roman" w:cs="Times New Roman"/>
          <w:sz w:val="24"/>
          <w:szCs w:val="24"/>
        </w:rPr>
        <w:br/>
        <w:t>Whereas that responsibility for acts of third persons finds its basis in article 260 of the third book of the Congolese civil code which provides: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one is responsible not only for the damage one causes by one’s own act, but also for that which is caused by the act of persons for whom one is responsible or things which one has under one’s care;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Whereas the Democratic Republic of the Congo in its capacity as principal described above has the civil liability for the reparation or indemnification of damages and harm caused to third persons by the act of its agents, who are the soldiers of the FARDC, of the third company of the first battalion in the sixth brigade.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Therefore</w:t>
      </w:r>
      <w:r w:rsidRPr="00BE407E">
        <w:rPr>
          <w:rFonts w:ascii="Times New Roman" w:eastAsia="Times New Roman" w:hAnsi="Times New Roman" w:cs="Times New Roman"/>
          <w:i/>
          <w:iCs/>
          <w:sz w:val="24"/>
          <w:szCs w:val="24"/>
        </w:rPr>
        <w:br/>
        <w:t>…</w:t>
      </w:r>
      <w:r w:rsidRPr="00BE407E">
        <w:rPr>
          <w:rFonts w:ascii="Times New Roman" w:eastAsia="Times New Roman" w:hAnsi="Times New Roman" w:cs="Times New Roman"/>
          <w:i/>
          <w:iCs/>
          <w:sz w:val="24"/>
          <w:szCs w:val="24"/>
        </w:rPr>
        <w:br/>
        <w:t>The Military Court of the Eastern Province, finding on the civil action, after proceedings in which both sides were heard, and by the majority of the votes of its members.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 Declares admissible and founded on the merits the action for reparation and indemnification for harms introduced by Madame …</w:t>
      </w:r>
      <w:r w:rsidRPr="00BE407E">
        <w:rPr>
          <w:rFonts w:ascii="Times New Roman" w:eastAsia="Times New Roman" w:hAnsi="Times New Roman" w:cs="Times New Roman"/>
          <w:sz w:val="24"/>
          <w:szCs w:val="24"/>
        </w:rPr>
        <w:br/>
        <w:t>The courts orders the defendant Blaise Bongi Massaba, jointly with the Democratic Republic of the Congo, to pay as compensation for damage suffered:</w:t>
      </w:r>
      <w:r w:rsidRPr="00BE407E">
        <w:rPr>
          <w:rFonts w:ascii="Times New Roman" w:eastAsia="Times New Roman" w:hAnsi="Times New Roman" w:cs="Times New Roman"/>
          <w:sz w:val="24"/>
          <w:szCs w:val="24"/>
        </w:rPr>
        <w:br/>
        <w:t>To Madame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mother of … and aunt of…</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equivalent in Congolese Francs of 100,000 US Dollars as damages and interest,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equivalent in Congolese Francs of 15,000 US Dollars as the counter value of her destroyed house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restitution of the objects described above or their counter value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2. As regards the civil party …, father of … and …,</w:t>
      </w:r>
      <w:r w:rsidRPr="00BE407E">
        <w:rPr>
          <w:rFonts w:ascii="Times New Roman" w:eastAsia="Times New Roman" w:hAnsi="Times New Roman" w:cs="Times New Roman"/>
          <w:sz w:val="24"/>
          <w:szCs w:val="24"/>
        </w:rPr>
        <w:br/>
        <w:t>The Military Court of the Eastern Province orders the defendant Blaise Bongi Massaba, jointly with the Democratic Republic of the Congo, to pay…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equivalent in Congolese Francs of 100,000 US Dollars as damages and interest.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 As regards the civil party …, father of …,</w:t>
      </w:r>
      <w:r w:rsidRPr="00BE407E">
        <w:rPr>
          <w:rFonts w:ascii="Times New Roman" w:eastAsia="Times New Roman" w:hAnsi="Times New Roman" w:cs="Times New Roman"/>
          <w:sz w:val="24"/>
          <w:szCs w:val="24"/>
        </w:rPr>
        <w:br/>
        <w:t>The Military Court of the Eastern Province orders the defendant Blaise Bongi Massaba, jointly with the Democratic Republic of the Congo, to pay…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the equivalent in Congolese Francs of 50,000 US Dollars as damages and interest.</w:t>
      </w:r>
      <w:r>
        <w:rPr>
          <w:rFonts w:ascii="Times New Roman" w:eastAsia="Times New Roman" w:hAnsi="Times New Roman" w:cs="Times New Roman"/>
          <w:noProof/>
          <w:sz w:val="24"/>
          <w:szCs w:val="24"/>
        </w:rPr>
        <w:drawing>
          <wp:inline distT="0" distB="0" distL="0" distR="0">
            <wp:extent cx="151130" cy="142875"/>
            <wp:effectExtent l="19050" t="0" r="1270" b="0"/>
            <wp:docPr id="3037" name="Imagen 30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2010, in the </w:t>
      </w:r>
      <w:r w:rsidRPr="00BE407E">
        <w:rPr>
          <w:rFonts w:ascii="Times New Roman" w:eastAsia="Times New Roman" w:hAnsi="Times New Roman" w:cs="Times New Roman"/>
          <w:i/>
          <w:iCs/>
          <w:sz w:val="24"/>
          <w:szCs w:val="24"/>
        </w:rPr>
        <w:t>Kaplan case</w:t>
      </w:r>
      <w:r w:rsidRPr="00BE407E">
        <w:rPr>
          <w:rFonts w:ascii="Times New Roman" w:eastAsia="Times New Roman" w:hAnsi="Times New Roman" w:cs="Times New Roman"/>
          <w:sz w:val="24"/>
          <w:szCs w:val="24"/>
        </w:rPr>
        <w:t>, the Paris Administrative Court was called upon to rule on a matter of compensation related to art works despoiled in occupied France during World War II:</w:t>
      </w:r>
      <w:r w:rsidRPr="00BE407E">
        <w:rPr>
          <w:rFonts w:ascii="Times New Roman" w:eastAsia="Times New Roman" w:hAnsi="Times New Roman" w:cs="Times New Roman"/>
          <w:sz w:val="24"/>
          <w:szCs w:val="24"/>
        </w:rPr>
        <w:br/>
        <w:t xml:space="preserve">[T]he Commission for the Compensation of Victims of Despoliation received an application for compensation regarding … pieces of art that were deposited in the safe of a bank in Bordeaux in 1941. According to the inventory of the deposit, there were 151 pieces, including 78 paintings, and all of them were seized by the occupying forces on 15 March 1943, while three of them were returned after the conflict. [The applicants] allege that the commission should have assessed the amount of the damage caused by the despoliation … with regards to [the value of the property at the] date when the damage was assessed rather than its value as recognized in 1962 by the German government … [The applicants allege also that] the prime minister, by adopting [the assessment of the damage as] recommended by the commission, violated the principle of integral reparation.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[T]he damage to the property shall be assessed when its causes have ceased and its extension is known, and it is thus possible to proceed with the reparation. In the present case, from the 151 paintings and pieces of art stolen […], only three were returned after the war. The reparation of the damage provoked by the disappearance of this cultural property, which is by its very nature irreplaceable, can only consist of compensation corresponding to the estimated value of the property at the day of its disappearance, or from the moment when such estimation became possible, actualized to cover the monetary erosion … Consequently, the prime minister adequately applied [Decree No. 99-778 of 10 September 1999] by basing the calculation of the compensation due by the State … on the value determined jointly by the German authorities and the interested persons in 1962. This decree does not aim at ensuring the integral reparation of the damage, but rather at allowing the State to restore the balance destroyed by the damage in a fashion that appears to be the most exact possible and taking into account in particular the difficulties related to the long time elapsed since the facts, the diversity of the stolen property and the determination of its value.</w:t>
      </w:r>
      <w:r>
        <w:rPr>
          <w:rFonts w:ascii="Times New Roman" w:eastAsia="Times New Roman" w:hAnsi="Times New Roman" w:cs="Times New Roman"/>
          <w:noProof/>
          <w:sz w:val="24"/>
          <w:szCs w:val="24"/>
        </w:rPr>
        <w:drawing>
          <wp:inline distT="0" distB="0" distL="0" distR="0">
            <wp:extent cx="151130" cy="142875"/>
            <wp:effectExtent l="19050" t="0" r="1270" b="0"/>
            <wp:docPr id="3038" name="Imagen 30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[A]ccording to article 1 of the Decree [No. 99-778 of 10 September 1999]: “… a commission is established before the prime minister with the mandate of reviewing individual claims submitted by victims or their legal heirs or assignees in order to receive reparation for damages following the despoliation of their property resulting from anti-Semitic legislation adopted during the Occupation by either the occupying power or the Vichy government”.</w:t>
      </w:r>
      <w:r>
        <w:rPr>
          <w:rFonts w:ascii="Times New Roman" w:eastAsia="Times New Roman" w:hAnsi="Times New Roman" w:cs="Times New Roman"/>
          <w:noProof/>
          <w:sz w:val="24"/>
          <w:szCs w:val="24"/>
        </w:rPr>
        <w:drawing>
          <wp:inline distT="0" distB="0" distL="0" distR="0">
            <wp:extent cx="151130" cy="142875"/>
            <wp:effectExtent l="19050" t="0" r="1270" b="0"/>
            <wp:docPr id="3039" name="Imagen 30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1952, the German Administrative Court of Appeal of Münster heard a claim for compensation for injuries suffered by a German national as a result of a road accident with a vehicle belonging to the occupying powers. The Court held that the liability of occupying powers for injuries caused by their personnel was strict and that: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The plaintiff’s claim for damages derives not only from public municipal law but also from international law. By virtue of Article 3 of the [1907 Hague Convention (IV)] a State is liable for all acts committed by persons belonging to its armed forces. According to the wide wording of Article 3, which has been chosen in the interests of the protection of the civilian population, fault on the part of the person who has caused the damage is not a prerequisite of liability. It is therefore an undisputed principle of the doctrine of international law that Article 3 provides for the absolute liability of the Occupant in respect of acts committed by members of its armed forces. Within the framework of this absolute liability for which international law provides, a State is under a duty – according to the views of writers on international law which have, however, not yet been universally accepted – to pay compensation for “incorporeal” damage.</w:t>
      </w:r>
      <w:r>
        <w:rPr>
          <w:rFonts w:ascii="Times New Roman" w:eastAsia="Times New Roman" w:hAnsi="Times New Roman" w:cs="Times New Roman"/>
          <w:noProof/>
          <w:sz w:val="24"/>
          <w:szCs w:val="24"/>
        </w:rPr>
        <w:drawing>
          <wp:inline distT="0" distB="0" distL="0" distR="0">
            <wp:extent cx="151130" cy="142875"/>
            <wp:effectExtent l="19050" t="0" r="1270" b="0"/>
            <wp:docPr id="3040" name="Imagen 30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Reparation Payments case</w:t>
      </w:r>
      <w:r w:rsidRPr="00BE407E">
        <w:rPr>
          <w:rFonts w:ascii="Times New Roman" w:eastAsia="Times New Roman" w:hAnsi="Times New Roman" w:cs="Times New Roman"/>
          <w:sz w:val="24"/>
          <w:szCs w:val="24"/>
        </w:rPr>
        <w:t xml:space="preserve"> in 1963 relating to claims for compensation for slave labour during the Second World War, Germany’s Federal Supreme Court stated that the claims were in the nature of reparations claims and that “with regard to the inextricable connection with the question of reparations under international public law … it is not possible to deny the right to compensation based on civil law from the outset”.</w:t>
      </w:r>
      <w:r>
        <w:rPr>
          <w:rFonts w:ascii="Times New Roman" w:eastAsia="Times New Roman" w:hAnsi="Times New Roman" w:cs="Times New Roman"/>
          <w:noProof/>
          <w:sz w:val="24"/>
          <w:szCs w:val="24"/>
        </w:rPr>
        <w:drawing>
          <wp:inline distT="0" distB="0" distL="0" distR="0">
            <wp:extent cx="151130" cy="142875"/>
            <wp:effectExtent l="19050" t="0" r="1270" b="0"/>
            <wp:docPr id="3041" name="Imagen 30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Forced Labour case</w:t>
      </w:r>
      <w:r w:rsidRPr="00BE407E">
        <w:rPr>
          <w:rFonts w:ascii="Times New Roman" w:eastAsia="Times New Roman" w:hAnsi="Times New Roman" w:cs="Times New Roman"/>
          <w:sz w:val="24"/>
          <w:szCs w:val="24"/>
        </w:rPr>
        <w:t xml:space="preserve"> in 1996, Germany’s Constitutional Court held </w:t>
      </w:r>
      <w:r w:rsidRPr="00BE407E">
        <w:rPr>
          <w:rFonts w:ascii="Times New Roman" w:eastAsia="Times New Roman" w:hAnsi="Times New Roman" w:cs="Times New Roman"/>
          <w:i/>
          <w:iCs/>
          <w:sz w:val="24"/>
          <w:szCs w:val="24"/>
        </w:rPr>
        <w:t>obiter</w:t>
      </w:r>
      <w:r w:rsidRPr="00BE407E">
        <w:rPr>
          <w:rFonts w:ascii="Times New Roman" w:eastAsia="Times New Roman" w:hAnsi="Times New Roman" w:cs="Times New Roman"/>
          <w:sz w:val="24"/>
          <w:szCs w:val="24"/>
        </w:rPr>
        <w:t xml:space="preserve"> that there did not exist a rule of general international law preventing the payment of compensation to individuals for violations of international law. The Court added that it was therefore not prohibited for a State that has violated international law to allow individuals to bring claims for compensation for events during the Second World War through its national courts.</w:t>
      </w:r>
      <w:r>
        <w:rPr>
          <w:rFonts w:ascii="Times New Roman" w:eastAsia="Times New Roman" w:hAnsi="Times New Roman" w:cs="Times New Roman"/>
          <w:noProof/>
          <w:sz w:val="24"/>
          <w:szCs w:val="24"/>
        </w:rPr>
        <w:drawing>
          <wp:inline distT="0" distB="0" distL="0" distR="0">
            <wp:extent cx="151130" cy="142875"/>
            <wp:effectExtent l="19050" t="0" r="1270" b="0"/>
            <wp:docPr id="3042" name="Imagen 30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Distomo case</w:t>
      </w:r>
      <w:r w:rsidRPr="00BE407E">
        <w:rPr>
          <w:rFonts w:ascii="Times New Roman" w:eastAsia="Times New Roman" w:hAnsi="Times New Roman" w:cs="Times New Roman"/>
          <w:sz w:val="24"/>
          <w:szCs w:val="24"/>
        </w:rPr>
        <w:t xml:space="preserve"> in 2003 dealing with killings committed by German soldiers in Greece during the Second World War, Germany’s Federal Supreme Court stated that, due to a concept of war as a “relationship from State to State” as it existed during the Second World War, a State which was responsible for crimes committed at that time was only liable to pay compensation vis-à-vis another State but not vis-à-vis the individual victims. According to the Court, international law conferred the right upon States to exercise diplomatic protection of their nationals, and the right to claim compensation was the right of the State. With reference to Articles 2 and 3 of the Hague Convention (IV) and declaring the 1907 Hague Regulations as being directly applicable, it stated that this was true “at least for the period in question”, i.e. for the time of the Second World War.</w:t>
      </w:r>
      <w:r>
        <w:rPr>
          <w:rFonts w:ascii="Times New Roman" w:eastAsia="Times New Roman" w:hAnsi="Times New Roman" w:cs="Times New Roman"/>
          <w:noProof/>
          <w:sz w:val="24"/>
          <w:szCs w:val="24"/>
        </w:rPr>
        <w:drawing>
          <wp:inline distT="0" distB="0" distL="0" distR="0">
            <wp:extent cx="151130" cy="142875"/>
            <wp:effectExtent l="19050" t="0" r="1270" b="0"/>
            <wp:docPr id="3043" name="Imagen 30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Distomo case</w:t>
      </w:r>
      <w:r w:rsidRPr="00BE407E">
        <w:rPr>
          <w:rFonts w:ascii="Times New Roman" w:eastAsia="Times New Roman" w:hAnsi="Times New Roman" w:cs="Times New Roman"/>
          <w:sz w:val="24"/>
          <w:szCs w:val="24"/>
        </w:rPr>
        <w:t xml:space="preserve"> in 2006, the Federal Constitutional Court held:</w:t>
      </w:r>
      <w:r w:rsidRPr="00BE407E">
        <w:rPr>
          <w:rFonts w:ascii="Times New Roman" w:eastAsia="Times New Roman" w:hAnsi="Times New Roman" w:cs="Times New Roman"/>
          <w:sz w:val="24"/>
          <w:szCs w:val="24"/>
        </w:rPr>
        <w:br/>
        <w:t>The constitutional complaint is not accepted for decision.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Grounds: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w:t>
      </w:r>
      <w:r w:rsidRPr="00BE407E">
        <w:rPr>
          <w:rFonts w:ascii="Times New Roman" w:eastAsia="Times New Roman" w:hAnsi="Times New Roman" w:cs="Times New Roman"/>
          <w:sz w:val="24"/>
          <w:szCs w:val="24"/>
        </w:rPr>
        <w:br/>
        <w:t>The constitutional complaint concerns the question of the liability of the Federal Republic of Germany to pay damages and compensate for “reprisals” taken by members of the German armed forces during the occupation of Greece in World War II.</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1</w:t>
      </w:r>
      <w:r w:rsidRPr="00BE407E">
        <w:rPr>
          <w:rFonts w:ascii="Times New Roman" w:eastAsia="Times New Roman" w:hAnsi="Times New Roman" w:cs="Times New Roman"/>
          <w:sz w:val="24"/>
          <w:szCs w:val="24"/>
        </w:rPr>
        <w:t xml:space="preserve">. The complainants are Greek nationals. On 10 June 1944, their parents were shot in the course of a “reprisal action” against the inhabitants of the Greek locality Distomo by members of an SS unit incorporated in the German occupation forces, after an armed confrontation with partisans had previously taken place. The soldiers in total killed between 200 and 300 of the approximately 1,800 inhabitants – not involved in the partisan fightings – of the village. Among the victims were mainly elderly persons, women, children and infants. The village was burnt down. The complainants, minors at </w:t>
      </w:r>
      <w:r w:rsidRPr="00BE407E">
        <w:rPr>
          <w:rFonts w:ascii="Times New Roman" w:eastAsia="Times New Roman" w:hAnsi="Times New Roman" w:cs="Times New Roman"/>
          <w:sz w:val="24"/>
          <w:szCs w:val="24"/>
        </w:rPr>
        <w:lastRenderedPageBreak/>
        <w:t>the time, survived only due to the fortunate circumstance that a German soldier had signalled them to hide …</w:t>
      </w:r>
      <w:r w:rsidRPr="00BE407E">
        <w:rPr>
          <w:rFonts w:ascii="Times New Roman" w:eastAsia="Times New Roman" w:hAnsi="Times New Roman" w:cs="Times New Roman"/>
          <w:sz w:val="24"/>
          <w:szCs w:val="24"/>
        </w:rPr>
        <w:br/>
        <w:t>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In September 1995, the complainants brought an action before the Regional Court. They sought the declaration that the Federal Republic of Germany was under the obligation to compensate them for the material damage they had suffered as a result of the operation of the SS unit in Distomo on 10 June 1944. The Regional Court, like the Higher Regional Court seized as court of appeal, dismissed the action. The complainants’ appeal on points of law [Revision] before the Federal Court of Justice, allowed by the Higher Regional Court, was also unsuccessful. By contrast, in parallel proceedings in Greece, in which, amongst others, the complainants participated, the competent Regional Court Levadeia had decided in October 1997 that the compensation claims based on the same facts were well founded.</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4</w:t>
      </w:r>
      <w:r w:rsidRPr="00BE407E">
        <w:rPr>
          <w:rFonts w:ascii="Times New Roman" w:eastAsia="Times New Roman" w:hAnsi="Times New Roman" w:cs="Times New Roman"/>
          <w:sz w:val="24"/>
          <w:szCs w:val="24"/>
        </w:rPr>
        <w:br/>
        <w:t>The complainants allege a violation of their Basic Rights based on Article 1, paragraph 1, Article 2, paragraphs 1 and 2, Article 3, paragraph 1, Article 14, paragraph 1, sentence 1, and paragraph 3, Article 19, paragraph 4, Article 101, paragraph 1, sentence 2, as well as Article 103, paragraph 1 of the Basic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12</w:t>
      </w:r>
      <w:r w:rsidRPr="00BE407E">
        <w:rPr>
          <w:rFonts w:ascii="Times New Roman" w:eastAsia="Times New Roman" w:hAnsi="Times New Roman" w:cs="Times New Roman"/>
          <w:sz w:val="24"/>
          <w:szCs w:val="24"/>
        </w:rPr>
        <w:br/>
        <w:t>The constitutional complaint is not accepted for decision because the requirements for accepting a complaint under Section 93 a, paragraph 2 of the Law on the Federal Constitutional Court are not fulfilled. To the extent that the constitutional complaint is admissible, it is unfounded. Ultimately, there are no objections under constitutional law against the contested decisions.</w:t>
      </w:r>
      <w:r w:rsidRPr="00BE407E">
        <w:rPr>
          <w:rFonts w:ascii="Times New Roman" w:eastAsia="Times New Roman" w:hAnsi="Times New Roman" w:cs="Times New Roman"/>
          <w:sz w:val="24"/>
          <w:szCs w:val="24"/>
        </w:rPr>
        <w:br/>
        <w:t>13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1.</w:t>
      </w:r>
      <w:r w:rsidRPr="00BE407E">
        <w:rPr>
          <w:rFonts w:ascii="Times New Roman" w:eastAsia="Times New Roman" w:hAnsi="Times New Roman" w:cs="Times New Roman"/>
          <w:sz w:val="24"/>
          <w:szCs w:val="24"/>
        </w:rPr>
        <w:t xml:space="preserve"> The constitutional complaint – filed within the time limit – is only partially admissible.</w:t>
      </w:r>
      <w:r w:rsidRPr="00BE407E">
        <w:rPr>
          <w:rFonts w:ascii="Times New Roman" w:eastAsia="Times New Roman" w:hAnsi="Times New Roman" w:cs="Times New Roman"/>
          <w:sz w:val="24"/>
          <w:szCs w:val="24"/>
        </w:rPr>
        <w:br/>
        <w:t>14</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Insofar as the complainants allege a violation of their Basic Right under Article 103, paragraph 1 of the Basic Law, the constitutional complaint does not meet the substantiation requirements following from Sections 92, 23, paragraph 1, sentence 2 of the Law on the Federal Constitutional Court [</w:t>
      </w:r>
      <w:r w:rsidRPr="00BE407E">
        <w:rPr>
          <w:rFonts w:ascii="Times New Roman" w:eastAsia="Times New Roman" w:hAnsi="Times New Roman" w:cs="Times New Roman"/>
          <w:i/>
          <w:iCs/>
          <w:sz w:val="24"/>
          <w:szCs w:val="24"/>
        </w:rPr>
        <w:t>Bundesverfassungsgerichtsgesetz</w:t>
      </w:r>
      <w:r w:rsidRPr="00BE407E">
        <w:rPr>
          <w:rFonts w:ascii="Times New Roman" w:eastAsia="Times New Roman" w:hAnsi="Times New Roman" w:cs="Times New Roman"/>
          <w:sz w:val="24"/>
          <w:szCs w:val="24"/>
        </w:rPr>
        <w:t xml:space="preserve"> – BVerfGG]. The complainants’ submission that the rejection of a compensation claim based on Article 3 of Hague Convention IV had violated their right to a hearing in accordance with law is not sufficiently substantiated. As the complainants themselves concede, the competent courts below closely examined the question whether in the case of a violation of norms of the Hague Regulations an individual claim directly follows from Article 3 of Hague Convention IV. The complainants thereby allege that the courts did not follow their differing legal view, something which is, however, not part of the protective scope of Article 103, paragraph 1 of the Basic Law …</w:t>
      </w:r>
      <w:r w:rsidRPr="00BE407E">
        <w:rPr>
          <w:rFonts w:ascii="Times New Roman" w:eastAsia="Times New Roman" w:hAnsi="Times New Roman" w:cs="Times New Roman"/>
          <w:sz w:val="24"/>
          <w:szCs w:val="24"/>
        </w:rPr>
        <w:br/>
        <w:t>15</w:t>
      </w:r>
      <w:r w:rsidRPr="00BE407E">
        <w:rPr>
          <w:rFonts w:ascii="Times New Roman" w:eastAsia="Times New Roman" w:hAnsi="Times New Roman" w:cs="Times New Roman"/>
          <w:sz w:val="24"/>
          <w:szCs w:val="24"/>
        </w:rPr>
        <w:br/>
        <w:t>The same applies to the violation of Article 19, paragraph 4, sentence 1 of the Basic Law alleged by the complainants …</w:t>
      </w:r>
      <w:r w:rsidRPr="00BE407E">
        <w:rPr>
          <w:rFonts w:ascii="Times New Roman" w:eastAsia="Times New Roman" w:hAnsi="Times New Roman" w:cs="Times New Roman"/>
          <w:sz w:val="24"/>
          <w:szCs w:val="24"/>
        </w:rPr>
        <w:br/>
        <w:t>16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The violation of their general rights of personality as well as their right to physical integrity, alleged by the complainants, is not sufficiently substantiated either. According to the complainants’ submission it does not appear to be possible that the not-granting </w:t>
      </w:r>
      <w:r w:rsidRPr="00BE407E">
        <w:rPr>
          <w:rFonts w:ascii="Times New Roman" w:eastAsia="Times New Roman" w:hAnsi="Times New Roman" w:cs="Times New Roman"/>
          <w:sz w:val="24"/>
          <w:szCs w:val="24"/>
        </w:rPr>
        <w:lastRenderedPageBreak/>
        <w:t>of compensation claims violated them in these rights. Neither from the general rights of personality nor from the right to physical integrity can be inferred a right to judicial decisions which comply with the legal view of the complainants …</w:t>
      </w:r>
      <w:r w:rsidRPr="00BE407E">
        <w:rPr>
          <w:rFonts w:ascii="Times New Roman" w:eastAsia="Times New Roman" w:hAnsi="Times New Roman" w:cs="Times New Roman"/>
          <w:sz w:val="24"/>
          <w:szCs w:val="24"/>
        </w:rPr>
        <w:br/>
        <w:t>17</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The constitutional complaint has no prospect of success on the merits. The challenged decisions do not violate the claimants’ Basic Rights.</w:t>
      </w:r>
      <w:r w:rsidRPr="00BE407E">
        <w:rPr>
          <w:rFonts w:ascii="Times New Roman" w:eastAsia="Times New Roman" w:hAnsi="Times New Roman" w:cs="Times New Roman"/>
          <w:sz w:val="24"/>
          <w:szCs w:val="24"/>
        </w:rPr>
        <w:br/>
        <w:t>18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There are no objections under constitutional law to the Federal Court of Justice’s refusal to be bound by the judgement of the Greek Regional Court Livadeia of 30 October 1997. According to applicable international law, a State can demand exemption from another State’s jurisdiction if and to the extent that the assessment of its sovereign acts – so called </w:t>
      </w:r>
      <w:r w:rsidRPr="00BE407E">
        <w:rPr>
          <w:rFonts w:ascii="Times New Roman" w:eastAsia="Times New Roman" w:hAnsi="Times New Roman" w:cs="Times New Roman"/>
          <w:i/>
          <w:iCs/>
          <w:sz w:val="24"/>
          <w:szCs w:val="24"/>
        </w:rPr>
        <w:t>acta iure imperii</w:t>
      </w:r>
      <w:r w:rsidRPr="00BE407E">
        <w:rPr>
          <w:rFonts w:ascii="Times New Roman" w:eastAsia="Times New Roman" w:hAnsi="Times New Roman" w:cs="Times New Roman"/>
          <w:sz w:val="24"/>
          <w:szCs w:val="24"/>
        </w:rPr>
        <w:t xml:space="preserve"> – is concerned … Since the SS unit involved in the events in Distomo was incorporated into the armed forces of the German Reich, the assaults are to be classified as sovereign acts, irrespective of the question of their unlawfulness under international law. The Federal Court of Justice therefore correctly held that it was not bound by the judgement of the Greek Regional Court.</w:t>
      </w:r>
      <w:r w:rsidRPr="00BE407E">
        <w:rPr>
          <w:rFonts w:ascii="Times New Roman" w:eastAsia="Times New Roman" w:hAnsi="Times New Roman" w:cs="Times New Roman"/>
          <w:sz w:val="24"/>
          <w:szCs w:val="24"/>
        </w:rPr>
        <w:br/>
        <w:t>19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Insofar as the complainants allege a violation of Article 14, paragraph 1 of the Basic Law, it is true that claims for damages and compensation against the Federal Republic of Germany – their existence assumed – would indeed come under the protective scope of the guarantee of property … The claimants, however, neither have claims for damages or compensation based on international law, nor based on liability for breach of official duty or the doctrine of fair compensation for a special sacrifice to the community [</w:t>
      </w:r>
      <w:r w:rsidRPr="00BE407E">
        <w:rPr>
          <w:rFonts w:ascii="Times New Roman" w:eastAsia="Times New Roman" w:hAnsi="Times New Roman" w:cs="Times New Roman"/>
          <w:i/>
          <w:iCs/>
          <w:sz w:val="24"/>
          <w:szCs w:val="24"/>
        </w:rPr>
        <w:t>Aufopferungsanspruch</w:t>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20</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aa)</w:t>
      </w:r>
      <w:r w:rsidRPr="00BE407E">
        <w:rPr>
          <w:rFonts w:ascii="Times New Roman" w:eastAsia="Times New Roman" w:hAnsi="Times New Roman" w:cs="Times New Roman"/>
          <w:sz w:val="24"/>
          <w:szCs w:val="24"/>
        </w:rPr>
        <w:t xml:space="preserve"> Article 3 of Hague Convention IV does not give rise to a direct individual compensation claim for violations of the international law of war (comp. Federal Constitutional Court, Decision of 28 June 2004, 2 BvR 1379/01, “Italian military internees”). Admittedly, the origin of the norm shows that it is intended to protect the individual and is therefore of a nature indirectly protecting human rights (comp. Federal Constitutional Court, Decision of 28 June 2004, 2 BvR 1379/01, “Italian military internees”). However, it does not follow from this that the provision could be the basis of a direct, originally international law compensation claim of the concerned individual vis-à-vis the State.</w:t>
      </w:r>
      <w:r w:rsidRPr="00BE407E">
        <w:rPr>
          <w:rFonts w:ascii="Times New Roman" w:eastAsia="Times New Roman" w:hAnsi="Times New Roman" w:cs="Times New Roman"/>
          <w:sz w:val="24"/>
          <w:szCs w:val="24"/>
        </w:rPr>
        <w:br/>
        <w:t>21</w:t>
      </w:r>
      <w:r w:rsidRPr="00BE407E">
        <w:rPr>
          <w:rFonts w:ascii="Times New Roman" w:eastAsia="Times New Roman" w:hAnsi="Times New Roman" w:cs="Times New Roman"/>
          <w:sz w:val="24"/>
          <w:szCs w:val="24"/>
        </w:rPr>
        <w:br/>
        <w:t>A first argument against this is already the wording, according to which a belligerent party in the event of a violation of the Hague Regulations shall, “if the case demands”, be liable to pay compensation. Since Article 3 of Hague Convention IV, in view of the restricting addition, insofar is not “self executing”, an understanding of the norm as a basis of individual claims is already prevented by its lack of direct applicability. Secondly, according to the traditional conception of international law, the individual was not classified as a legal subject … Regardless of developments on the level of human rights protection, which have led to the recognition of the individual as a partial subject of international law as well as to the establishment of treaty-based individual complaints procedures, it is still only the home State which is entitled to secondary law compensation claims based on international wrongful acts of a State against foreign nationals.</w:t>
      </w:r>
      <w:r w:rsidRPr="00BE407E">
        <w:rPr>
          <w:rFonts w:ascii="Times New Roman" w:eastAsia="Times New Roman" w:hAnsi="Times New Roman" w:cs="Times New Roman"/>
          <w:sz w:val="24"/>
          <w:szCs w:val="24"/>
        </w:rPr>
        <w:br/>
        <w:t>22</w:t>
      </w:r>
      <w:r w:rsidRPr="00BE407E">
        <w:rPr>
          <w:rFonts w:ascii="Times New Roman" w:eastAsia="Times New Roman" w:hAnsi="Times New Roman" w:cs="Times New Roman"/>
          <w:sz w:val="24"/>
          <w:szCs w:val="24"/>
        </w:rPr>
        <w:br/>
        <w:t xml:space="preserve">In the present case, potential legal developments or changed legal views on the level of constitutional or international law in any case cannot be taken into consideration as </w:t>
      </w:r>
      <w:r w:rsidRPr="00BE407E">
        <w:rPr>
          <w:rFonts w:ascii="Times New Roman" w:eastAsia="Times New Roman" w:hAnsi="Times New Roman" w:cs="Times New Roman"/>
          <w:sz w:val="24"/>
          <w:szCs w:val="24"/>
        </w:rPr>
        <w:lastRenderedPageBreak/>
        <w:t>regards the assessment of events in the year 1944. The differing legal view of the complainants is due to an incorrect understanding of Article 135 a, paragraph 1, no. 1 of the Basic Law. Admittedly, according to this provision the decision whether payments by the State for obligations of the German Reich are to be granted is to be made by the Federal legislator. It does not follow from this, however, that the question of the existence of an obligation of the Reich, which is quasi precursory, is to be assessed on the basis of the legal situation prevalent at the time the claim is made. Concerning this, as a principle, it is the legal provisions in force at the time of the events giving rise to liability which are to be applied.</w:t>
      </w:r>
      <w:r w:rsidRPr="00BE407E">
        <w:rPr>
          <w:rFonts w:ascii="Times New Roman" w:eastAsia="Times New Roman" w:hAnsi="Times New Roman" w:cs="Times New Roman"/>
          <w:sz w:val="24"/>
          <w:szCs w:val="24"/>
        </w:rPr>
        <w:br/>
        <w:t>23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bb)</w:t>
      </w:r>
      <w:r w:rsidRPr="00BE407E">
        <w:rPr>
          <w:rFonts w:ascii="Times New Roman" w:eastAsia="Times New Roman" w:hAnsi="Times New Roman" w:cs="Times New Roman"/>
          <w:sz w:val="24"/>
          <w:szCs w:val="24"/>
        </w:rPr>
        <w:t xml:space="preserve"> The complainants also have no claim according to Section 839 of the Civil Code in conjunction with Article 131 of the Weimar Constitution [State liability for breach of official duty]. A liability of the Federal Republic of Germany is ultimately prevented by the lack of a guarantee of reciprocity within the meaning of Section 7 of the Law on the Liability of the Reich for its Officials (old version) [</w:t>
      </w:r>
      <w:r w:rsidRPr="00BE407E">
        <w:rPr>
          <w:rFonts w:ascii="Times New Roman" w:eastAsia="Times New Roman" w:hAnsi="Times New Roman" w:cs="Times New Roman"/>
          <w:i/>
          <w:iCs/>
          <w:sz w:val="24"/>
          <w:szCs w:val="24"/>
        </w:rPr>
        <w:t>Gesetz über die Haftung des Reichs für seine Beamten</w:t>
      </w:r>
      <w:r w:rsidRPr="00BE407E">
        <w:rPr>
          <w:rFonts w:ascii="Times New Roman" w:eastAsia="Times New Roman" w:hAnsi="Times New Roman" w:cs="Times New Roman"/>
          <w:sz w:val="24"/>
          <w:szCs w:val="24"/>
        </w:rPr>
        <w:t xml:space="preserve"> – RBHG a.F.].</w:t>
      </w:r>
      <w:r w:rsidRPr="00BE407E">
        <w:rPr>
          <w:rFonts w:ascii="Times New Roman" w:eastAsia="Times New Roman" w:hAnsi="Times New Roman" w:cs="Times New Roman"/>
          <w:sz w:val="24"/>
          <w:szCs w:val="24"/>
        </w:rPr>
        <w:br/>
        <w:t>24</w:t>
      </w:r>
      <w:r w:rsidRPr="00BE407E">
        <w:rPr>
          <w:rFonts w:ascii="Times New Roman" w:eastAsia="Times New Roman" w:hAnsi="Times New Roman" w:cs="Times New Roman"/>
          <w:sz w:val="24"/>
          <w:szCs w:val="24"/>
        </w:rPr>
        <w:br/>
        <w:t xml:space="preserve">With regard to the provision giving rise to liability, the Federal Court of Justice essentially considered that a claim based on Section 839 of the Civil Code in conjunction with Article 131 of the Weimar Constitution had been eclipsed by the specific inter-State liability regime under international law, applicable at the time of the events. It need not be decided whether such an eclipse does justice to the necessity to ensure compliance with the rules of the international humanitarian law of war also in domestic legal orders in the form of parallel possibilities for sanctions (comp. Higher Regional Court of Cologne, Judgement of 28 July 2005, 7 U 8/04, “Bridge of Varvarin”; Federal Constitutional Court, Decision of 28 June 2004, 2 BvR 1379/01, “Italian military internees”). This is so because, ultimately, in the present case the exclusion of liability under Section 7 of the Law on the Liability of the Reich for its Officials (old version) applies, as correctly found by the Federal Court of Justice … According to the version of this provision applicable until 30 June 1992, a provision which was compatible both with the Basic Law and the general rules of international law within the meaning of Article 25 of the Basic Law …, nationals of a foreign State had a claim based on breach of official duty against the Federal Republic only if reciprocity was guaranteed by the legislation of a foreign State or by international treaty. Such a guarantee on the part of Greece vis-à-vis Germany was given only after the end of World War II (comp. publication of 31 May 1957, </w:t>
      </w:r>
      <w:r w:rsidRPr="00BE407E">
        <w:rPr>
          <w:rFonts w:ascii="Times New Roman" w:eastAsia="Times New Roman" w:hAnsi="Times New Roman" w:cs="Times New Roman"/>
          <w:i/>
          <w:iCs/>
          <w:sz w:val="24"/>
          <w:szCs w:val="24"/>
        </w:rPr>
        <w:t>Federal Law Gazette</w:t>
      </w:r>
      <w:r w:rsidRPr="00BE407E">
        <w:rPr>
          <w:rFonts w:ascii="Times New Roman" w:eastAsia="Times New Roman" w:hAnsi="Times New Roman" w:cs="Times New Roman"/>
          <w:sz w:val="24"/>
          <w:szCs w:val="24"/>
        </w:rPr>
        <w:t xml:space="preserve"> 1957, Part I, p. 607).</w:t>
      </w:r>
      <w:r w:rsidRPr="00BE407E">
        <w:rPr>
          <w:rFonts w:ascii="Times New Roman" w:eastAsia="Times New Roman" w:hAnsi="Times New Roman" w:cs="Times New Roman"/>
          <w:sz w:val="24"/>
          <w:szCs w:val="24"/>
        </w:rPr>
        <w:br/>
        <w:t>25</w:t>
      </w:r>
      <w:r w:rsidRPr="00BE407E">
        <w:rPr>
          <w:rFonts w:ascii="Times New Roman" w:eastAsia="Times New Roman" w:hAnsi="Times New Roman" w:cs="Times New Roman"/>
          <w:sz w:val="24"/>
          <w:szCs w:val="24"/>
        </w:rPr>
        <w:br/>
        <w:t>The application of Section 7 of the Law on the Liability of the Reich for its Officials (old version) does not conflict with Article 25 of the Basic Law. There is no general rule of international law which generally demands equal treatment of foreign nationals and own nationals. Admittedly, it will generally run counter to the principles of international humanitarian law recognized as customary law if all compensation is denied to a wrongfully injured individual … In the present case, however, this situation does not arise, because Section 7 of the Law on the Liability of the Reich for its Officials (old version) did not exclude liability of breach for official duty in general, but only the transfer of liability to the State according to Article 34 of the Basic Law or Article 131 of the Weimar Constitution …</w:t>
      </w:r>
      <w:r w:rsidRPr="00BE407E">
        <w:rPr>
          <w:rFonts w:ascii="Times New Roman" w:eastAsia="Times New Roman" w:hAnsi="Times New Roman" w:cs="Times New Roman"/>
          <w:sz w:val="24"/>
          <w:szCs w:val="24"/>
        </w:rPr>
        <w:br/>
        <w:t>26</w:t>
      </w:r>
      <w:r w:rsidRPr="00BE407E">
        <w:rPr>
          <w:rFonts w:ascii="Times New Roman" w:eastAsia="Times New Roman" w:hAnsi="Times New Roman" w:cs="Times New Roman"/>
          <w:sz w:val="24"/>
          <w:szCs w:val="24"/>
        </w:rPr>
        <w:br/>
        <w:t xml:space="preserve">Recourse to Section 7 of the Law on the Liability of the Reich for its Officials (old </w:t>
      </w:r>
      <w:r w:rsidRPr="00BE407E">
        <w:rPr>
          <w:rFonts w:ascii="Times New Roman" w:eastAsia="Times New Roman" w:hAnsi="Times New Roman" w:cs="Times New Roman"/>
          <w:sz w:val="24"/>
          <w:szCs w:val="24"/>
        </w:rPr>
        <w:lastRenderedPageBreak/>
        <w:t xml:space="preserve">version) further is not excluded on the ground that it is applied to a situation dealing with war crimes committed by an SS unit. The provision was not intended to protect the German Reich against claims arising from a specific national socialist wrong. Whether in situations at the bottom of which lie arbitrarily race-ideological considerations a different standard has to apply need not be decided here. The events in Distomo are to be classified as a situation formally subject to the international law of war, not characterized by a specific national socialist wrong and therefore not to be allocated to the separately regulated area of compensation for national socialist wrongs. Admittedly, reprisals against the civilian population uninvolved in the fighting often were, in view of their nature and scope, contrary to international law also on the basis of the legal views applicable at the time. As such, however, during World War II they were regarded as permitted also by the Allies … The unlawful excess of reprisals therefore cannot simply be classified as a specifically national socialist wrong, unless specific race-ideological circumstances were the decisive factor. In the present case, however, there were no such special circumstances which prove a sufficiently close connection between the violations of international law suffered by the complainants and NS [national socialist] ideology.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cc)</w:t>
      </w:r>
      <w:r w:rsidRPr="00BE407E">
        <w:rPr>
          <w:rFonts w:ascii="Times New Roman" w:eastAsia="Times New Roman" w:hAnsi="Times New Roman" w:cs="Times New Roman"/>
          <w:sz w:val="24"/>
          <w:szCs w:val="24"/>
        </w:rPr>
        <w:t xml:space="preserve"> There are no decisive objections against the rejection of compensation claims based on unlawful interference similar to expropriation [</w:t>
      </w:r>
      <w:r w:rsidRPr="00BE407E">
        <w:rPr>
          <w:rFonts w:ascii="Times New Roman" w:eastAsia="Times New Roman" w:hAnsi="Times New Roman" w:cs="Times New Roman"/>
          <w:i/>
          <w:iCs/>
          <w:sz w:val="24"/>
          <w:szCs w:val="24"/>
        </w:rPr>
        <w:t>enteignungsgleicher Eingriff</w:t>
      </w:r>
      <w:r w:rsidRPr="00BE407E">
        <w:rPr>
          <w:rFonts w:ascii="Times New Roman" w:eastAsia="Times New Roman" w:hAnsi="Times New Roman" w:cs="Times New Roman"/>
          <w:sz w:val="24"/>
          <w:szCs w:val="24"/>
        </w:rPr>
        <w:t>] or to the doctrine of fair compensation for a special sacrifice to the community [</w:t>
      </w:r>
      <w:r w:rsidRPr="00BE407E">
        <w:rPr>
          <w:rFonts w:ascii="Times New Roman" w:eastAsia="Times New Roman" w:hAnsi="Times New Roman" w:cs="Times New Roman"/>
          <w:i/>
          <w:iCs/>
          <w:sz w:val="24"/>
          <w:szCs w:val="24"/>
        </w:rPr>
        <w:t>Aufopferungsanspruch</w:t>
      </w:r>
      <w:r w:rsidRPr="00BE407E">
        <w:rPr>
          <w:rFonts w:ascii="Times New Roman" w:eastAsia="Times New Roman" w:hAnsi="Times New Roman" w:cs="Times New Roman"/>
          <w:sz w:val="24"/>
          <w:szCs w:val="24"/>
        </w:rPr>
        <w:t>]. The history of both these concepts shows that the idea of a special sacrifice which finds its expression in Sections 74, 75 of the Introduction to the General State Laws for the Prussian States [</w:t>
      </w:r>
      <w:r w:rsidRPr="00BE407E">
        <w:rPr>
          <w:rFonts w:ascii="Times New Roman" w:eastAsia="Times New Roman" w:hAnsi="Times New Roman" w:cs="Times New Roman"/>
          <w:i/>
          <w:iCs/>
          <w:sz w:val="24"/>
          <w:szCs w:val="24"/>
        </w:rPr>
        <w:t>Einleitung zum Allgemeinen Landrecht für die preußischen Staaten</w:t>
      </w:r>
      <w:r w:rsidRPr="00BE407E">
        <w:rPr>
          <w:rFonts w:ascii="Times New Roman" w:eastAsia="Times New Roman" w:hAnsi="Times New Roman" w:cs="Times New Roman"/>
          <w:sz w:val="24"/>
          <w:szCs w:val="24"/>
        </w:rPr>
        <w:t xml:space="preserve"> – EinALR] was developed for situations of everyday administrative acts. According to the relevant German legal order, the basis for claims cannot be applied with regard to war damages … Damages following from the belligerent occupation of another State are no expression of “genuine” administrative law acts, but the consequence of a situation which is to be assessed under international law. In this respect, Article 14 of the Basic Law does not demand that compensation claims are made available for every conceivable form of State action which can lead to a wrong.</w:t>
      </w:r>
      <w:r w:rsidRPr="00BE407E">
        <w:rPr>
          <w:rFonts w:ascii="Times New Roman" w:eastAsia="Times New Roman" w:hAnsi="Times New Roman" w:cs="Times New Roman"/>
          <w:sz w:val="24"/>
          <w:szCs w:val="24"/>
        </w:rPr>
        <w:br/>
        <w:t>29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xml:space="preserve"> The challenged decisions do not violate Article 3, paragraph 1 of the Basic Law. In particular, they do not violate the general principle of equality inasmuch as it prohibits arbitrariness. A judicial decision is arbitrary if it is not legally justifiable from any conceivable point of view, and one is therefore forced to conclude that it is based on irrelevant considerations … In the present case, the courts dealt in detail with the legal questions raised and ultimately correctly denied claims of the complainants. Nothing indicates a violation of the standards of arbitrariness.</w:t>
      </w:r>
      <w:r w:rsidRPr="00BE407E">
        <w:rPr>
          <w:rFonts w:ascii="Times New Roman" w:eastAsia="Times New Roman" w:hAnsi="Times New Roman" w:cs="Times New Roman"/>
          <w:sz w:val="24"/>
          <w:szCs w:val="24"/>
        </w:rPr>
        <w:br/>
        <w:t>30</w:t>
      </w:r>
      <w:r w:rsidRPr="00BE407E">
        <w:rPr>
          <w:rFonts w:ascii="Times New Roman" w:eastAsia="Times New Roman" w:hAnsi="Times New Roman" w:cs="Times New Roman"/>
          <w:sz w:val="24"/>
          <w:szCs w:val="24"/>
        </w:rPr>
        <w:br/>
        <w:t xml:space="preserve">In this connection it also is to be borne in mind that with regard to Article 3, paragraph 1 of the Basic Law, the legislator also is not precluded from distinguishing between, on the one hand, a general fate during law, albeit hard and involving violations of international law, and, on the other hand, victims of particularly ideologically motivated measures of persecution by the wrongful national socialist regime (comp. Federal Constitutional Court, Decision of 28 June 2004, 2 BvR 1379/01, “Italian military internees”). It therefore does not contravene the principle of equality if persecuted persons within the meaning of Section 1, paragraph 1 of the Federal Law for the </w:t>
      </w:r>
      <w:r w:rsidRPr="00BE407E">
        <w:rPr>
          <w:rFonts w:ascii="Times New Roman" w:eastAsia="Times New Roman" w:hAnsi="Times New Roman" w:cs="Times New Roman"/>
          <w:sz w:val="24"/>
          <w:szCs w:val="24"/>
        </w:rPr>
        <w:lastRenderedPageBreak/>
        <w:t>Compensation of the Victims of National Socialist Persecution [</w:t>
      </w:r>
      <w:r w:rsidRPr="00BE407E">
        <w:rPr>
          <w:rFonts w:ascii="Times New Roman" w:eastAsia="Times New Roman" w:hAnsi="Times New Roman" w:cs="Times New Roman"/>
          <w:i/>
          <w:iCs/>
          <w:sz w:val="24"/>
          <w:szCs w:val="24"/>
        </w:rPr>
        <w:t>Bundesentschädigungsgesetz</w:t>
      </w:r>
      <w:r w:rsidRPr="00BE407E">
        <w:rPr>
          <w:rFonts w:ascii="Times New Roman" w:eastAsia="Times New Roman" w:hAnsi="Times New Roman" w:cs="Times New Roman"/>
          <w:sz w:val="24"/>
          <w:szCs w:val="24"/>
        </w:rPr>
        <w:t xml:space="preserve"> – BEG] as well as persons subjected to forced labour eligible for payments according to Section 11, paragraph 1 of the Law on the Creation of a Foundation “Remembrance, Responsibility and Future” [</w:t>
      </w:r>
      <w:r w:rsidRPr="00BE407E">
        <w:rPr>
          <w:rFonts w:ascii="Times New Roman" w:eastAsia="Times New Roman" w:hAnsi="Times New Roman" w:cs="Times New Roman"/>
          <w:i/>
          <w:iCs/>
          <w:sz w:val="24"/>
          <w:szCs w:val="24"/>
        </w:rPr>
        <w:t>Gesetz zur Errichtung einer Stiftung “Erinnerung, Verantwortung und Zukunft”</w:t>
      </w:r>
      <w:r w:rsidRPr="00BE407E">
        <w:rPr>
          <w:rFonts w:ascii="Times New Roman" w:eastAsia="Times New Roman" w:hAnsi="Times New Roman" w:cs="Times New Roman"/>
          <w:sz w:val="24"/>
          <w:szCs w:val="24"/>
        </w:rPr>
        <w:t xml:space="preserve"> – EVZStiftG] are entitled to compensation, while the complainants are not included in the group of entitled persons. Furthermore, by making reparations in general and by paying compensation on the basis of bilateral agreements in particular, the Federal Republic of Germany has faced up to its responsibility under international law. Although reparation of human suffering by financial means can as a principle only ever be inadequate, an attempt has thereby – and by means of international and European cooperation – been made to create a situation more in keeping with international law (comp. Federal Constitutional Court, Decision of 26 October 2004, 2 BvR 955/00, 1038/01, “East German expropriation case”). This connection finds its expression also in the conclusion of the Treaty on the Final Settlement With Respect to Germany (Two-plus-Four-Treaty) [</w:t>
      </w:r>
      <w:r w:rsidRPr="00BE407E">
        <w:rPr>
          <w:rFonts w:ascii="Times New Roman" w:eastAsia="Times New Roman" w:hAnsi="Times New Roman" w:cs="Times New Roman"/>
          <w:i/>
          <w:iCs/>
          <w:sz w:val="24"/>
          <w:szCs w:val="24"/>
        </w:rPr>
        <w:t>Vertrag über die abschließende Regelung in bezug auf Deutschland (Zwei-plus-Vier-Vertrag)</w:t>
      </w:r>
      <w:r w:rsidRPr="00BE407E">
        <w:rPr>
          <w:rFonts w:ascii="Times New Roman" w:eastAsia="Times New Roman" w:hAnsi="Times New Roman" w:cs="Times New Roman"/>
          <w:sz w:val="24"/>
          <w:szCs w:val="24"/>
        </w:rPr>
        <w:t>], which Germany concluded with the understanding that there had been final settlement of the question of reparations.</w:t>
      </w:r>
      <w:r>
        <w:rPr>
          <w:rFonts w:ascii="Times New Roman" w:eastAsia="Times New Roman" w:hAnsi="Times New Roman" w:cs="Times New Roman"/>
          <w:noProof/>
          <w:sz w:val="24"/>
          <w:szCs w:val="24"/>
        </w:rPr>
        <w:drawing>
          <wp:inline distT="0" distB="0" distL="0" distR="0">
            <wp:extent cx="151130" cy="142875"/>
            <wp:effectExtent l="19050" t="0" r="1270" b="0"/>
            <wp:docPr id="3044" name="Imagen 30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Bridge of Varvarin case</w:t>
      </w:r>
      <w:r w:rsidRPr="00BE407E">
        <w:rPr>
          <w:rFonts w:ascii="Times New Roman" w:eastAsia="Times New Roman" w:hAnsi="Times New Roman" w:cs="Times New Roman"/>
          <w:sz w:val="24"/>
          <w:szCs w:val="24"/>
        </w:rPr>
        <w:t>, several nationals of the former Yugoslavia filed compensation claims against the Federal Republic of Germany in consequence of a NATO air strike against a bridge in the Serbian town of Varvarin in 1999. In 2003, Germany’s Regional Court of Bonn held:</w:t>
      </w:r>
      <w:r w:rsidRPr="00BE407E">
        <w:rPr>
          <w:rFonts w:ascii="Times New Roman" w:eastAsia="Times New Roman" w:hAnsi="Times New Roman" w:cs="Times New Roman"/>
          <w:sz w:val="24"/>
          <w:szCs w:val="24"/>
        </w:rPr>
        <w:br/>
        <w:t>1. The application is dismissed.</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Facts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9</w:t>
      </w:r>
      <w:r w:rsidRPr="00BE407E">
        <w:rPr>
          <w:rFonts w:ascii="Times New Roman" w:eastAsia="Times New Roman" w:hAnsi="Times New Roman" w:cs="Times New Roman"/>
          <w:sz w:val="24"/>
          <w:szCs w:val="24"/>
        </w:rPr>
        <w:br/>
        <w:t>Between 24 March and 10 June 1999, air operations were conducted in Yugoslavia, with the participation of German armed forces.</w:t>
      </w:r>
      <w:r w:rsidRPr="00BE407E">
        <w:rPr>
          <w:rFonts w:ascii="Times New Roman" w:eastAsia="Times New Roman" w:hAnsi="Times New Roman" w:cs="Times New Roman"/>
          <w:sz w:val="24"/>
          <w:szCs w:val="24"/>
        </w:rPr>
        <w:br/>
        <w:t>10</w:t>
      </w:r>
      <w:r w:rsidRPr="00BE407E">
        <w:rPr>
          <w:rFonts w:ascii="Times New Roman" w:eastAsia="Times New Roman" w:hAnsi="Times New Roman" w:cs="Times New Roman"/>
          <w:sz w:val="24"/>
          <w:szCs w:val="24"/>
        </w:rPr>
        <w:br/>
        <w:t>German planes participated in the air operation “Allied Force” with so-called RECCE and ECR tornado planes, which provided air reconnaissance and escort.</w:t>
      </w:r>
      <w:r w:rsidRPr="00BE407E">
        <w:rPr>
          <w:rFonts w:ascii="Times New Roman" w:eastAsia="Times New Roman" w:hAnsi="Times New Roman" w:cs="Times New Roman"/>
          <w:sz w:val="24"/>
          <w:szCs w:val="24"/>
        </w:rPr>
        <w:br/>
        <w:t>11</w:t>
      </w:r>
      <w:r w:rsidRPr="00BE407E">
        <w:rPr>
          <w:rFonts w:ascii="Times New Roman" w:eastAsia="Times New Roman" w:hAnsi="Times New Roman" w:cs="Times New Roman"/>
          <w:sz w:val="24"/>
          <w:szCs w:val="24"/>
        </w:rPr>
        <w:br/>
        <w:t>On Sunday, 30 May 1999, in the town of [Varvarin], there was a market held on the main street leading from the bridge to the town …, as on every Sunday between 8 a.m. and about 4 p.m. … Around noon, there were approximately 3,000 to 3,500 persons in the area of the church and the market.</w:t>
      </w:r>
      <w:r w:rsidRPr="00BE407E">
        <w:rPr>
          <w:rFonts w:ascii="Times New Roman" w:eastAsia="Times New Roman" w:hAnsi="Times New Roman" w:cs="Times New Roman"/>
          <w:sz w:val="24"/>
          <w:szCs w:val="24"/>
        </w:rPr>
        <w:br/>
        <w:t>12</w:t>
      </w:r>
      <w:r w:rsidRPr="00BE407E">
        <w:rPr>
          <w:rFonts w:ascii="Times New Roman" w:eastAsia="Times New Roman" w:hAnsi="Times New Roman" w:cs="Times New Roman"/>
          <w:sz w:val="24"/>
          <w:szCs w:val="24"/>
        </w:rPr>
        <w:br/>
        <w:t>At that time, NATO fighter planes attacked the town of [Varvarin], flying at low altitude. Overall, four rockets were launched. The applicants all were harmed by that attack or are the legal successors of persons lethally injured.</w:t>
      </w:r>
      <w:r w:rsidRPr="00BE407E">
        <w:rPr>
          <w:rFonts w:ascii="Times New Roman" w:eastAsia="Times New Roman" w:hAnsi="Times New Roman" w:cs="Times New Roman"/>
          <w:sz w:val="24"/>
          <w:szCs w:val="24"/>
        </w:rPr>
        <w:br/>
        <w:t>13</w:t>
      </w:r>
      <w:r w:rsidRPr="00BE407E">
        <w:rPr>
          <w:rFonts w:ascii="Times New Roman" w:eastAsia="Times New Roman" w:hAnsi="Times New Roman" w:cs="Times New Roman"/>
          <w:sz w:val="24"/>
          <w:szCs w:val="24"/>
        </w:rPr>
        <w:br/>
        <w:t>The fighter planes did not belong to the respondent; it is contested between the parties whether German planes supported this mission.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16</w:t>
      </w:r>
      <w:r w:rsidRPr="00BE407E">
        <w:rPr>
          <w:rFonts w:ascii="Times New Roman" w:eastAsia="Times New Roman" w:hAnsi="Times New Roman" w:cs="Times New Roman"/>
          <w:sz w:val="24"/>
          <w:szCs w:val="24"/>
        </w:rPr>
        <w:br/>
        <w:t>The applicants are of the opinion that the respondent is liable for the consequences of the attack by NATO armed forces against the town of [Varvarin].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99</w:t>
      </w:r>
      <w:r w:rsidRPr="00BE407E">
        <w:rPr>
          <w:rFonts w:ascii="Times New Roman" w:eastAsia="Times New Roman" w:hAnsi="Times New Roman" w:cs="Times New Roman"/>
          <w:sz w:val="24"/>
          <w:szCs w:val="24"/>
        </w:rPr>
        <w:br/>
        <w:t>The respondent moves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100</w:t>
      </w:r>
      <w:r w:rsidRPr="00BE407E">
        <w:rPr>
          <w:rFonts w:ascii="Times New Roman" w:eastAsia="Times New Roman" w:hAnsi="Times New Roman" w:cs="Times New Roman"/>
          <w:sz w:val="24"/>
          <w:szCs w:val="24"/>
        </w:rPr>
        <w:br/>
        <w:t>that the application be dismissed.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Grounds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109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The application … is unfounded.</w:t>
      </w:r>
      <w:r w:rsidRPr="00BE407E">
        <w:rPr>
          <w:rFonts w:ascii="Times New Roman" w:eastAsia="Times New Roman" w:hAnsi="Times New Roman" w:cs="Times New Roman"/>
          <w:sz w:val="24"/>
          <w:szCs w:val="24"/>
        </w:rPr>
        <w:br/>
        <w:t>110</w:t>
      </w:r>
      <w:r w:rsidRPr="00BE407E">
        <w:rPr>
          <w:rFonts w:ascii="Times New Roman" w:eastAsia="Times New Roman" w:hAnsi="Times New Roman" w:cs="Times New Roman"/>
          <w:sz w:val="24"/>
          <w:szCs w:val="24"/>
        </w:rPr>
        <w:br/>
        <w:t>The applicants have no compensation claim for material or immaterial damages against the respondent.</w:t>
      </w:r>
      <w:r w:rsidRPr="00BE407E">
        <w:rPr>
          <w:rFonts w:ascii="Times New Roman" w:eastAsia="Times New Roman" w:hAnsi="Times New Roman" w:cs="Times New Roman"/>
          <w:sz w:val="24"/>
          <w:szCs w:val="24"/>
        </w:rPr>
        <w:br/>
        <w:t>111</w:t>
      </w:r>
      <w:r w:rsidRPr="00BE407E">
        <w:rPr>
          <w:rFonts w:ascii="Times New Roman" w:eastAsia="Times New Roman" w:hAnsi="Times New Roman" w:cs="Times New Roman"/>
          <w:sz w:val="24"/>
          <w:szCs w:val="24"/>
        </w:rPr>
        <w:br/>
        <w:t>The claims raised have a legal basis neither in international law nor in German law on State liability.</w:t>
      </w:r>
      <w:r w:rsidRPr="00BE407E">
        <w:rPr>
          <w:rFonts w:ascii="Times New Roman" w:eastAsia="Times New Roman" w:hAnsi="Times New Roman" w:cs="Times New Roman"/>
          <w:sz w:val="24"/>
          <w:szCs w:val="24"/>
        </w:rPr>
        <w:br/>
        <w:t>112</w:t>
      </w:r>
      <w:r w:rsidRPr="00BE407E">
        <w:rPr>
          <w:rFonts w:ascii="Times New Roman" w:eastAsia="Times New Roman" w:hAnsi="Times New Roman" w:cs="Times New Roman"/>
          <w:sz w:val="24"/>
          <w:szCs w:val="24"/>
        </w:rPr>
        <w:br/>
        <w:t>Therefore, first, a further clarification of the facts was not necessary. Second, it did not need to be decided whether and to what extent the applicants’ submission justifies the assumption of a violation by the respondent against the principles of international humanitarian law or a violation of duties giving rise to a reparation obligation.</w:t>
      </w:r>
      <w:r w:rsidRPr="00BE407E">
        <w:rPr>
          <w:rFonts w:ascii="Times New Roman" w:eastAsia="Times New Roman" w:hAnsi="Times New Roman" w:cs="Times New Roman"/>
          <w:sz w:val="24"/>
          <w:szCs w:val="24"/>
        </w:rPr>
        <w:br/>
        <w:t>113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1. </w:t>
      </w:r>
      <w:r w:rsidRPr="00BE407E">
        <w:rPr>
          <w:rFonts w:ascii="Times New Roman" w:eastAsia="Times New Roman" w:hAnsi="Times New Roman" w:cs="Times New Roman"/>
          <w:sz w:val="24"/>
          <w:szCs w:val="24"/>
        </w:rPr>
        <w:t>The applicants have no compensation claim for material or immaterial damages against the respondent based on a wrongful act under international law.</w:t>
      </w:r>
      <w:r w:rsidRPr="00BE407E">
        <w:rPr>
          <w:rFonts w:ascii="Times New Roman" w:eastAsia="Times New Roman" w:hAnsi="Times New Roman" w:cs="Times New Roman"/>
          <w:sz w:val="24"/>
          <w:szCs w:val="24"/>
        </w:rPr>
        <w:br/>
        <w:t>114</w:t>
      </w:r>
      <w:r w:rsidRPr="00BE407E">
        <w:rPr>
          <w:rFonts w:ascii="Times New Roman" w:eastAsia="Times New Roman" w:hAnsi="Times New Roman" w:cs="Times New Roman"/>
          <w:sz w:val="24"/>
          <w:szCs w:val="24"/>
        </w:rPr>
        <w:br/>
        <w:t>Such a claim neither arises directly from international law nor in conjunction with Article 25 of the Basic Law of the Federal Republic of Germany.</w:t>
      </w:r>
      <w:r w:rsidRPr="00BE407E">
        <w:rPr>
          <w:rFonts w:ascii="Times New Roman" w:eastAsia="Times New Roman" w:hAnsi="Times New Roman" w:cs="Times New Roman"/>
          <w:sz w:val="24"/>
          <w:szCs w:val="24"/>
        </w:rPr>
        <w:br/>
        <w:t>115</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There are no norms of international law which would, as a consequence of the NATO attack of 30 May 1999, give the applicants as individuals a compensation claim for material or immaterial damages, enforceable against the respondent. This alone already prevents the success of the application.</w:t>
      </w:r>
      <w:r w:rsidRPr="00BE407E">
        <w:rPr>
          <w:rFonts w:ascii="Times New Roman" w:eastAsia="Times New Roman" w:hAnsi="Times New Roman" w:cs="Times New Roman"/>
          <w:sz w:val="24"/>
          <w:szCs w:val="24"/>
        </w:rPr>
        <w:br/>
        <w:t>116</w:t>
      </w:r>
      <w:r w:rsidRPr="00BE407E">
        <w:rPr>
          <w:rFonts w:ascii="Times New Roman" w:eastAsia="Times New Roman" w:hAnsi="Times New Roman" w:cs="Times New Roman"/>
          <w:sz w:val="24"/>
          <w:szCs w:val="24"/>
        </w:rPr>
        <w:br/>
        <w:t>The traditional conception of international law as inter-State law does not conceive the individual as a subject of international law, but only grants him indirect international protection: in the case of international wrongful acts in the form of actions against foreign nationals it is not the individual concerned himself but his home State which has a claim. By means of diplomatic protection the State asserts its own right to respect for international law in the person of its national. The individual is connected to international law only via the “medium” of the State, without himself being a subject of it …</w:t>
      </w:r>
      <w:r w:rsidRPr="00BE407E">
        <w:rPr>
          <w:rFonts w:ascii="Times New Roman" w:eastAsia="Times New Roman" w:hAnsi="Times New Roman" w:cs="Times New Roman"/>
          <w:sz w:val="24"/>
          <w:szCs w:val="24"/>
        </w:rPr>
        <w:br/>
        <w:t>117</w:t>
      </w:r>
      <w:r w:rsidRPr="00BE407E">
        <w:rPr>
          <w:rFonts w:ascii="Times New Roman" w:eastAsia="Times New Roman" w:hAnsi="Times New Roman" w:cs="Times New Roman"/>
          <w:sz w:val="24"/>
          <w:szCs w:val="24"/>
        </w:rPr>
        <w:br/>
        <w:t>This mediatization of the individual via the State in principle still applies. The individual therefore in principle can demand neither the determination of a wrong nor compensation for the wrong.</w:t>
      </w:r>
      <w:r w:rsidRPr="00BE407E">
        <w:rPr>
          <w:rFonts w:ascii="Times New Roman" w:eastAsia="Times New Roman" w:hAnsi="Times New Roman" w:cs="Times New Roman"/>
          <w:sz w:val="24"/>
          <w:szCs w:val="24"/>
        </w:rPr>
        <w:br/>
        <w:t>118</w:t>
      </w:r>
      <w:r w:rsidRPr="00BE407E">
        <w:rPr>
          <w:rFonts w:ascii="Times New Roman" w:eastAsia="Times New Roman" w:hAnsi="Times New Roman" w:cs="Times New Roman"/>
          <w:sz w:val="24"/>
          <w:szCs w:val="24"/>
        </w:rPr>
        <w:br/>
        <w:t xml:space="preserve">However, with the codification of the international protection of human rights the mediatization of the human being via the State has undergone changes: insofar as States create international norms to that effect, they can grant or allocate specific rights or obligations to the individual, and thereby give him a status as partial subject of international law – in relation to the specific content regulated and the States participating in the particular case. If States in the protective treaty law systems created </w:t>
      </w:r>
      <w:r w:rsidRPr="00BE407E">
        <w:rPr>
          <w:rFonts w:ascii="Times New Roman" w:eastAsia="Times New Roman" w:hAnsi="Times New Roman" w:cs="Times New Roman"/>
          <w:sz w:val="24"/>
          <w:szCs w:val="24"/>
        </w:rPr>
        <w:lastRenderedPageBreak/>
        <w:t>by them offer, in addition, also an international law procedure to the individual in which he can enforce the rights attributed to him directly vis-à-vis a State, then a real international law entitlement of the individual exists … If this is not the case, the treaty law regulation is a mere benefit to the individual, which can arise as a reflex from the rights and obligations of the State and does not give the individual rights enforceable against another State …</w:t>
      </w:r>
      <w:r w:rsidRPr="00BE407E">
        <w:rPr>
          <w:rFonts w:ascii="Times New Roman" w:eastAsia="Times New Roman" w:hAnsi="Times New Roman" w:cs="Times New Roman"/>
          <w:sz w:val="24"/>
          <w:szCs w:val="24"/>
        </w:rPr>
        <w:br/>
        <w:t>119</w:t>
      </w:r>
      <w:r w:rsidRPr="00BE407E">
        <w:rPr>
          <w:rFonts w:ascii="Times New Roman" w:eastAsia="Times New Roman" w:hAnsi="Times New Roman" w:cs="Times New Roman"/>
          <w:sz w:val="24"/>
          <w:szCs w:val="24"/>
        </w:rPr>
        <w:br/>
        <w:t>An important penetration of the mediatization of the individual via the State is the [1950 European] Convention for the Protection of Human Rights and Fundamental Freedoms. It expressly grants various rights to the individual, in particular the right to life (Article 2 of the European Convention), provides an enforceable right to compensation of the individual in view of specific violations (Article 5, paragraph 5 of the European Convention), and with Article 34 of the European Convention further gives the individual the possibility to appeal to the European Court of Human Rights. In the present case, the applicants cannot invoke this Convention vis-à-vis the respondent, since they were not within the jurisdiction of the respondent (see in this respect also the decision of the European Court of Human Rights of 12 December 2001 …). This is also the view of the applicants.</w:t>
      </w:r>
      <w:r w:rsidRPr="00BE407E">
        <w:rPr>
          <w:rFonts w:ascii="Times New Roman" w:eastAsia="Times New Roman" w:hAnsi="Times New Roman" w:cs="Times New Roman"/>
          <w:sz w:val="24"/>
          <w:szCs w:val="24"/>
        </w:rPr>
        <w:br/>
        <w:t>120</w:t>
      </w:r>
      <w:r w:rsidRPr="00BE407E">
        <w:rPr>
          <w:rFonts w:ascii="Times New Roman" w:eastAsia="Times New Roman" w:hAnsi="Times New Roman" w:cs="Times New Roman"/>
          <w:sz w:val="24"/>
          <w:szCs w:val="24"/>
        </w:rPr>
        <w:br/>
        <w:t>There is no international law regulation comparable to the human rights conventions which would give the individual a compensation claim for material or immaterial damages, enforceable against another State, for the consequences of an armed conflict like the one in question here. There is no protective treaty system which would give the applicants corresponding individual rights and would offer a procedure for their enforcement.</w:t>
      </w:r>
      <w:r w:rsidRPr="00BE407E">
        <w:rPr>
          <w:rFonts w:ascii="Times New Roman" w:eastAsia="Times New Roman" w:hAnsi="Times New Roman" w:cs="Times New Roman"/>
          <w:sz w:val="24"/>
          <w:szCs w:val="24"/>
        </w:rPr>
        <w:br/>
        <w:t>121</w:t>
      </w:r>
      <w:r w:rsidRPr="00BE407E">
        <w:rPr>
          <w:rFonts w:ascii="Times New Roman" w:eastAsia="Times New Roman" w:hAnsi="Times New Roman" w:cs="Times New Roman"/>
          <w:sz w:val="24"/>
          <w:szCs w:val="24"/>
        </w:rPr>
        <w:br/>
        <w:t>The provisions of the [Hague] Convention respecting the Laws and Customs of War on Land of 18 October 1907 … “do not apply except between contracting Powers” (Article 2 of the Hague Convention). Article 3 of the Hague Convention provides a liability to pay compensation only of the “belligerent party” (vis-à-vis the other belligerent party) (comp. also Federal Court of Justice, Judgement of 26 June 2003, III ZR 245/98, “Distomo case”).</w:t>
      </w:r>
      <w:r w:rsidRPr="00BE407E">
        <w:rPr>
          <w:rFonts w:ascii="Times New Roman" w:eastAsia="Times New Roman" w:hAnsi="Times New Roman" w:cs="Times New Roman"/>
          <w:sz w:val="24"/>
          <w:szCs w:val="24"/>
        </w:rPr>
        <w:br/>
        <w:t>122</w:t>
      </w:r>
      <w:r w:rsidRPr="00BE407E">
        <w:rPr>
          <w:rFonts w:ascii="Times New Roman" w:eastAsia="Times New Roman" w:hAnsi="Times New Roman" w:cs="Times New Roman"/>
          <w:sz w:val="24"/>
          <w:szCs w:val="24"/>
        </w:rPr>
        <w:br/>
        <w:t>In the Geneva Convention relative to the Protection of Civilian Persons in Times of War of 12 August 1949 (Geneva Convention IV), raised by the applicants, likewise only the “High Contracting Parties”, in Article 1, undertake to respect and to ensure respect for the Convention. The same applies to Additional Protocol I to the Geneva Conventions of 12 August 1949 relating to the Protection of Victims of International Armed Conflicts, which supplements the Geneva Conventions for the protection of war victims, Article 1, paragraph 3[.] Also here only the High Contracting Parties undertake to respect and ensure respect, Article 1, paragraph 1; individual civilian persons “enjoy protection” (Article 51), but are not given rights of their own. Also the provision on liability laid down in Article 91 does not apply in favour of the individual. Apart from that, neither the Geneva Conventions nor their Additional Protocols offer a procedure which would make it possible for the individual to enforce potential individual claims.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124</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Also in conjunction with Article 25 of the Basic Law of the Federal Republic of Germany the applications do not have a claim under international law of their own.</w:t>
      </w:r>
      <w:r w:rsidRPr="00BE407E">
        <w:rPr>
          <w:rFonts w:ascii="Times New Roman" w:eastAsia="Times New Roman" w:hAnsi="Times New Roman" w:cs="Times New Roman"/>
          <w:sz w:val="24"/>
          <w:szCs w:val="24"/>
        </w:rPr>
        <w:br/>
        <w:t>125</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It is true, according to that constitutional law provision, that the general rules of international law are an “integral part of federal law” and “directly create rights and duties for the inhabitants of the federal territory”. However, international law relevant here – as outlined above under </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 does not give claims to the individual person and therefore offers no basis for individual claims.</w:t>
      </w:r>
      <w:r w:rsidRPr="00BE407E">
        <w:rPr>
          <w:rFonts w:ascii="Times New Roman" w:eastAsia="Times New Roman" w:hAnsi="Times New Roman" w:cs="Times New Roman"/>
          <w:sz w:val="24"/>
          <w:szCs w:val="24"/>
        </w:rPr>
        <w:br/>
        <w:t>126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The applicants also have no claims against the respondent on the basis of German law on State liability.</w:t>
      </w:r>
      <w:r w:rsidRPr="00BE407E">
        <w:rPr>
          <w:rFonts w:ascii="Times New Roman" w:eastAsia="Times New Roman" w:hAnsi="Times New Roman" w:cs="Times New Roman"/>
          <w:sz w:val="24"/>
          <w:szCs w:val="24"/>
        </w:rPr>
        <w:br/>
        <w:t>127</w:t>
      </w:r>
      <w:r w:rsidRPr="00BE407E">
        <w:rPr>
          <w:rFonts w:ascii="Times New Roman" w:eastAsia="Times New Roman" w:hAnsi="Times New Roman" w:cs="Times New Roman"/>
          <w:sz w:val="24"/>
          <w:szCs w:val="24"/>
        </w:rPr>
        <w:br/>
        <w:t>It is true, the basic international law principle of diplomatic protection does indeed not preclude a State’s domestic law from granting a claim to an injured individual outside international law obligations, in addition to the international law claims of the individual’s home State (Federal Constitutional Court l.c., Federal Court of Justice, Judgement of 26 June 2003).</w:t>
      </w:r>
      <w:r w:rsidRPr="00BE407E">
        <w:rPr>
          <w:rFonts w:ascii="Times New Roman" w:eastAsia="Times New Roman" w:hAnsi="Times New Roman" w:cs="Times New Roman"/>
          <w:sz w:val="24"/>
          <w:szCs w:val="24"/>
        </w:rPr>
        <w:br/>
        <w:t>128</w:t>
      </w:r>
      <w:r w:rsidRPr="00BE407E">
        <w:rPr>
          <w:rFonts w:ascii="Times New Roman" w:eastAsia="Times New Roman" w:hAnsi="Times New Roman" w:cs="Times New Roman"/>
          <w:sz w:val="24"/>
          <w:szCs w:val="24"/>
        </w:rPr>
        <w:br/>
        <w:t>However, also according to the current legal situation, German law does not grant such a claim. Also insofar as a basis for a claim already does not exist here.</w:t>
      </w:r>
      <w:r w:rsidRPr="00BE407E">
        <w:rPr>
          <w:rFonts w:ascii="Times New Roman" w:eastAsia="Times New Roman" w:hAnsi="Times New Roman" w:cs="Times New Roman"/>
          <w:sz w:val="24"/>
          <w:szCs w:val="24"/>
        </w:rPr>
        <w:br/>
        <w:t xml:space="preserve">129 </w:t>
      </w:r>
      <w:r w:rsidRPr="00BE407E">
        <w:rPr>
          <w:rFonts w:ascii="Times New Roman" w:eastAsia="Times New Roman" w:hAnsi="Times New Roman" w:cs="Times New Roman"/>
          <w:sz w:val="24"/>
          <w:szCs w:val="24"/>
        </w:rPr>
        <w:br/>
        <w:t xml:space="preserve">The applicants cannot base compensation claims on the Basic Rights alone,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xml:space="preserve"> because these guarantees do not provide a compensation claim as a legal consequence. It is true, in particular Section 823 of the Civil Code, raised by the applicants, and also the potential legal bases under German law on liability of the State are indeed provisions giving rise to claims. However, Section 823 of the Civil Code is already not applicable if, like in the present case, only a specific act of an official could be considered as a reason for liability … German law on the liability of the State does not apply in cases of armed conflicts. It is eclipsed by the provisions of the international law of war. Armed conflicts are still … to be seen as a state of exception under international law, which to a large extent suspends the legal order applicable in peace time. Responsibility for beginning the conflict and the consequences of the use of force are generally to be regulated on the level of international law. The potential liability of a State under international law for damages caused comprises also the liability for the acts of all persons belonging to that State.</w:t>
      </w:r>
      <w:r w:rsidRPr="00BE407E">
        <w:rPr>
          <w:rFonts w:ascii="Times New Roman" w:eastAsia="Times New Roman" w:hAnsi="Times New Roman" w:cs="Times New Roman"/>
          <w:sz w:val="24"/>
          <w:szCs w:val="24"/>
        </w:rPr>
        <w:br/>
        <w:t>130</w:t>
      </w:r>
      <w:r w:rsidRPr="00BE407E">
        <w:rPr>
          <w:rFonts w:ascii="Times New Roman" w:eastAsia="Times New Roman" w:hAnsi="Times New Roman" w:cs="Times New Roman"/>
          <w:sz w:val="24"/>
          <w:szCs w:val="24"/>
        </w:rPr>
        <w:br/>
        <w:t>The regulation of the consequences of armed conflicts on the national level rather would require – like under international law – the codification of specific compensatory norms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132</w:t>
      </w:r>
      <w:r w:rsidRPr="00BE407E">
        <w:rPr>
          <w:rFonts w:ascii="Times New Roman" w:eastAsia="Times New Roman" w:hAnsi="Times New Roman" w:cs="Times New Roman"/>
          <w:sz w:val="24"/>
          <w:szCs w:val="24"/>
        </w:rPr>
        <w:br/>
        <w:t>Therefore, neither German law on breach of official duty (Section 839 of the Civil Code in conjunction with Article 34 of the Basic Law) nor the legal doctrine of fair compensation for a special sacrifice to the community [</w:t>
      </w:r>
      <w:r w:rsidRPr="00BE407E">
        <w:rPr>
          <w:rFonts w:ascii="Times New Roman" w:eastAsia="Times New Roman" w:hAnsi="Times New Roman" w:cs="Times New Roman"/>
          <w:i/>
          <w:iCs/>
          <w:sz w:val="24"/>
          <w:szCs w:val="24"/>
        </w:rPr>
        <w:t>Rechtsinstitut des allgemeinen Aufopferungsanspruchs</w:t>
      </w:r>
      <w:r w:rsidRPr="00BE407E">
        <w:rPr>
          <w:rFonts w:ascii="Times New Roman" w:eastAsia="Times New Roman" w:hAnsi="Times New Roman" w:cs="Times New Roman"/>
          <w:sz w:val="24"/>
          <w:szCs w:val="24"/>
        </w:rPr>
        <w:t>] give rise to individual claims against the respondent by individual persons injured in the course of armed conflicts abroad.</w:t>
      </w:r>
      <w:r>
        <w:rPr>
          <w:rFonts w:ascii="Times New Roman" w:eastAsia="Times New Roman" w:hAnsi="Times New Roman" w:cs="Times New Roman"/>
          <w:noProof/>
          <w:sz w:val="24"/>
          <w:szCs w:val="24"/>
        </w:rPr>
        <w:drawing>
          <wp:inline distT="0" distB="0" distL="0" distR="0">
            <wp:extent cx="151130" cy="142875"/>
            <wp:effectExtent l="19050" t="0" r="1270" b="0"/>
            <wp:docPr id="3045" name="Imagen 30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appeal filed by the applicants against the judgement of the Regional Court of Bonn of 10 December 2003 … is dismissed.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75</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 Claims based on international law</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76</w:t>
      </w:r>
      <w:r w:rsidRPr="00BE407E">
        <w:rPr>
          <w:rFonts w:ascii="Times New Roman" w:eastAsia="Times New Roman" w:hAnsi="Times New Roman" w:cs="Times New Roman"/>
          <w:sz w:val="24"/>
          <w:szCs w:val="24"/>
        </w:rPr>
        <w:br/>
        <w:t xml:space="preserve">Insofar as the applicants … base their claims directly on international (humanitarian) </w:t>
      </w:r>
      <w:r w:rsidRPr="00BE407E">
        <w:rPr>
          <w:rFonts w:ascii="Times New Roman" w:eastAsia="Times New Roman" w:hAnsi="Times New Roman" w:cs="Times New Roman"/>
          <w:sz w:val="24"/>
          <w:szCs w:val="24"/>
        </w:rPr>
        <w:lastRenderedPageBreak/>
        <w:t>law, in particular on Article 3 of the Hague Convention … and Article 91 of the Additional Protocol to the Geneva Conventions – AP I –, always in conjunction with the provisions of international humanitarian law serving the protection of civilians, and partly also in conjunction with Article 25 of the Basic Law of the Federal Republic of Germany, reference can be made to the explanations, correct in this respect, in the appealed judgement. It is (still, at least) the predominant view in international law, and has been recently stated by the Federal Constitutional Court with regard to the currently predominant view in the Federal Republic (most recently in the decision of 28 June 2004, 2 BvR 1379/01, “Italian military internees”; in this sense, for the time of World War II, also the Federal Court of Justice in its judgement of 26 June 2003, III ZR 245/98, “Distomo case”), that the traditional conception of international law as inter-State law conceives the individual not as a subject of international law, but only grants him indirect international protection. In the case of international wrongful acts through actions against foreign nationals it is not the individual concerned himself, but only his home State which has a claim. By means of diplomatic protection the State asserts its own right to respect for international law in the person of its national. In its most recent decision on this question (of 28 June 2004, 2 BvR 1379/01, “Italian military internees”), the Federal Constitutional Court expressly stated that Article 3 of the Hague Convention generally does not establish an individual compensation claim, but only codifies the general basic rule of international law regarding a liability to pay compensation between the States party; this claim for compensation, however, exists only in the international law relation between the States concerned. This basic rule also applies to the comparable provision of Article 91 AP I.</w:t>
      </w:r>
      <w:r w:rsidRPr="00BE407E">
        <w:rPr>
          <w:rFonts w:ascii="Times New Roman" w:eastAsia="Times New Roman" w:hAnsi="Times New Roman" w:cs="Times New Roman"/>
          <w:sz w:val="24"/>
          <w:szCs w:val="24"/>
        </w:rPr>
        <w:br/>
        <w:t>77</w:t>
      </w:r>
      <w:r w:rsidRPr="00BE407E">
        <w:rPr>
          <w:rFonts w:ascii="Times New Roman" w:eastAsia="Times New Roman" w:hAnsi="Times New Roman" w:cs="Times New Roman"/>
          <w:sz w:val="24"/>
          <w:szCs w:val="24"/>
        </w:rPr>
        <w:br/>
        <w:t>In addition, in a decision of 13 May 1996 [</w:t>
      </w:r>
      <w:r w:rsidRPr="00BE407E">
        <w:rPr>
          <w:rFonts w:ascii="Times New Roman" w:eastAsia="Times New Roman" w:hAnsi="Times New Roman" w:cs="Times New Roman"/>
          <w:i/>
          <w:iCs/>
          <w:sz w:val="24"/>
          <w:szCs w:val="24"/>
        </w:rPr>
        <w:t>BVerfGE</w:t>
      </w:r>
      <w:r w:rsidRPr="00BE407E">
        <w:rPr>
          <w:rFonts w:ascii="Times New Roman" w:eastAsia="Times New Roman" w:hAnsi="Times New Roman" w:cs="Times New Roman"/>
          <w:sz w:val="24"/>
          <w:szCs w:val="24"/>
        </w:rPr>
        <w:t xml:space="preserve"> 94, 315], the Federal Constitutional Court explained that international law, in the more recent development of an extended protection of human rights, indeed may grant own rights to the individual, and that protective systems had been developed under treaty law by which the individual can also himself assert his claim. Such a protective system under treaty law, however, does not exist as regards Article 3 of the Hague Convention and Article 91 AP I, raised here as basis of claims. Insofar as direct claims of the individual have been established in the course of the more recent development, for example within the framework of the European Convention for the Protection of Human Rights and Fundamental Freedoms, it is, in correct recognition of the legal situation, undisputed between the parties that the European Convention does not apply with regard to the NATO air strike in question here, as held by the European Court of Human Rights is in the “Bankovic” decision. There are therefore no direct claims based on international (humanitarian) law.</w:t>
      </w:r>
      <w:r w:rsidRPr="00BE407E">
        <w:rPr>
          <w:rFonts w:ascii="Times New Roman" w:eastAsia="Times New Roman" w:hAnsi="Times New Roman" w:cs="Times New Roman"/>
          <w:sz w:val="24"/>
          <w:szCs w:val="24"/>
        </w:rPr>
        <w:br/>
        <w:t>78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3. Claims based on national law</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79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 Claims based on Basic Rights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80</w:t>
      </w:r>
      <w:r w:rsidRPr="00BE407E">
        <w:rPr>
          <w:rFonts w:ascii="Times New Roman" w:eastAsia="Times New Roman" w:hAnsi="Times New Roman" w:cs="Times New Roman"/>
          <w:sz w:val="24"/>
          <w:szCs w:val="24"/>
        </w:rPr>
        <w:br/>
        <w:t>… [A]ccording to the general view, the Basic Rights themselves are no basis for claims – also not in the case of violations of the Basic Rights. Rather, they are first of all defensive rights against the State, which, however, independent of that, can in manifold ways have effect also within concrete bases for claims through the valuations expressed in them. Such a concrete norm, establishing a claim, is however necessary to give rise to a claim; directly on the basis of Basic Rights alone this is not the case …</w:t>
      </w:r>
      <w:r w:rsidRPr="00BE407E">
        <w:rPr>
          <w:rFonts w:ascii="Times New Roman" w:eastAsia="Times New Roman" w:hAnsi="Times New Roman" w:cs="Times New Roman"/>
          <w:sz w:val="24"/>
          <w:szCs w:val="24"/>
        </w:rPr>
        <w:br/>
        <w:t>81</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b) Claims based on Section 839 of the Civil Code in conjunction with Article 34 of the </w:t>
      </w:r>
      <w:r w:rsidRPr="00BE407E">
        <w:rPr>
          <w:rFonts w:ascii="Times New Roman" w:eastAsia="Times New Roman" w:hAnsi="Times New Roman" w:cs="Times New Roman"/>
          <w:i/>
          <w:iCs/>
          <w:sz w:val="24"/>
          <w:szCs w:val="24"/>
        </w:rPr>
        <w:lastRenderedPageBreak/>
        <w:t>Basic Law</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82</w:t>
      </w:r>
      <w:r w:rsidRPr="00BE407E">
        <w:rPr>
          <w:rFonts w:ascii="Times New Roman" w:eastAsia="Times New Roman" w:hAnsi="Times New Roman" w:cs="Times New Roman"/>
          <w:sz w:val="24"/>
          <w:szCs w:val="24"/>
        </w:rPr>
        <w:br/>
        <w:t>Ultimately, there are also no claims based on breach of official duty.</w:t>
      </w:r>
      <w:r w:rsidRPr="00BE407E">
        <w:rPr>
          <w:rFonts w:ascii="Times New Roman" w:eastAsia="Times New Roman" w:hAnsi="Times New Roman" w:cs="Times New Roman"/>
          <w:sz w:val="24"/>
          <w:szCs w:val="24"/>
        </w:rPr>
        <w:br/>
        <w:t>83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aa) Applicability of civil law on liability of the State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84</w:t>
      </w:r>
      <w:r w:rsidRPr="00BE407E">
        <w:rPr>
          <w:rFonts w:ascii="Times New Roman" w:eastAsia="Times New Roman" w:hAnsi="Times New Roman" w:cs="Times New Roman"/>
          <w:sz w:val="24"/>
          <w:szCs w:val="24"/>
        </w:rPr>
        <w:br/>
        <w:t xml:space="preserve">In this respect, first of all, it is to be noted that individual civil law compensation claims of injured persons based on domestic law in parallel to a potential international law claim of their home State are not excluded. Contrary to the principle of exclusivity of international law in the sense of absorption of individual claims in the inter-State reparation claims, contended by a part of the literature …, the case law now to be seen as firm (Federal Constitutional Court, 28 June 2004, 2 BvR 1379/01, “Italian military internees”; Federal Constitutional Court, </w:t>
      </w:r>
      <w:r w:rsidRPr="00BE407E">
        <w:rPr>
          <w:rFonts w:ascii="Times New Roman" w:eastAsia="Times New Roman" w:hAnsi="Times New Roman" w:cs="Times New Roman"/>
          <w:i/>
          <w:iCs/>
          <w:sz w:val="24"/>
          <w:szCs w:val="24"/>
        </w:rPr>
        <w:t>BVerfgE</w:t>
      </w:r>
      <w:r w:rsidRPr="00BE407E">
        <w:rPr>
          <w:rFonts w:ascii="Times New Roman" w:eastAsia="Times New Roman" w:hAnsi="Times New Roman" w:cs="Times New Roman"/>
          <w:sz w:val="24"/>
          <w:szCs w:val="24"/>
        </w:rPr>
        <w:t xml:space="preserve"> 94, 315, [13 May 1996]; Federal Court of Justice, judgement of 26 June 2003, III ZR 245/98, “Distomo case”) has expressly underlined that there is no general rule of international law according to which claims based on domestic law, stemming from war events, cannot be enforced individually, but only on the inter-State level. In its decision </w:t>
      </w:r>
      <w:r w:rsidRPr="00BE407E">
        <w:rPr>
          <w:rFonts w:ascii="Times New Roman" w:eastAsia="Times New Roman" w:hAnsi="Times New Roman" w:cs="Times New Roman"/>
          <w:i/>
          <w:iCs/>
          <w:sz w:val="24"/>
          <w:szCs w:val="24"/>
        </w:rPr>
        <w:t>BVerfgE</w:t>
      </w:r>
      <w:r w:rsidRPr="00BE407E">
        <w:rPr>
          <w:rFonts w:ascii="Times New Roman" w:eastAsia="Times New Roman" w:hAnsi="Times New Roman" w:cs="Times New Roman"/>
          <w:sz w:val="24"/>
          <w:szCs w:val="24"/>
        </w:rPr>
        <w:t xml:space="preserve"> 94, 315, the Federal Constitutional Court stressed that the parallelism of claims between international law and domestic law is given </w:t>
      </w:r>
      <w:r w:rsidRPr="00BE407E">
        <w:rPr>
          <w:rFonts w:ascii="Times New Roman" w:eastAsia="Times New Roman" w:hAnsi="Times New Roman" w:cs="Times New Roman"/>
          <w:i/>
          <w:iCs/>
          <w:sz w:val="24"/>
          <w:szCs w:val="24"/>
        </w:rPr>
        <w:t>a fortiori</w:t>
      </w:r>
      <w:r w:rsidRPr="00BE407E">
        <w:rPr>
          <w:rFonts w:ascii="Times New Roman" w:eastAsia="Times New Roman" w:hAnsi="Times New Roman" w:cs="Times New Roman"/>
          <w:sz w:val="24"/>
          <w:szCs w:val="24"/>
        </w:rPr>
        <w:t>, if a domestic claim is deduced not from a specific law on war consequences but on a general public law restitution claim, because such a restitution claim has no specific connection whatsoever with the regulation of war consequences.</w:t>
      </w:r>
      <w:r w:rsidRPr="00BE407E">
        <w:rPr>
          <w:rFonts w:ascii="Times New Roman" w:eastAsia="Times New Roman" w:hAnsi="Times New Roman" w:cs="Times New Roman"/>
          <w:sz w:val="24"/>
          <w:szCs w:val="24"/>
        </w:rPr>
        <w:br/>
        <w:t>85</w:t>
      </w:r>
      <w:r w:rsidRPr="00BE407E">
        <w:rPr>
          <w:rFonts w:ascii="Times New Roman" w:eastAsia="Times New Roman" w:hAnsi="Times New Roman" w:cs="Times New Roman"/>
          <w:sz w:val="24"/>
          <w:szCs w:val="24"/>
        </w:rPr>
        <w:br/>
        <w:t>In its most recent decision [of 28 June 2004], the Federal Constitutional Court additionally explained that this lack of preclusion does not allow the inference of a rule or assumption according to which a State violating international law must grant claims to injured persons on the basis of its domestic law. It is rather the concrete content of the domestic legal order, in the present case Section 839 of the Civil Code in conjunction with Article 34 of the Basic Law, on the basis of which the requirements of a claim must be assessed.</w:t>
      </w:r>
      <w:r w:rsidRPr="00BE407E">
        <w:rPr>
          <w:rFonts w:ascii="Times New Roman" w:eastAsia="Times New Roman" w:hAnsi="Times New Roman" w:cs="Times New Roman"/>
          <w:sz w:val="24"/>
          <w:szCs w:val="24"/>
        </w:rPr>
        <w:br/>
        <w:t>86</w:t>
      </w:r>
      <w:r w:rsidRPr="00BE407E">
        <w:rPr>
          <w:rFonts w:ascii="Times New Roman" w:eastAsia="Times New Roman" w:hAnsi="Times New Roman" w:cs="Times New Roman"/>
          <w:sz w:val="24"/>
          <w:szCs w:val="24"/>
        </w:rPr>
        <w:br/>
        <w:t>In this respect it is further to be noted that this general state liability claim is not excluded just because in the present case the decisive events took place not in the Federal Republic of Germany, but abroad. [This] Senate … and also the Federal Court of Justice (judgement of 26 June 2003, III ZR 245/98, “Distomo case”) have left no doubt in comparable cases that German law is to be applied also as regards breaches of official duty committed abroad, namely the relevant Section 839 of the Civil Code, in the cases quoted in conjunction with the then relevant Article 131 of the Weimar Constitution, today in conjunction with Article 34 of the Basic Law of the Federal Republic of Germany.</w:t>
      </w:r>
      <w:r w:rsidRPr="00BE407E">
        <w:rPr>
          <w:rFonts w:ascii="Times New Roman" w:eastAsia="Times New Roman" w:hAnsi="Times New Roman" w:cs="Times New Roman"/>
          <w:sz w:val="24"/>
          <w:szCs w:val="24"/>
        </w:rPr>
        <w:br/>
        <w:t>87</w:t>
      </w:r>
      <w:r w:rsidRPr="00BE407E">
        <w:rPr>
          <w:rFonts w:ascii="Times New Roman" w:eastAsia="Times New Roman" w:hAnsi="Times New Roman" w:cs="Times New Roman"/>
          <w:sz w:val="24"/>
          <w:szCs w:val="24"/>
        </w:rPr>
        <w:br/>
        <w:t xml:space="preserve">The decisive question is whether Section 839 of the Civil Code does not apply to the events in question here because they took place in the context of an armed conflict. With regard to the time up until the end of World War II, the Federal Court of Justice has stated in its “Distomo” decision ([26 June 2003]) that, according to the predominant view at that time, war was seen as a state of exception under international law, in its essence geared to the use of force, and to a large extent suspending the legal order applicable in peace time. Responsibility for beginning a war and for the consequences of the collective use of force inevitably connected with it, as well as liability for individual war crimes by persons belonging to the armed powers, was regulated on the </w:t>
      </w:r>
      <w:r w:rsidRPr="00BE407E">
        <w:rPr>
          <w:rFonts w:ascii="Times New Roman" w:eastAsia="Times New Roman" w:hAnsi="Times New Roman" w:cs="Times New Roman"/>
          <w:sz w:val="24"/>
          <w:szCs w:val="24"/>
        </w:rPr>
        <w:lastRenderedPageBreak/>
        <w:t>level of th e belligerent States. Based on this view of war as, first of all, a collective act of force, seen as a “relation from State to State”, at that time the idea was alien that due to wrongful acts of its armed forces abroad a belligerent State could become directly liable to pay compensation (also) vis-à-vis the victims.</w:t>
      </w:r>
      <w:r w:rsidRPr="00BE407E">
        <w:rPr>
          <w:rFonts w:ascii="Times New Roman" w:eastAsia="Times New Roman" w:hAnsi="Times New Roman" w:cs="Times New Roman"/>
          <w:sz w:val="24"/>
          <w:szCs w:val="24"/>
        </w:rPr>
        <w:br/>
        <w:t>88</w:t>
      </w:r>
      <w:r w:rsidRPr="00BE407E">
        <w:rPr>
          <w:rFonts w:ascii="Times New Roman" w:eastAsia="Times New Roman" w:hAnsi="Times New Roman" w:cs="Times New Roman"/>
          <w:sz w:val="24"/>
          <w:szCs w:val="24"/>
        </w:rPr>
        <w:br/>
        <w:t>The Federal Court of Justice expressly left open whether this view is still correct in the framework of today’s law on liability for breach of official duty. In view of the Senate this view is – at least in this absolute form – obsolete in view of today’s acts of war or armed conflicts and can no longer be justified in view of the development of international and domestic law in the meantime. To the details:</w:t>
      </w:r>
      <w:r w:rsidRPr="00BE407E">
        <w:rPr>
          <w:rFonts w:ascii="Times New Roman" w:eastAsia="Times New Roman" w:hAnsi="Times New Roman" w:cs="Times New Roman"/>
          <w:sz w:val="24"/>
          <w:szCs w:val="24"/>
        </w:rPr>
        <w:br/>
        <w:t>89</w:t>
      </w:r>
      <w:r w:rsidRPr="00BE407E">
        <w:rPr>
          <w:rFonts w:ascii="Times New Roman" w:eastAsia="Times New Roman" w:hAnsi="Times New Roman" w:cs="Times New Roman"/>
          <w:sz w:val="24"/>
          <w:szCs w:val="24"/>
        </w:rPr>
        <w:br/>
        <w:t>It is certainly still correct also today both as regards international public law and as regards international and domestic private/civil law that wars or armed conflicts are to be seen as states of exception, to which special provisions apply. The place of the provisions applicable in times of peace is taken by the “ius in bello” in its manifold manifestations, partly regulated by international law, partly by domestic law, which to a large extent suspends the legal order normally applicable.</w:t>
      </w:r>
      <w:r w:rsidRPr="00BE407E">
        <w:rPr>
          <w:rFonts w:ascii="Times New Roman" w:eastAsia="Times New Roman" w:hAnsi="Times New Roman" w:cs="Times New Roman"/>
          <w:sz w:val="24"/>
          <w:szCs w:val="24"/>
        </w:rPr>
        <w:br/>
        <w:t>90</w:t>
      </w:r>
      <w:r w:rsidRPr="00BE407E">
        <w:rPr>
          <w:rFonts w:ascii="Times New Roman" w:eastAsia="Times New Roman" w:hAnsi="Times New Roman" w:cs="Times New Roman"/>
          <w:sz w:val="24"/>
          <w:szCs w:val="24"/>
        </w:rPr>
        <w:br/>
        <w:t>It need not be decided how far this suspensive effect reaches in general and which areas are concerned; of interest here is alone the question of liability of the State, as laid down in Section 839 of the Civil Code in conjunction with Article 34 of the Basic Law. The idea codified in them, of liability of the State for a “wrong” done by public act to an individual owner of rights – not to other States – cannot be seen as completely suspended, for this would be contrary in a blatant manner to our modern understanding of State acts. Also in times of war or when participating in armed conflicts the State is bound by the law, especially international law, in particular as it has entered that obligation in a special manner by treaty law relations or by recognizing that law. To respect the “ius in bello” is an obligation of the State, for it exactly has the purpose to become effective instead of the national and international legal orders normally applicable, and demands application exactly to that purpose.</w:t>
      </w:r>
      <w:r w:rsidRPr="00BE407E">
        <w:rPr>
          <w:rFonts w:ascii="Times New Roman" w:eastAsia="Times New Roman" w:hAnsi="Times New Roman" w:cs="Times New Roman"/>
          <w:sz w:val="24"/>
          <w:szCs w:val="24"/>
        </w:rPr>
        <w:br/>
        <w:t>91</w:t>
      </w:r>
      <w:r w:rsidRPr="00BE407E">
        <w:rPr>
          <w:rFonts w:ascii="Times New Roman" w:eastAsia="Times New Roman" w:hAnsi="Times New Roman" w:cs="Times New Roman"/>
          <w:sz w:val="24"/>
          <w:szCs w:val="24"/>
        </w:rPr>
        <w:br/>
        <w:t>Insofar as these regulations demand application in times of war, they also require sanctions in order to become effective, for otherwise they would risk being void. Insofar as they are international law regulations, there have been and there are claims and procedures to that purpose, which, however, according to the traditional view only, were of an inter-State character and in which the individual human being participated only via the means of diplomatic protection. This view, however, due to the development over time, is today no longer tenable.</w:t>
      </w:r>
      <w:r w:rsidRPr="00BE407E">
        <w:rPr>
          <w:rFonts w:ascii="Times New Roman" w:eastAsia="Times New Roman" w:hAnsi="Times New Roman" w:cs="Times New Roman"/>
          <w:sz w:val="24"/>
          <w:szCs w:val="24"/>
        </w:rPr>
        <w:br/>
        <w:t>92</w:t>
      </w:r>
      <w:r w:rsidRPr="00BE407E">
        <w:rPr>
          <w:rFonts w:ascii="Times New Roman" w:eastAsia="Times New Roman" w:hAnsi="Times New Roman" w:cs="Times New Roman"/>
          <w:sz w:val="24"/>
          <w:szCs w:val="24"/>
        </w:rPr>
        <w:br/>
        <w:t xml:space="preserve">An essential difference first of all in the domestic law is the fact that, since the foundation of the Federal Republic of Germany, all acts of the State are to be seen in the light of the Basic Law. The order of values incorporated in the Basic Law, which with regard to the individual has found its expression in particular within the Basic Rights, has given first priority to the dignity and protection of the human being, gives to the individual as such a position different from that in the time before the validity of the Basic Law. Individual claims – defensive claims and claims for benefits – of the individual vis-à-vis the State find their expression in countless parts of our whole current legal order and are shaped by the system of values of the Basic Law. It is therefore out of the question to assume a complete suspension of Section 839 of the Civil Code in conjunction with Article 34 of the Basic Law in times of war or as regards </w:t>
      </w:r>
      <w:r w:rsidRPr="00BE407E">
        <w:rPr>
          <w:rFonts w:ascii="Times New Roman" w:eastAsia="Times New Roman" w:hAnsi="Times New Roman" w:cs="Times New Roman"/>
          <w:sz w:val="24"/>
          <w:szCs w:val="24"/>
        </w:rPr>
        <w:lastRenderedPageBreak/>
        <w:t>military actions, since this is the general claim for damages against the State and the central regulation of liability of the State towards the individual injured by a public act. A suspension of the regulations would mean – except for specific regulations by law, which however exactly do not exist for cases such as the one in question here – to negate any claim of the individual human being for any wrongful public act, no matter how grave, to refuse any individual granting of rights, and to refer him to the (insecure) means of diplomatic protection. This is not consistent with the idea of the human being and the claim to grant rights according to the Basic Law.</w:t>
      </w:r>
      <w:r w:rsidRPr="00BE407E">
        <w:rPr>
          <w:rFonts w:ascii="Times New Roman" w:eastAsia="Times New Roman" w:hAnsi="Times New Roman" w:cs="Times New Roman"/>
          <w:sz w:val="24"/>
          <w:szCs w:val="24"/>
        </w:rPr>
        <w:br/>
        <w:t>93</w:t>
      </w:r>
      <w:r w:rsidRPr="00BE407E">
        <w:rPr>
          <w:rFonts w:ascii="Times New Roman" w:eastAsia="Times New Roman" w:hAnsi="Times New Roman" w:cs="Times New Roman"/>
          <w:sz w:val="24"/>
          <w:szCs w:val="24"/>
        </w:rPr>
        <w:br/>
        <w:t>The question therefore can only be how far the protection of Section 839 of the Civil Code in conjunction with Article 34 of the Basic Law reaches during war or in the context of an armed conflict, and not whether it is to be granted in principle …</w:t>
      </w:r>
      <w:r w:rsidRPr="00BE407E">
        <w:rPr>
          <w:rFonts w:ascii="Times New Roman" w:eastAsia="Times New Roman" w:hAnsi="Times New Roman" w:cs="Times New Roman"/>
          <w:sz w:val="24"/>
          <w:szCs w:val="24"/>
        </w:rPr>
        <w:br/>
        <w:t>94</w:t>
      </w:r>
      <w:r w:rsidRPr="00BE407E">
        <w:rPr>
          <w:rFonts w:ascii="Times New Roman" w:eastAsia="Times New Roman" w:hAnsi="Times New Roman" w:cs="Times New Roman"/>
          <w:sz w:val="24"/>
          <w:szCs w:val="24"/>
        </w:rPr>
        <w:br/>
        <w:t>This view is supported in particular also by the principle recognized by the Federal Constitutional Court, described above, of the parallelism of, on the one hand, the international law claims held alone by the home State and, on the other hand, the possibility to grant domestic individual claims; the Federal Constitutional Court recognizes that principle not only in relation to specific regulations, but considers it also in the form of a general restitution claim. If one supports such a parallelism of claims, but excludes as generally suspended the applicability of the general law on State liability when at the same time a specific regulation is lacking, one does not do justice to the concrete content of the domestic legal order, regarded as decisive by the Federal Constitutional Court, and the recognized parallelism of claims remains empty. In the light of the value judgement of the Basic Law, such an exclusion, for which in any case there are no indications in the wording of Section 839 of the Civil Code in conjunction with Article 34 of the Basic Law and which cannot be deduced from systematic or historic considerations either, therefore does not seem possible (any more).</w:t>
      </w:r>
      <w:r w:rsidRPr="00BE407E">
        <w:rPr>
          <w:rFonts w:ascii="Times New Roman" w:eastAsia="Times New Roman" w:hAnsi="Times New Roman" w:cs="Times New Roman"/>
          <w:sz w:val="24"/>
          <w:szCs w:val="24"/>
        </w:rPr>
        <w:br/>
        <w:t>95</w:t>
      </w:r>
      <w:r w:rsidRPr="00BE407E">
        <w:rPr>
          <w:rFonts w:ascii="Times New Roman" w:eastAsia="Times New Roman" w:hAnsi="Times New Roman" w:cs="Times New Roman"/>
          <w:sz w:val="24"/>
          <w:szCs w:val="24"/>
        </w:rPr>
        <w:br/>
        <w:t>This is true in particular in view of the multitude of international law regulations having come into existence since World War II, which give the protection of the human being an importance as high as that given by the Basic Law.</w:t>
      </w:r>
      <w:r w:rsidRPr="00BE407E">
        <w:rPr>
          <w:rFonts w:ascii="Times New Roman" w:eastAsia="Times New Roman" w:hAnsi="Times New Roman" w:cs="Times New Roman"/>
          <w:sz w:val="24"/>
          <w:szCs w:val="24"/>
        </w:rPr>
        <w:br/>
        <w:t>96</w:t>
      </w:r>
      <w:r w:rsidRPr="00BE407E">
        <w:rPr>
          <w:rFonts w:ascii="Times New Roman" w:eastAsia="Times New Roman" w:hAnsi="Times New Roman" w:cs="Times New Roman"/>
          <w:sz w:val="24"/>
          <w:szCs w:val="24"/>
        </w:rPr>
        <w:br/>
        <w:t xml:space="preserve">It is to be noted that since the end of World War II a change in the international humanitarian law (of war) is to be registered, to the effect that, more and more, the rights and the protection of the individual come to the fore. Numerous conventions have been concluded which expressly have the protection of the individual, in particular also of the civilian person, as their object, to which the Federal Republic of Germany has acceded, and which are applicable law. Apart from newer developments now also in the area of criminal law with the creation of the International Crimes Code and the establishing of an International Criminal Court, mention must be made in particular of the Geneva Convention relative to the Protection of Civilian Persons in Time of War of 1949, its Additional Protocol of 1977 and the European Convention on Human Rights of 1950, the last expressly and decisively taking into account the protection of the individual by also providing individual procedures for the individual rights laid down in it. Such expressly granted individual rights and individual procedures may not follow from the further international humanitarian law. But there can be no serious doubt that its provisions, which e.g. in Article 48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xml:space="preserve"> AP I repeatedly refer to “individual civilians”, do not only abstractly serve the protection of the civilian population as a whole, but also concretely serve the protection of the individual. The ongoing tendency to underline and to strengthen the protection of the individual in the area of his </w:t>
      </w:r>
      <w:r w:rsidRPr="00BE407E">
        <w:rPr>
          <w:rFonts w:ascii="Times New Roman" w:eastAsia="Times New Roman" w:hAnsi="Times New Roman" w:cs="Times New Roman"/>
          <w:sz w:val="24"/>
          <w:szCs w:val="24"/>
        </w:rPr>
        <w:lastRenderedPageBreak/>
        <w:t>fundamental human rights cannot be mistaken. In its most recent decision (28 June 2004, 2 BvR 1379/01, “Italian military internees), the Federal Constitutional Court described this protection of the individual in relation to the Hague Regulations (stemming already from 1907) as the concerned persons’ “primary right to respect for the prohibitions of international humanitarian law”, which – this is how the decision is to be understood –, unlike the secondary right to compensation resulting from it, does not exist in the international law relation between the States concerned, but which the individual has vis-à-vis the acting State.</w:t>
      </w:r>
      <w:r w:rsidRPr="00BE407E">
        <w:rPr>
          <w:rFonts w:ascii="Times New Roman" w:eastAsia="Times New Roman" w:hAnsi="Times New Roman" w:cs="Times New Roman"/>
          <w:sz w:val="24"/>
          <w:szCs w:val="24"/>
        </w:rPr>
        <w:br/>
        <w:t>97</w:t>
      </w:r>
      <w:r w:rsidRPr="00BE407E">
        <w:rPr>
          <w:rFonts w:ascii="Times New Roman" w:eastAsia="Times New Roman" w:hAnsi="Times New Roman" w:cs="Times New Roman"/>
          <w:sz w:val="24"/>
          <w:szCs w:val="24"/>
        </w:rPr>
        <w:br/>
        <w:t>The Federal Republic, by international treaty, has assumed the obligation to respect and observe these rights, they bind the State as directly applicable law under Article 25 of the Basic Law. If this is so, the secondary rights to compensation resulting from them and laid down in Article 3 of the Hague Convention and Article 91 of AP I may exist only between States, but within the framework of parallelism of claims, the applicability of Section 839 in conjunction with Article 34 of the Basic Law cannot be negated. If the primary right to respect for international humanitarian law is accepted, it contradicts the order of values more recently arisen on the domestic and international level – which makes the protection of human beings and respecting that protection a central duty not only in the interest of society but also for the benefit of the individual human being – not to give a corresponding, own compensation claim to a person concerned in case of a violation, if the applicable requirements of the claim are fulfilled. To generally negate such an individual claim due to suspension of the applicable liability norm, and to refer the individual to the means of diplomatic protection, would often make the right of the individual to respect for international humanitarian law go void, since the violation would remain without sanction. Especially the vanquished State will often not have a real possibility, and will often also not be willing, to effectively raise violations of international humanitarian law against its nationals by means of diplomatic protection vis-à-vis the victorious State.</w:t>
      </w:r>
      <w:r w:rsidRPr="00BE407E">
        <w:rPr>
          <w:rFonts w:ascii="Times New Roman" w:eastAsia="Times New Roman" w:hAnsi="Times New Roman" w:cs="Times New Roman"/>
          <w:sz w:val="24"/>
          <w:szCs w:val="24"/>
        </w:rPr>
        <w:br/>
        <w:t>98</w:t>
      </w:r>
      <w:r w:rsidRPr="00BE407E">
        <w:rPr>
          <w:rFonts w:ascii="Times New Roman" w:eastAsia="Times New Roman" w:hAnsi="Times New Roman" w:cs="Times New Roman"/>
          <w:sz w:val="24"/>
          <w:szCs w:val="24"/>
        </w:rPr>
        <w:br/>
        <w:t>The Senate therefore, also in the case of armed conflicts, regards the general legal provisions on State liability as generally applicable, at least insofar as the State thereby violates, in a manner inconsistent with international law, the primary right of the individual to respect of international humanitarian law.</w:t>
      </w:r>
      <w:r w:rsidRPr="00BE407E">
        <w:rPr>
          <w:rFonts w:ascii="Times New Roman" w:eastAsia="Times New Roman" w:hAnsi="Times New Roman" w:cs="Times New Roman"/>
          <w:sz w:val="24"/>
          <w:szCs w:val="24"/>
        </w:rPr>
        <w:br/>
        <w:t>99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bb) The requirements of Section 839 of the Civil Code in conjunction with Article 34 of the Basic Law are not fulfilled</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100</w:t>
      </w:r>
      <w:r w:rsidRPr="00BE407E">
        <w:rPr>
          <w:rFonts w:ascii="Times New Roman" w:eastAsia="Times New Roman" w:hAnsi="Times New Roman" w:cs="Times New Roman"/>
          <w:sz w:val="24"/>
          <w:szCs w:val="24"/>
        </w:rPr>
        <w:br/>
        <w:t xml:space="preserve">The question how far the protection of the State liability claim under Section 839 of the Civil Code in conjunction with Article 34 of the Basic Law goes need not be answered in general. It is self-evident that it cannot cover such areas of the legal order which are suspended in consequence of the armed conflict. It is also self-evident that it must at least in principle cover those areas which are instead regulated by “ius in bello”, for these regulations then are the standard against which acts of a State are measured. How far the scope of protection of Section 839 Civil Code in conjunction with Article 34 of the Basic Law goes need not be decided in the present case. Indeed, at least such international law rules applicable in the framework of “ius in bello” would seem to come under a claim for breach of official duty which give concrete rights to the individual and are meant to grant him a right to their respect and observance vis-à-vis acts of a State, e.g. in the case of acts violating international law, having the character of war crimes, which in the sense of the law on State liability would appear to be an abuse </w:t>
      </w:r>
      <w:r w:rsidRPr="00BE407E">
        <w:rPr>
          <w:rFonts w:ascii="Times New Roman" w:eastAsia="Times New Roman" w:hAnsi="Times New Roman" w:cs="Times New Roman"/>
          <w:sz w:val="24"/>
          <w:szCs w:val="24"/>
        </w:rPr>
        <w:lastRenderedPageBreak/>
        <w:t>of office. But such acts or other acts attributable to the respondent under liability law cannot be found here.</w:t>
      </w:r>
      <w:r w:rsidRPr="00BE407E">
        <w:rPr>
          <w:rFonts w:ascii="Times New Roman" w:eastAsia="Times New Roman" w:hAnsi="Times New Roman" w:cs="Times New Roman"/>
          <w:sz w:val="24"/>
          <w:szCs w:val="24"/>
        </w:rPr>
        <w:br/>
        <w:t>101</w:t>
      </w:r>
      <w:r w:rsidRPr="00BE407E">
        <w:rPr>
          <w:rFonts w:ascii="Times New Roman" w:eastAsia="Times New Roman" w:hAnsi="Times New Roman" w:cs="Times New Roman"/>
          <w:sz w:val="24"/>
          <w:szCs w:val="24"/>
        </w:rPr>
        <w:br/>
        <w:t>It is undisputed that it was not the respondent who attacked the bridge. An attribution under liability law is not possible just because the respondent participated in the NATO air operations as such. Such a generalized liability as joint and several debtors for the case that it cannot be established which NATO participant has caused a damage may not be alien to NATO law – compare Article VIII, paragraph 5, letter e, lit. iii of the NATO status of forces agreement, not applicable here. In the context of an assessment under German law on liability for breach of official duty, however, liability can only be assumed if a concrete attribution of damages is possible.</w:t>
      </w:r>
      <w:r w:rsidRPr="00BE407E">
        <w:rPr>
          <w:rFonts w:ascii="Times New Roman" w:eastAsia="Times New Roman" w:hAnsi="Times New Roman" w:cs="Times New Roman"/>
          <w:sz w:val="24"/>
          <w:szCs w:val="24"/>
        </w:rPr>
        <w:br/>
        <w:t>102</w:t>
      </w:r>
      <w:r w:rsidRPr="00BE407E">
        <w:rPr>
          <w:rFonts w:ascii="Times New Roman" w:eastAsia="Times New Roman" w:hAnsi="Times New Roman" w:cs="Times New Roman"/>
          <w:sz w:val="24"/>
          <w:szCs w:val="24"/>
        </w:rPr>
        <w:br/>
        <w:t>In the present case, own damaging actions lacking, such an attribution would only be possible if the respondent were at least responsible according to Section 830 of the Civil Code, be it as a co-perpetrator or as an aider/assistant; for this it would, however, be additionally required that the acts of the respondent which give rise to the capacity as co-perpetrator or aider/assistant would be reproachable as a breach of official duty.</w:t>
      </w:r>
      <w:r w:rsidRPr="00BE407E">
        <w:rPr>
          <w:rFonts w:ascii="Times New Roman" w:eastAsia="Times New Roman" w:hAnsi="Times New Roman" w:cs="Times New Roman"/>
          <w:sz w:val="24"/>
          <w:szCs w:val="24"/>
        </w:rPr>
        <w:br/>
        <w:t>103</w:t>
      </w:r>
      <w:r w:rsidRPr="00BE407E">
        <w:rPr>
          <w:rFonts w:ascii="Times New Roman" w:eastAsia="Times New Roman" w:hAnsi="Times New Roman" w:cs="Times New Roman"/>
          <w:sz w:val="24"/>
          <w:szCs w:val="24"/>
        </w:rPr>
        <w:br/>
        <w:t xml:space="preserve">Liability of the respondent could be considered in view of the applicants’ allegation that the respondent had insofar participated in the air strike against the bridge as she gave reconnaissance and escort/air space protection support … </w:t>
      </w:r>
      <w:r w:rsidRPr="00BE407E">
        <w:rPr>
          <w:rFonts w:ascii="Times New Roman" w:eastAsia="Times New Roman" w:hAnsi="Times New Roman" w:cs="Times New Roman"/>
          <w:sz w:val="24"/>
          <w:szCs w:val="24"/>
        </w:rPr>
        <w:br/>
        <w:t>104</w:t>
      </w:r>
      <w:r w:rsidRPr="00BE407E">
        <w:rPr>
          <w:rFonts w:ascii="Times New Roman" w:eastAsia="Times New Roman" w:hAnsi="Times New Roman" w:cs="Times New Roman"/>
          <w:sz w:val="24"/>
          <w:szCs w:val="24"/>
        </w:rPr>
        <w:br/>
        <w:t>Further clarification of the facts is not required, since, even if during their (potential) flight over Kosovo the measures related to air space protection also concerned the planes which destroyed the bridge, a reproachable breach of an official duty cannot be found. This would have been supporting aid/assistance which would only be reproachable as culpable aid/assistance to a reproachable act – the destruction of the bridge –, for which positive knowledge of the reproachability of the supported act, or at least negligent lack of knowledge, would be necessary. Nothing has been submitted or is otherwise apparent regarding such knowledge or negligent lack of knowledge of the reproachability of the supported act.</w:t>
      </w:r>
      <w:r w:rsidRPr="00BE407E">
        <w:rPr>
          <w:rFonts w:ascii="Times New Roman" w:eastAsia="Times New Roman" w:hAnsi="Times New Roman" w:cs="Times New Roman"/>
          <w:sz w:val="24"/>
          <w:szCs w:val="24"/>
        </w:rPr>
        <w:br/>
        <w:t>105</w:t>
      </w:r>
      <w:r w:rsidRPr="00BE407E">
        <w:rPr>
          <w:rFonts w:ascii="Times New Roman" w:eastAsia="Times New Roman" w:hAnsi="Times New Roman" w:cs="Times New Roman"/>
          <w:sz w:val="24"/>
          <w:szCs w:val="24"/>
        </w:rPr>
        <w:br/>
        <w:t xml:space="preserve">The reproachability of the destruction of the bridge with the consequent victims could result from the concrete circumstances of the attack being in violation of international law or even having the character of war crimes. Whether this was the case here, as submitted by the applicants in particular with regard to Article 48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AP I – which for hostilities contain provisions on the protection of the civilian population or also individual civilian persons – need, however, not be decided. Nothing indicates that the respondent or the authorities or persons acting for her before or at the time of the attack knew about its circumstances or did not know them due to negligence; it has not even been submitted or is otherwise apparent that the respondent knew at all that the bridge of Varvarin was to be attacked that day.</w:t>
      </w:r>
      <w:r w:rsidRPr="00BE407E">
        <w:rPr>
          <w:rFonts w:ascii="Times New Roman" w:eastAsia="Times New Roman" w:hAnsi="Times New Roman" w:cs="Times New Roman"/>
          <w:sz w:val="24"/>
          <w:szCs w:val="24"/>
        </w:rPr>
        <w:br/>
        <w:t>106</w:t>
      </w:r>
      <w:r w:rsidRPr="00BE407E">
        <w:rPr>
          <w:rFonts w:ascii="Times New Roman" w:eastAsia="Times New Roman" w:hAnsi="Times New Roman" w:cs="Times New Roman"/>
          <w:sz w:val="24"/>
          <w:szCs w:val="24"/>
        </w:rPr>
        <w:br/>
        <w:t>According to the principle of “need to know” described in detail by the respondent, which applied within NATO for all actions during the air operations against the Federal Republic of Yugoslavia, each member State had only that knowledge of the individual operations which it needed to fulfil its functions … Attribution of the consequences of the attack under liability law therefore is prevented since the respondent had no knowledge of the potential reproachability of the concrete realization of the attack, or did not negligently lack knowledge of it.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107</w:t>
      </w:r>
      <w:r w:rsidRPr="00BE407E">
        <w:rPr>
          <w:rFonts w:ascii="Times New Roman" w:eastAsia="Times New Roman" w:hAnsi="Times New Roman" w:cs="Times New Roman"/>
          <w:sz w:val="24"/>
          <w:szCs w:val="24"/>
        </w:rPr>
        <w:br/>
        <w:t>Liability of the respondent could finally be considered insofar as the bridge of Varvarin as such was at all included in the target lists for the air operations. The applicants allege that in the context of the NATO bodies, the respondent participating, every single target had been determined, with each participating NATO partner having had the right to veto the determination of a particular target; in case of a veto, such a target would not have been included in the planning.</w:t>
      </w:r>
      <w:r w:rsidRPr="00BE407E">
        <w:rPr>
          <w:rFonts w:ascii="Times New Roman" w:eastAsia="Times New Roman" w:hAnsi="Times New Roman" w:cs="Times New Roman"/>
          <w:sz w:val="24"/>
          <w:szCs w:val="24"/>
        </w:rPr>
        <w:br/>
        <w:t>108</w:t>
      </w:r>
      <w:r w:rsidRPr="00BE407E">
        <w:rPr>
          <w:rFonts w:ascii="Times New Roman" w:eastAsia="Times New Roman" w:hAnsi="Times New Roman" w:cs="Times New Roman"/>
          <w:sz w:val="24"/>
          <w:szCs w:val="24"/>
        </w:rPr>
        <w:br/>
        <w:t>Even if, in favour of the applicants, one acts on the assumption of this description and presumes such a veto right of the respondent at the time, liability of the respondent is nevertheless prevented.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111</w:t>
      </w:r>
      <w:r w:rsidRPr="00BE407E">
        <w:rPr>
          <w:rFonts w:ascii="Times New Roman" w:eastAsia="Times New Roman" w:hAnsi="Times New Roman" w:cs="Times New Roman"/>
          <w:sz w:val="24"/>
          <w:szCs w:val="24"/>
        </w:rPr>
        <w:br/>
        <w:t>… it is to be noted that with regard to decisions of the kind in question here the respondent has a wide margin of evaluation and discretion, which, in principle is not justiciable, except when the decision is obviously arbitrary or obviously in violation of international law and cannot be understood under any reasonable point of view. There is no question of that here.</w:t>
      </w:r>
      <w:r w:rsidRPr="00BE407E">
        <w:rPr>
          <w:rFonts w:ascii="Times New Roman" w:eastAsia="Times New Roman" w:hAnsi="Times New Roman" w:cs="Times New Roman"/>
          <w:sz w:val="24"/>
          <w:szCs w:val="24"/>
        </w:rPr>
        <w:br/>
        <w:t>112</w:t>
      </w:r>
      <w:r w:rsidRPr="00BE407E">
        <w:rPr>
          <w:rFonts w:ascii="Times New Roman" w:eastAsia="Times New Roman" w:hAnsi="Times New Roman" w:cs="Times New Roman"/>
          <w:sz w:val="24"/>
          <w:szCs w:val="24"/>
        </w:rPr>
        <w:br/>
        <w:t>In the case of armed conflicts or wars, bridges like the one in Varvarin leading across the river Morava are from an abstract point of view first of all always potential military objectives, be it on the basis of strategic or tactical considerations. Already because of that the omission of a veto by the respondent against the inclusion in target lists cannot be seen as obviously arbitrary and untenable under any point of view …</w:t>
      </w:r>
      <w:r w:rsidRPr="00BE407E">
        <w:rPr>
          <w:rFonts w:ascii="Times New Roman" w:eastAsia="Times New Roman" w:hAnsi="Times New Roman" w:cs="Times New Roman"/>
          <w:sz w:val="24"/>
          <w:szCs w:val="24"/>
        </w:rPr>
        <w:br/>
        <w:t>113</w:t>
      </w:r>
      <w:r w:rsidRPr="00BE407E">
        <w:rPr>
          <w:rFonts w:ascii="Times New Roman" w:eastAsia="Times New Roman" w:hAnsi="Times New Roman" w:cs="Times New Roman"/>
          <w:sz w:val="24"/>
          <w:szCs w:val="24"/>
        </w:rPr>
        <w:br/>
        <w:t>The inclusion in target lists or the omission of a veto also was not obviously in violation of international law. It need not be decided … whether the actual realization of the destruction was consistent with international law; the mere inclusion in a target list certainly did not contravene international law (of war) in the obvious way required, since at least generally the bridge was to be seen as also a military objective. The concrete circumstances of a potential attack against the bridge apparently were not discussed during the selection of targets; at least the applicants did not allege that and it would also contradict the principle of “need to know”. When agreeing to the selection of targets, the respondent generally was allowed to trust, facts indicating something else lacking, that a potential attack by NATO, bound by “ius in bello”, or by the equally bound member States, would be realized in line with international law.</w:t>
      </w:r>
      <w:r w:rsidRPr="00BE407E">
        <w:rPr>
          <w:rFonts w:ascii="Times New Roman" w:eastAsia="Times New Roman" w:hAnsi="Times New Roman" w:cs="Times New Roman"/>
          <w:sz w:val="24"/>
          <w:szCs w:val="24"/>
        </w:rPr>
        <w:br/>
        <w:t>114</w:t>
      </w:r>
      <w:r w:rsidRPr="00BE407E">
        <w:rPr>
          <w:rFonts w:ascii="Times New Roman" w:eastAsia="Times New Roman" w:hAnsi="Times New Roman" w:cs="Times New Roman"/>
          <w:sz w:val="24"/>
          <w:szCs w:val="24"/>
        </w:rPr>
        <w:br/>
        <w:t xml:space="preserve">That Varvarin or its bridge was not, contrary to the view of the applicants, a “non-defended locality” within the meaning of Article 59 AP I follows simply from paragraph 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xml:space="preserve"> of that provision. It is therefore not relevant whether Article 59 AP I protects individual rights.</w:t>
      </w:r>
      <w:r>
        <w:rPr>
          <w:rFonts w:ascii="Times New Roman" w:eastAsia="Times New Roman" w:hAnsi="Times New Roman" w:cs="Times New Roman"/>
          <w:noProof/>
          <w:sz w:val="24"/>
          <w:szCs w:val="24"/>
        </w:rPr>
        <w:drawing>
          <wp:inline distT="0" distB="0" distL="0" distR="0">
            <wp:extent cx="151130" cy="142875"/>
            <wp:effectExtent l="19050" t="0" r="1270" b="0"/>
            <wp:docPr id="3046" name="Imagen 30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revision filed by the applicants against the judgement of the Seventh Civil Law Senate of the Higher Regional Court of Cologne of 28 July 2005 is dismissed.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Grounds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4</w:t>
      </w:r>
      <w:r w:rsidRPr="00BE407E">
        <w:rPr>
          <w:rFonts w:ascii="Times New Roman" w:eastAsia="Times New Roman" w:hAnsi="Times New Roman" w:cs="Times New Roman"/>
          <w:sz w:val="24"/>
          <w:szCs w:val="24"/>
        </w:rPr>
        <w:br/>
        <w:t>The revision is unfounded. The Higher Regional Court rightly denied the claims.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5</w:t>
      </w:r>
      <w:r w:rsidRPr="00BE407E">
        <w:rPr>
          <w:rFonts w:ascii="Times New Roman" w:eastAsia="Times New Roman" w:hAnsi="Times New Roman" w:cs="Times New Roman"/>
          <w:sz w:val="24"/>
          <w:szCs w:val="24"/>
        </w:rPr>
        <w:br/>
        <w:t xml:space="preserve">The Higher Regional Court (as did already the Regional Court) correctly noted that an – </w:t>
      </w:r>
      <w:r w:rsidRPr="00BE407E">
        <w:rPr>
          <w:rFonts w:ascii="Times New Roman" w:eastAsia="Times New Roman" w:hAnsi="Times New Roman" w:cs="Times New Roman"/>
          <w:sz w:val="24"/>
          <w:szCs w:val="24"/>
        </w:rPr>
        <w:lastRenderedPageBreak/>
        <w:t>assumed – international wrongful act to the detriment of the applicants or their relatives in connection with the attack against the Varvarin bridge would not lead to a direct compensation claim for material or immaterial damages of the applicants against the respondent under international law.</w:t>
      </w:r>
      <w:r w:rsidRPr="00BE407E">
        <w:rPr>
          <w:rFonts w:ascii="Times New Roman" w:eastAsia="Times New Roman" w:hAnsi="Times New Roman" w:cs="Times New Roman"/>
          <w:sz w:val="24"/>
          <w:szCs w:val="24"/>
        </w:rPr>
        <w:br/>
        <w:t>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1. a) </w:t>
      </w:r>
      <w:r w:rsidRPr="00BE407E">
        <w:rPr>
          <w:rFonts w:ascii="Times New Roman" w:eastAsia="Times New Roman" w:hAnsi="Times New Roman" w:cs="Times New Roman"/>
          <w:sz w:val="24"/>
          <w:szCs w:val="24"/>
        </w:rPr>
        <w:t>The traditional conception of international law as an inter-State law did not conceive the individual as a subject of international law, but only granted him indirect international protection. In the case of international wrongful acts by actions against foreign nationals it was not the individual concerned himself who had a claim, but his home State. By means of diplomatic protection the State asserted its own right to respect for international law in the person of its national (Federal Court of Justice, judgement of 26 June 2003, III ZR 245/98, “Distomo case”) The individual was “mediatized” via the State; i.e. all international law relations were exclusively a matter of the States, which insofar conveyed the interests also of individuals. The individual could therefore demand neither the determination of a wrong nor compensation for it …</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7</w:t>
      </w:r>
      <w:r w:rsidRPr="00BE407E">
        <w:rPr>
          <w:rFonts w:ascii="Times New Roman" w:eastAsia="Times New Roman" w:hAnsi="Times New Roman" w:cs="Times New Roman"/>
          <w:sz w:val="24"/>
          <w:szCs w:val="24"/>
        </w:rPr>
        <w:br/>
        <w:t>However, in connection with the development and codification of the international protection of human rights after World War II, the mediatization of the individual via the State in international law has undergone corrections. This development demands the recognition of the individual at least as a partial subject of international law (Federal Constitutional Court, decision of 15 February 2006, 2 BvR 1476/03, “Distomo case”, …). Since then, an ever tighter net of human rights guarantees has developed, together with the more and more universally accepted concept of human dignity and its protection as preceding the State … Human rights are therefore to be seen as genuinely benefiting the individual. Also, specific norms of the law of conflict related to the person confirm that international law can directly give rights and obligations also to individual persons … This corresponds with the circumstance that the individual person can also increasingly be called upon individually – for example by international criminal law – and has to take responsibility for his actions under international law.</w:t>
      </w:r>
      <w:r w:rsidRPr="00BE407E">
        <w:rPr>
          <w:rFonts w:ascii="Times New Roman" w:eastAsia="Times New Roman" w:hAnsi="Times New Roman" w:cs="Times New Roman"/>
          <w:sz w:val="24"/>
          <w:szCs w:val="24"/>
        </w:rPr>
        <w:br/>
        <w:t>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But this does not mean that every human rights rule protected by treaty actually also gives individual rights. Some conventions merely lay down protective obligations of the State in the area of human rights, without at the same time granting individual rights … In particular, the rule still applies according to which – independent of a primary right of the persons concerned to respect for international law – only the home State is entitled to secondary compensation claims based on international wrongful acts of a State against foreign nationals (comp. for Article 3 of the Hague Convention, Federal Constitutional Court, decision of 26 October 2004, </w:t>
      </w:r>
      <w:r w:rsidRPr="00BE407E">
        <w:rPr>
          <w:rFonts w:ascii="Times New Roman" w:eastAsia="Times New Roman" w:hAnsi="Times New Roman" w:cs="Times New Roman"/>
          <w:i/>
          <w:iCs/>
          <w:sz w:val="24"/>
          <w:szCs w:val="24"/>
        </w:rPr>
        <w:t>BVerfgE</w:t>
      </w:r>
      <w:r w:rsidRPr="00BE407E">
        <w:rPr>
          <w:rFonts w:ascii="Times New Roman" w:eastAsia="Times New Roman" w:hAnsi="Times New Roman" w:cs="Times New Roman"/>
          <w:sz w:val="24"/>
          <w:szCs w:val="24"/>
        </w:rPr>
        <w:t xml:space="preserve"> 112, 1, 32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Federal Constitutional Court, decision of 28 June 2004, 2 BvR 1379/01, “Italian military detainees”; Federal Constitutional Court, decision of 15 February 2006, 2 BvR 1476/03, “Distomo”). With respect to every international treaty benefiting individuals, it is therefore necessary to assess by means of interpretation whether and to what extent that treaty is meant to give rise to individual rights, i.e. whether it is the case of an independent benefit (a subjective right) – as the case may be also a right to compensation – or whether it is only a factual benefit, a legal reflex …</w:t>
      </w:r>
      <w:r w:rsidRPr="00BE407E">
        <w:rPr>
          <w:rFonts w:ascii="Times New Roman" w:eastAsia="Times New Roman" w:hAnsi="Times New Roman" w:cs="Times New Roman"/>
          <w:sz w:val="24"/>
          <w:szCs w:val="24"/>
        </w:rPr>
        <w:br/>
        <w:t>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According to these principles, the applicants can base claims for compensation on the international law level neither on Article 3 of the Hague Convention respecting the Laws and Customs of War on Land of 18 October 1907 (Hague Convention), nor on Article 91 of the First Additional Protocol to the Geneva Conventions of 12 August </w:t>
      </w:r>
      <w:r w:rsidRPr="00BE407E">
        <w:rPr>
          <w:rFonts w:ascii="Times New Roman" w:eastAsia="Times New Roman" w:hAnsi="Times New Roman" w:cs="Times New Roman"/>
          <w:sz w:val="24"/>
          <w:szCs w:val="24"/>
        </w:rPr>
        <w:lastRenderedPageBreak/>
        <w:t>1949 relating to the Protection of Victims of International Armed Conflicts, of 8 June 1977 (…, in the following: AP I). Further bases of claims – on the international law level – are not apparent.</w:t>
      </w:r>
      <w:r w:rsidRPr="00BE407E">
        <w:rPr>
          <w:rFonts w:ascii="Times New Roman" w:eastAsia="Times New Roman" w:hAnsi="Times New Roman" w:cs="Times New Roman"/>
          <w:sz w:val="24"/>
          <w:szCs w:val="24"/>
        </w:rPr>
        <w:br/>
        <w:t>10</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Article 3 of the Hague Convention, which originally – due to the then predominant legal view on the mediatization of the individual – without a doubt was only of an inter-State character (comp. Federal Court of Justice, judgement of 26 June 2003, III ZR 245/98, “Distomo case”), does not give rise to a direct individual compensation claim for violations of the international law of war, even if taking into account the change of view of international law regarding the rights of the individual in the meantime (Federal Constitutional Court, decision of 26 October 2004, BVerfgE 112, 1, 32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Federal Constitutional Court, decision of 15 February 2006, 2 BvR 1476/03, “Distomo case”). Indeed, the drafting history of the norm shows that it is intended to protect the individual and is therefore of a nature indirectly protecting human rights. However, it does not follow from this that the provision is the basis of a direct, originally international law compensation claim of the concerned individual vis-à-vis the State. According to the case law of the Federal Constitutional Court, it is still only the home State which is entitled to secondary compensation claims due to international wrongful acts of a State against foreign nationals, irrespective of the development on the level of human rights protection, which has led to the recognition of the individual as a partial subject of international law as well as to the establishing of individual complaint procedures under treaty law (Federal Constitutional Court, decision of 28 June 2004, 2 BvR 1379/01, “Italian military detainees”; Federal Constitutional Court, decision of 15 February 2006, 2 BvR 1476/03, “Distomo case”).</w:t>
      </w:r>
      <w:r w:rsidRPr="00BE407E">
        <w:rPr>
          <w:rFonts w:ascii="Times New Roman" w:eastAsia="Times New Roman" w:hAnsi="Times New Roman" w:cs="Times New Roman"/>
          <w:sz w:val="24"/>
          <w:szCs w:val="24"/>
        </w:rPr>
        <w:br/>
        <w:t>11</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Also in relation to Article 91 of AP I, the legal situation ultimately cannot be judged differently. It may well be that the provisions of the law of war in the Additional Protocols of 1977 for the protection of the civilian population potentially of relevance here – in particular Article 51 of AP I – give rise to subjective rights of the concerned individual (civilian) persons in the sense of a (primary) right to respect for the prohibitions of international humanitarian law (comp. for Article 3 Hague Convention, Federal Constitutional Court, decision of 28 June 2004, 2 BvR 1379/01, “Italian military detainees”; …). In any case, an individual (secondary) reparation claim in the event of the violation of these prohibitions does not follow from it, according to the wording of Article 91 of AP I, its origin and its treatment in international law practice so far.</w:t>
      </w:r>
      <w:r w:rsidRPr="00BE407E">
        <w:rPr>
          <w:rFonts w:ascii="Times New Roman" w:eastAsia="Times New Roman" w:hAnsi="Times New Roman" w:cs="Times New Roman"/>
          <w:sz w:val="24"/>
          <w:szCs w:val="24"/>
        </w:rPr>
        <w:br/>
        <w:t>12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aa) (1)</w:t>
      </w:r>
      <w:r w:rsidRPr="00BE407E">
        <w:rPr>
          <w:rFonts w:ascii="Times New Roman" w:eastAsia="Times New Roman" w:hAnsi="Times New Roman" w:cs="Times New Roman"/>
          <w:sz w:val="24"/>
          <w:szCs w:val="24"/>
        </w:rPr>
        <w:t xml:space="preserve"> According to Article 91, sentence 1 of AP I “[a] Party to the conflict which violates the provisions of the Conventions or of this Protocol shall, if the case demands, be liable to pay compensation.” “It shall be responsible for all acts committed by persons forming part of its armed forces” (sentence 2). This is almost exactly the wording of Article 3 of the Hague Convention. It is therefore the general view that Article 91 of AP I (merely) confirms the legal situation to be applied already according to Article 3 of the Hague Convention and extends it to the four Geneva (Red Cross) Conventions and the Additional Protocol, that therefore Article 91 of AP I has the same meaning as Article 3 of the Hague Convention … The travaux préparatoires of the conferences drafting the Additional Protocols also contain nothing which would indicate that the contracting parties intended to a give a meaning to Article 91 of AP I going beyond that of Article 3 of the Hague Convention … If, at the time, the contracting parties had wanted to establish individual compensation claims for the area </w:t>
      </w:r>
      <w:r w:rsidRPr="00BE407E">
        <w:rPr>
          <w:rFonts w:ascii="Times New Roman" w:eastAsia="Times New Roman" w:hAnsi="Times New Roman" w:cs="Times New Roman"/>
          <w:sz w:val="24"/>
          <w:szCs w:val="24"/>
        </w:rPr>
        <w:lastRenderedPageBreak/>
        <w:t>concerned, it would have been possible to take guidance from, for example, Article 5, paragraph 5 of the European Convention for the Protection of Human Rights and Fundamental Freedoms (European Convention), in force at the time of the negotiations on the Additional Protocols, which provides an express compensation claim of persons injured in their human rights; nothing indicates that something similar was intended with regard to the responsibility of States for violations of international humanitarian law during armed conflicts.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That with regard to the Geneva Additional Protocols, according to the principles of State responsibility, only inter-State and no direct individual reparation claims were considered is generally affirmed,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xml:space="preserve">, by the circumstance that also the UN International Law Commission’s 2001 Draft Articles on Responsibility of States for Internationally Wrongful Acts in Article 42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xml:space="preserve"> only provide for the entitlement of the injured State to invoke the responsibility of another State, and does not provide for individual claims of injured individual persons. These provisions may contain binding international law only insofar as they codify customary international law … Nevertheless, they are an indication that a conviction to the contrary has not yet formed. Claims related to torts under international law rather are still to be seen as giving rise to compensation between States … In particular also because of the speciality of international humanitarian law in relation to general human rights …, a different interpretation of Article 91 of AP I cannot be deduced just from the circumstance that there are provisions which in certain cases give persons whose human rights have been injured an individual right of complaint against the violating State (see for example Article 34 European Convention).</w:t>
      </w:r>
      <w:r w:rsidRPr="00BE407E">
        <w:rPr>
          <w:rFonts w:ascii="Times New Roman" w:eastAsia="Times New Roman" w:hAnsi="Times New Roman" w:cs="Times New Roman"/>
          <w:sz w:val="24"/>
          <w:szCs w:val="24"/>
        </w:rPr>
        <w:br/>
        <w:t>14</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bb)</w:t>
      </w:r>
      <w:r w:rsidRPr="00BE407E">
        <w:rPr>
          <w:rFonts w:ascii="Times New Roman" w:eastAsia="Times New Roman" w:hAnsi="Times New Roman" w:cs="Times New Roman"/>
          <w:sz w:val="24"/>
          <w:szCs w:val="24"/>
        </w:rPr>
        <w:t xml:space="preserve"> Also, the Commentary on the Additional Protocols to the Geneva Conventions (de Preux, in: Sandoz/Swinarski/Zimmerman, </w:t>
      </w:r>
      <w:r w:rsidRPr="00BE407E">
        <w:rPr>
          <w:rFonts w:ascii="Times New Roman" w:eastAsia="Times New Roman" w:hAnsi="Times New Roman" w:cs="Times New Roman"/>
          <w:i/>
          <w:iCs/>
          <w:sz w:val="24"/>
          <w:szCs w:val="24"/>
        </w:rPr>
        <w:t>Commentary on the Additional Protocols</w:t>
      </w:r>
      <w:r w:rsidRPr="00BE407E">
        <w:rPr>
          <w:rFonts w:ascii="Times New Roman" w:eastAsia="Times New Roman" w:hAnsi="Times New Roman" w:cs="Times New Roman"/>
          <w:sz w:val="24"/>
          <w:szCs w:val="24"/>
        </w:rPr>
        <w:t xml:space="preserve"> [1987], MN. 3657) comes with regard to Article 91 of AP I to the conclusion that, apart from special exceptional cases, [“]persons with a foreign nationality who have been wronged by the unlawful conduct of a Party to the conflict should address themselves to their own government, which will submit their complaints to the Party or Parties which committed the violation[“]. Insofar as de Preux … at the same time points to a “tendency” since 1945 to [“]recognize the exercise of rights by individuals[“], this contains – like similar references and requests in international law literature … – for the area of international humanitarian law of war not more than the expression of a future ideal, so far in any case not yet implemented in the practice of international law. In this area, the general principle of tort law that the violation of a primary duty of behaviour generally gives rise to a secondary right of the owner of the violated right …, is factually recognized only in a limited way.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xml:space="preserve"> An active legitimation of the applicants to an international law compensation claim against the respondent due to a violation of international humanitarian law of war, lacking according to all the above, here also cannot be deduced (indirectly) from Article 25, sentence 2, second clause of the Basic Law, according to which the general rules of international law directly create rights and duties for the inhabitants of the federal territory. According to that, an individual’s primary claim under international law (see b) above) may for inhabitants of the federal territory, as the case may be, become the basis also of a compensation claim against the Federal Republic as violating State… In the present case such a basis for a claim in any case does not apply for the applicants, </w:t>
      </w:r>
      <w:r w:rsidRPr="00BE407E">
        <w:rPr>
          <w:rFonts w:ascii="Times New Roman" w:eastAsia="Times New Roman" w:hAnsi="Times New Roman" w:cs="Times New Roman"/>
          <w:sz w:val="24"/>
          <w:szCs w:val="24"/>
        </w:rPr>
        <w:lastRenderedPageBreak/>
        <w:t>because Article 25, sentence 2, second clause of the Basic Law does not relate to foreigners abroad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4.</w:t>
      </w:r>
      <w:r w:rsidRPr="00BE407E">
        <w:rPr>
          <w:rFonts w:ascii="Times New Roman" w:eastAsia="Times New Roman" w:hAnsi="Times New Roman" w:cs="Times New Roman"/>
          <w:sz w:val="24"/>
          <w:szCs w:val="24"/>
        </w:rPr>
        <w:t xml:space="preserve"> Since already due to the lack of an active legitimation of the applicants there is no international law obligation of the respondent vis-à-vis the applicants for potential unlawful acts in connection with the attack against the Varvarin bridge, it also need not be asked … whether, and if so under which conditions, a (co-) responsibility of the respondent for an internationally wrongful act, independent of unlawful acts or omissions of its own public agents, is to be considered simply on the basis of the respondent’s participation in the NATO mission in the Kosovo conflict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19</w:t>
      </w:r>
      <w:r w:rsidRPr="00BE407E">
        <w:rPr>
          <w:rFonts w:ascii="Times New Roman" w:eastAsia="Times New Roman" w:hAnsi="Times New Roman" w:cs="Times New Roman"/>
          <w:sz w:val="24"/>
          <w:szCs w:val="24"/>
        </w:rPr>
        <w:br/>
        <w:t>The Higher Regional Court also rightly denied a compensation claim of the applicants based on domestic (German) law, which would not already be precluded from the point of view of exclusivity of international law (… Federal Court of Justice, judgement of 26 June 2003, III ZR 245/98, “Distomo case”).</w:t>
      </w:r>
      <w:r w:rsidRPr="00BE407E">
        <w:rPr>
          <w:rFonts w:ascii="Times New Roman" w:eastAsia="Times New Roman" w:hAnsi="Times New Roman" w:cs="Times New Roman"/>
          <w:sz w:val="24"/>
          <w:szCs w:val="24"/>
        </w:rPr>
        <w:br/>
        <w:t>20</w:t>
      </w:r>
      <w:r w:rsidRPr="00BE407E">
        <w:rPr>
          <w:rFonts w:ascii="Times New Roman" w:eastAsia="Times New Roman" w:hAnsi="Times New Roman" w:cs="Times New Roman"/>
          <w:sz w:val="24"/>
          <w:szCs w:val="24"/>
        </w:rPr>
        <w:br/>
        <w:t>Only Section 839 of the Civil Code in conjunction with Article 34 of the Basic Law can be considered as the basis of such a claim. In this respect, this Senate held that, according to the understanding of the law on breach of official duty until the end of World War II, military actions of war abroad were excluded from claims based on breach of official duty under Section 839 Civil Code in conjunction with Article 131 of the Weimar Constitution (Federal Court of Justice, judgement of 26 June 2003, III ZR 245/98, “Distomo case”). This Senate leaves undecided whether – as answered in the negative by the Higher Regional Court – this view is to be upheld also for the time after the coming into force of the Basic Law of the Federal Republic of Germany.</w:t>
      </w:r>
      <w:r w:rsidRPr="00BE407E">
        <w:rPr>
          <w:rFonts w:ascii="Times New Roman" w:eastAsia="Times New Roman" w:hAnsi="Times New Roman" w:cs="Times New Roman"/>
          <w:sz w:val="24"/>
          <w:szCs w:val="24"/>
        </w:rPr>
        <w:br/>
        <w:t>A compensation claim of the applicants against the respondent on this basis is in any case prevented by the circumstance that in connection with the attack against the Varvarin bridge during the Kosovo conflict no breaches of official duty by German soldiers or authorities in the sense of concrete (culpable) violations of the rules of international humanitarian law (of war) for the protection of the civilian population are present.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[The explanations of the Higher Regional Court] – assuming that liability of the respondent under German law on liability for breach of official duty were possible at all – hold out against legal review.</w:t>
      </w:r>
      <w:r w:rsidRPr="00BE407E">
        <w:rPr>
          <w:rFonts w:ascii="Times New Roman" w:eastAsia="Times New Roman" w:hAnsi="Times New Roman" w:cs="Times New Roman"/>
          <w:sz w:val="24"/>
          <w:szCs w:val="24"/>
        </w:rPr>
        <w:br/>
        <w:t>23</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 aa)</w:t>
      </w:r>
      <w:r w:rsidRPr="00BE407E">
        <w:rPr>
          <w:rFonts w:ascii="Times New Roman" w:eastAsia="Times New Roman" w:hAnsi="Times New Roman" w:cs="Times New Roman"/>
          <w:sz w:val="24"/>
          <w:szCs w:val="24"/>
        </w:rPr>
        <w:t xml:space="preserve"> As regards the – not existing – direct support by the respondent’s armed forces for the attack on the Varvarin bridge, the [applicants] without success criticize the explanations of the Higher Regional Court of Cologne as contradictory: It is absolutely possible … that the way the respondent’s forces shielded the air space was indeed a support to the attack on the Varvarin bridge as such, that, however, the German soldiers or authorities did not know details of the air strike as such. Contrary to the view of the application for revision, the circumstance that according to the principle “need to know”… they had no information, cannot be held against them.</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24</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bb)</w:t>
      </w:r>
      <w:r w:rsidRPr="00BE407E">
        <w:rPr>
          <w:rFonts w:ascii="Times New Roman" w:eastAsia="Times New Roman" w:hAnsi="Times New Roman" w:cs="Times New Roman"/>
          <w:sz w:val="24"/>
          <w:szCs w:val="24"/>
        </w:rPr>
        <w:t xml:space="preserve"> Also the further criticism of the application for revision that it had been overlooked </w:t>
      </w:r>
      <w:r w:rsidRPr="00BE407E">
        <w:rPr>
          <w:rFonts w:ascii="Times New Roman" w:eastAsia="Times New Roman" w:hAnsi="Times New Roman" w:cs="Times New Roman"/>
          <w:sz w:val="24"/>
          <w:szCs w:val="24"/>
        </w:rPr>
        <w:lastRenderedPageBreak/>
        <w:t>that under liability law, in cases where a damage is due to several causes generated by different persons, it is irrelevant for joint and several liability whether specific causes are more significant than others does not lead to a different assessment. Since, according to the facts to be applied for the revision, the members of the German armed forces at the respective day of deployment had no information on the details of the objectives of the planes whose air space they protected, and especially no information on the nature of the attack against the Varvarin bridge, they did not have the intent required for attributing the attack to them as co-perpetrator or aider/assistant (Section 830 of the Civil Code). Such intent would have required … that the German authorities knew – or at least approvingly accepted – that an attack against the civilian population or at least an “indiscriminate attack” (comp. Article 51, paragraph 5, letter b of AP I) would take place. No facts to this effect have been established; also the applicants have submitted nothing to this effect for evidence.</w:t>
      </w:r>
      <w:r w:rsidRPr="00BE407E">
        <w:rPr>
          <w:rFonts w:ascii="Times New Roman" w:eastAsia="Times New Roman" w:hAnsi="Times New Roman" w:cs="Times New Roman"/>
          <w:sz w:val="24"/>
          <w:szCs w:val="24"/>
        </w:rPr>
        <w:br/>
        <w:t>25</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The application for revision without success criticizes the assessment of the Higher Regional Court that the respondent’s participation – alleged by the applicants and contested by the respondent – in the inclusion of the Varvarin bridge in a NATO air operations target list also cannot be qualified as breaching official duty, since such a decision was within the limits of a wide, insofar not justiciable, margin of appreciation of the military commanding authorities, and was in particular not obviously in violation of international law and not completely untenable.</w:t>
      </w:r>
      <w:r w:rsidRPr="00BE407E">
        <w:rPr>
          <w:rFonts w:ascii="Times New Roman" w:eastAsia="Times New Roman" w:hAnsi="Times New Roman" w:cs="Times New Roman"/>
          <w:sz w:val="24"/>
          <w:szCs w:val="24"/>
        </w:rPr>
        <w:br/>
        <w:t>26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aa)</w:t>
      </w:r>
      <w:r w:rsidRPr="00BE407E">
        <w:rPr>
          <w:rFonts w:ascii="Times New Roman" w:eastAsia="Times New Roman" w:hAnsi="Times New Roman" w:cs="Times New Roman"/>
          <w:sz w:val="24"/>
          <w:szCs w:val="24"/>
        </w:rPr>
        <w:t xml:space="preserve"> … The application for revision cannot be followed insofar as it opines that such a margin of appreciation cannot exist in relation to the “rules of ius in bello strictly to be respected”. This is not a question on the abstract content of the rules, but on the assessment of the geographical and military situation in concrete application of these rules. The assessment of the Higher Regional Court of Cologne that the limits of the margin of appreciation are transgressed only in cases of complete untenability and obvious violation of international law, is not to be objected to.</w:t>
      </w:r>
      <w:r w:rsidRPr="00BE407E">
        <w:rPr>
          <w:rFonts w:ascii="Times New Roman" w:eastAsia="Times New Roman" w:hAnsi="Times New Roman" w:cs="Times New Roman"/>
          <w:sz w:val="24"/>
          <w:szCs w:val="24"/>
        </w:rPr>
        <w:br/>
        <w:t>27</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bb)</w:t>
      </w:r>
      <w:r w:rsidRPr="00BE407E">
        <w:rPr>
          <w:rFonts w:ascii="Times New Roman" w:eastAsia="Times New Roman" w:hAnsi="Times New Roman" w:cs="Times New Roman"/>
          <w:sz w:val="24"/>
          <w:szCs w:val="24"/>
        </w:rPr>
        <w:t xml:space="preserve"> There are no objections to the way the Higher Regional Court of Cologne as trier of fact has found that this threshold has not been crossed in connection with the respondent’s approval – alleged by the applicants – of the inclusion of the Varvarin bridge in the target list for the NATO operation. This finding seems reasonable already because military objectives (comp. Article 52, paragraph 2, sentence 2 of AP I) traditionally include,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infrastructure like streets, railroads, bridges and telecommunication installations. From the respondent’s perspective, “in the circumstances ruling at the time” (Article 52, paragraph 2, sentence 2, fin) – the moment of inclusion in the target list –, this could be a sufficient standard of evaluation, even if finally the decision on a military attack could have been taken only under the condition that the destruction of the bridge – at that moment in time – offered a definite military advantage. Without legal mistake, the Higher Regional Court has explained that the respondent, when agreeing to the selection of targets, was allowed to trust that a potential attack would be realized in a way respecting international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3. </w:t>
      </w:r>
      <w:r w:rsidRPr="00BE407E">
        <w:rPr>
          <w:rFonts w:ascii="Times New Roman" w:eastAsia="Times New Roman" w:hAnsi="Times New Roman" w:cs="Times New Roman"/>
          <w:sz w:val="24"/>
          <w:szCs w:val="24"/>
        </w:rPr>
        <w:t xml:space="preserve">Not correct is finally the view of the application for revision that – because the air operation was decided and executed by the NATO member States – compensation claims based on combat operations violating protective rights of the civilian population were to be asserted against any NATO member State, if the injured persons could not </w:t>
      </w:r>
      <w:r w:rsidRPr="00BE407E">
        <w:rPr>
          <w:rFonts w:ascii="Times New Roman" w:eastAsia="Times New Roman" w:hAnsi="Times New Roman" w:cs="Times New Roman"/>
          <w:sz w:val="24"/>
          <w:szCs w:val="24"/>
        </w:rPr>
        <w:lastRenderedPageBreak/>
        <w:t>find out who was the concrete violator.</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30</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a) </w:t>
      </w:r>
      <w:r w:rsidRPr="00BE407E">
        <w:rPr>
          <w:rFonts w:ascii="Times New Roman" w:eastAsia="Times New Roman" w:hAnsi="Times New Roman" w:cs="Times New Roman"/>
          <w:sz w:val="24"/>
          <w:szCs w:val="24"/>
        </w:rPr>
        <w:t xml:space="preserve">It need not be decided whether and to what extent such considerations would be relevant in the examination of international law compensation claims (between States; see above </w:t>
      </w:r>
      <w:r w:rsidRPr="00BE407E">
        <w:rPr>
          <w:rFonts w:ascii="Times New Roman" w:eastAsia="Times New Roman" w:hAnsi="Times New Roman" w:cs="Times New Roman"/>
          <w:i/>
          <w:iCs/>
          <w:sz w:val="24"/>
          <w:szCs w:val="24"/>
        </w:rPr>
        <w:t>I.4.</w:t>
      </w:r>
      <w:r w:rsidRPr="00BE407E">
        <w:rPr>
          <w:rFonts w:ascii="Times New Roman" w:eastAsia="Times New Roman" w:hAnsi="Times New Roman" w:cs="Times New Roman"/>
          <w:sz w:val="24"/>
          <w:szCs w:val="24"/>
        </w:rPr>
        <w:t>). For the compensation claims based on domestic law on liability for breach of official duty (Article 34 Basic Law in conjunction with Section 839 of the Civil Code) which alone – if at all – are under consideration here, an extension of liability under this aspect does not come into question. Already in view of the personal construction of liability for breach of official duty … the State generally is liable only to the extent the acting official himself would be liable (under Section 839 of the Civil Code) if the acceptance of liability by the State (via Article 34 of the Basic Law) did not exist. Liability for breach of official duty can therefore only be caused by culpable wrongdoing of a German official. Official acts of armed forces of other States generally cannot be attributed to the Federal Republic of Germany under the law on breach of official duty.</w:t>
      </w:r>
      <w:r>
        <w:rPr>
          <w:rFonts w:ascii="Times New Roman" w:eastAsia="Times New Roman" w:hAnsi="Times New Roman" w:cs="Times New Roman"/>
          <w:noProof/>
          <w:sz w:val="24"/>
          <w:szCs w:val="24"/>
        </w:rPr>
        <w:drawing>
          <wp:inline distT="0" distB="0" distL="0" distR="0">
            <wp:extent cx="151130" cy="142875"/>
            <wp:effectExtent l="19050" t="0" r="1270" b="0"/>
            <wp:docPr id="3047" name="Imagen 30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the </w:t>
      </w:r>
      <w:r w:rsidRPr="00BE407E">
        <w:rPr>
          <w:rFonts w:ascii="Times New Roman" w:eastAsia="Times New Roman" w:hAnsi="Times New Roman" w:cs="Times New Roman"/>
          <w:i/>
          <w:iCs/>
          <w:sz w:val="24"/>
          <w:szCs w:val="24"/>
        </w:rPr>
        <w:t>Italian Military Internees case</w:t>
      </w:r>
      <w:r w:rsidRPr="00BE407E">
        <w:rPr>
          <w:rFonts w:ascii="Times New Roman" w:eastAsia="Times New Roman" w:hAnsi="Times New Roman" w:cs="Times New Roman"/>
          <w:sz w:val="24"/>
          <w:szCs w:val="24"/>
        </w:rPr>
        <w:t xml:space="preserve"> concerning a constitutional complaint dealing with the exclusion of certain Italian nationals from the scope of application of the German Law on the Creation of a Foundation “Remembrance, Responsibility and Future” of 2 August 2000, Germany’s Federal Constitutional Court held:</w:t>
      </w:r>
      <w:r w:rsidRPr="00BE407E">
        <w:rPr>
          <w:rFonts w:ascii="Times New Roman" w:eastAsia="Times New Roman" w:hAnsi="Times New Roman" w:cs="Times New Roman"/>
          <w:sz w:val="24"/>
          <w:szCs w:val="24"/>
        </w:rPr>
        <w:br/>
        <w:t>The constitutional complaint is not accepted for decision.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Grounds: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w:t>
      </w:r>
      <w:r w:rsidRPr="00BE407E">
        <w:rPr>
          <w:rFonts w:ascii="Times New Roman" w:eastAsia="Times New Roman" w:hAnsi="Times New Roman" w:cs="Times New Roman"/>
          <w:sz w:val="24"/>
          <w:szCs w:val="24"/>
        </w:rPr>
        <w:br/>
        <w:t>The constitutional complaint concerns the constitutionality of the exclusion of so-called Italian military internees from the scope of application of the Law on the Creation of a Foundation “Remembrance, Responsibility and Future” … – Foundation Law – and the question whether the Law has violated the property right positions of the complainants Nos. 2 to 943 in an unconstitutional way.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1.</w:t>
      </w:r>
      <w:r w:rsidRPr="00BE407E">
        <w:rPr>
          <w:rFonts w:ascii="Times New Roman" w:eastAsia="Times New Roman" w:hAnsi="Times New Roman" w:cs="Times New Roman"/>
          <w:sz w:val="24"/>
          <w:szCs w:val="24"/>
        </w:rPr>
        <w:t xml:space="preserve"> Complainant No. 2 is an Italian national. In September 1943, he was arrested as an officer of the Italian army by units of the German Wehrmacht. During World War II, Italy was initially an ally of the German Reich. After Mussolini’s fall in September 1943, the new Italian government concluded an armistice with the Allies and declared war on Germany in October 1943. The German Wehrmacht offered Italian soldiers, allies of Germany until the change of fronts, the choice of either continuing the war on the side of Germany or of becoming prisoners of war. Those who, like complainant No. 2, chose detention as prisoners of war, were utilized as labourers for the German war economy.</w:t>
      </w:r>
      <w:r w:rsidRPr="00BE407E">
        <w:rPr>
          <w:rFonts w:ascii="Times New Roman" w:eastAsia="Times New Roman" w:hAnsi="Times New Roman" w:cs="Times New Roman"/>
          <w:sz w:val="24"/>
          <w:szCs w:val="24"/>
        </w:rPr>
        <w:br/>
        <w:t>3</w:t>
      </w:r>
      <w:r w:rsidRPr="00BE407E">
        <w:rPr>
          <w:rFonts w:ascii="Times New Roman" w:eastAsia="Times New Roman" w:hAnsi="Times New Roman" w:cs="Times New Roman"/>
          <w:sz w:val="24"/>
          <w:szCs w:val="24"/>
        </w:rPr>
        <w:br/>
        <w:t>In the summer of 1944, for reasons of foreign policy, the Italian soldiers interned by the German Reich, and in January 1945 also the officers, were released from detention as prisoners of war and were transferred into a “civilian work relationship”. However, the poor working conditions and the camp accommodation largely continued. The Italian military internees, including complainant No. 2, for the most part did not agree to the formal change of status.</w:t>
      </w:r>
      <w:r w:rsidRPr="00BE407E">
        <w:rPr>
          <w:rFonts w:ascii="Times New Roman" w:eastAsia="Times New Roman" w:hAnsi="Times New Roman" w:cs="Times New Roman"/>
          <w:sz w:val="24"/>
          <w:szCs w:val="24"/>
        </w:rPr>
        <w:br/>
        <w:t>4</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Complainant No. 3 is also an Italian national. In August 1944, he was arrested by soldiers of the German Wehrmacht in the course of reprisals against the Italian civil population, was utilized for forced labour and was ill-treated during it. He is conducting civil proceedings in Italy against the Federal Republic of Germany with the aim of </w:t>
      </w:r>
      <w:r w:rsidRPr="00BE407E">
        <w:rPr>
          <w:rFonts w:ascii="Times New Roman" w:eastAsia="Times New Roman" w:hAnsi="Times New Roman" w:cs="Times New Roman"/>
          <w:sz w:val="24"/>
          <w:szCs w:val="24"/>
        </w:rPr>
        <w:lastRenderedPageBreak/>
        <w:t>obtaining compensation for tangible and intangible damages for the period of internment and forced labour. The court of first instance denied its competence on account of Germany’s immunity as a State before the Italian courts. The appeal is still pending.</w:t>
      </w:r>
      <w:r w:rsidRPr="00BE407E">
        <w:rPr>
          <w:rFonts w:ascii="Times New Roman" w:eastAsia="Times New Roman" w:hAnsi="Times New Roman" w:cs="Times New Roman"/>
          <w:sz w:val="24"/>
          <w:szCs w:val="24"/>
        </w:rPr>
        <w:br/>
        <w:t>5</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3.</w:t>
      </w:r>
      <w:r w:rsidRPr="00BE407E">
        <w:rPr>
          <w:rFonts w:ascii="Times New Roman" w:eastAsia="Times New Roman" w:hAnsi="Times New Roman" w:cs="Times New Roman"/>
          <w:sz w:val="24"/>
          <w:szCs w:val="24"/>
        </w:rPr>
        <w:t xml:space="preserve"> Complainants Nos. 4 to 943 are, like complainant No. 2, Italian military internees; further information on their individual fates is not submitted.</w:t>
      </w:r>
      <w:r w:rsidRPr="00BE407E">
        <w:rPr>
          <w:rFonts w:ascii="Times New Roman" w:eastAsia="Times New Roman" w:hAnsi="Times New Roman" w:cs="Times New Roman"/>
          <w:sz w:val="24"/>
          <w:szCs w:val="24"/>
        </w:rPr>
        <w:br/>
        <w:t>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4.</w:t>
      </w:r>
      <w:r w:rsidRPr="00BE407E">
        <w:rPr>
          <w:rFonts w:ascii="Times New Roman" w:eastAsia="Times New Roman" w:hAnsi="Times New Roman" w:cs="Times New Roman"/>
          <w:sz w:val="24"/>
          <w:szCs w:val="24"/>
        </w:rPr>
        <w:t xml:space="preserve"> Complainant No. 1 is a non-commercial association, representing the interests of the Italian military internees. Complainants Nos. 2 to 943 are members of that association.</w:t>
      </w:r>
      <w:r w:rsidRPr="00BE407E">
        <w:rPr>
          <w:rFonts w:ascii="Times New Roman" w:eastAsia="Times New Roman" w:hAnsi="Times New Roman" w:cs="Times New Roman"/>
          <w:sz w:val="24"/>
          <w:szCs w:val="24"/>
        </w:rPr>
        <w:br/>
        <w:t>7</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5. a)</w:t>
      </w:r>
      <w:r w:rsidRPr="00BE407E">
        <w:rPr>
          <w:rFonts w:ascii="Times New Roman" w:eastAsia="Times New Roman" w:hAnsi="Times New Roman" w:cs="Times New Roman"/>
          <w:sz w:val="24"/>
          <w:szCs w:val="24"/>
        </w:rPr>
        <w:t xml:space="preserve"> In the years 1999 and 2000, negotiations took place between the German Federal Government and the governments of other States which had participated in World War II, concerning compensation for persons utilized for forced labour in German companies and in the public sector. Subsequently, on 2 August 2000, the German legislator adopted the Foundation Law, whereby a foundation with legal capacity was created under public law, named “Remembrance, Responsibility and Future”. The aim of the foundation is to provide, through partner organizations, financial means to grant benefits to former forced labourers and persons affected by other forms of wrong during the time of national socialism (Section 2 of the Foundation Law). The distribution of funds to the persons entitled is done exclusively by the partner organizations; the foundation itself is neither entitled nor obliged to do so (Section 10 of the Foundation Law). The International Organization for Migration (IOM) in Geneva, a legal entity under international law enjoying immunity, is the partner organization responsible for Italy.</w:t>
      </w:r>
      <w:r w:rsidRPr="00BE407E">
        <w:rPr>
          <w:rFonts w:ascii="Times New Roman" w:eastAsia="Times New Roman" w:hAnsi="Times New Roman" w:cs="Times New Roman"/>
          <w:sz w:val="24"/>
          <w:szCs w:val="24"/>
        </w:rPr>
        <w:br/>
        <w:t>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The group of forced labourers entitled to compensation and other affected persons is further specified in Section 11 paragraph 1 of the Foundation Law. Accordingly, entitled to benefits is a person who</w:t>
      </w:r>
      <w:r w:rsidRPr="00BE407E">
        <w:rPr>
          <w:rFonts w:ascii="Times New Roman" w:eastAsia="Times New Roman" w:hAnsi="Times New Roman" w:cs="Times New Roman"/>
          <w:sz w:val="24"/>
          <w:szCs w:val="24"/>
        </w:rPr>
        <w:br/>
        <w:t>9</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1. was detained in a concentration camp within the meaning of Section 42 paragraph 2 of the Federal Compensation Law [Federal Law for the Compensation of the Victims of National Socialist Persecution; </w:t>
      </w:r>
      <w:r w:rsidRPr="00BE407E">
        <w:rPr>
          <w:rFonts w:ascii="Times New Roman" w:eastAsia="Times New Roman" w:hAnsi="Times New Roman" w:cs="Times New Roman"/>
          <w:i/>
          <w:iCs/>
          <w:sz w:val="24"/>
          <w:szCs w:val="24"/>
        </w:rPr>
        <w:t xml:space="preserve">Bundesentschädigungsgesetz </w:t>
      </w:r>
      <w:r w:rsidRPr="00BE407E">
        <w:rPr>
          <w:rFonts w:ascii="Times New Roman" w:eastAsia="Times New Roman" w:hAnsi="Times New Roman" w:cs="Times New Roman"/>
          <w:sz w:val="24"/>
          <w:szCs w:val="24"/>
        </w:rPr>
        <w:t>– BEG] or in another place of detention […] under comparable conditions, and was forced to work,</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was deported from his home country into the territory of the German Reich within the borders of 1937 or into a territory occupied by the German Reich, was forced to work in an industrial enterprise or in the public sector, and was detained under conditions other than those stated in number 1, or was subject to conditions similar to detention or to comparable, particularly poor living conditions.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11</w:t>
      </w:r>
      <w:r w:rsidRPr="00BE407E">
        <w:rPr>
          <w:rFonts w:ascii="Times New Roman" w:eastAsia="Times New Roman" w:hAnsi="Times New Roman" w:cs="Times New Roman"/>
          <w:sz w:val="24"/>
          <w:szCs w:val="24"/>
        </w:rPr>
        <w:br/>
        <w:t>According to Section 11, paragraph 3 of the Foundation Law, detention as a prisoner of war does not establish entitlement to benefits; the explanatory memorandum to the Foundation Law … states in this regard:</w:t>
      </w:r>
      <w:r w:rsidRPr="00BE407E">
        <w:rPr>
          <w:rFonts w:ascii="Times New Roman" w:eastAsia="Times New Roman" w:hAnsi="Times New Roman" w:cs="Times New Roman"/>
          <w:sz w:val="24"/>
          <w:szCs w:val="24"/>
        </w:rPr>
        <w:br/>
        <w:t>12</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Prisoners of war utilized for labour generally cannot obtain any benefit therefor, since, according to the rules of international law, prisoners of war can be utilized for labour by the detaining power. Persons released from detention as prisoners of war and transferred to civilian worker status can belong to the group of entitled persons under paragraph 1 if, for the rest, they fulfil the requirements.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13</w:t>
      </w:r>
      <w:r w:rsidRPr="00BE407E">
        <w:rPr>
          <w:rFonts w:ascii="Times New Roman" w:eastAsia="Times New Roman" w:hAnsi="Times New Roman" w:cs="Times New Roman"/>
          <w:sz w:val="24"/>
          <w:szCs w:val="24"/>
        </w:rPr>
        <w:br/>
        <w:t>According to Section 12, paragraph 1 of the Foundation Law, other places of detention within the meaning of Section 11, paragraph 1, no. 1 are characterized by “inhumane conditions of detention, inadequate supplies and absence of medical care”. Depending on the degree to which a person was affected, payments of up to DM 15,000 are made (Section 9 of the Foundation Law).</w:t>
      </w:r>
      <w:r w:rsidRPr="00BE407E">
        <w:rPr>
          <w:rFonts w:ascii="Times New Roman" w:eastAsia="Times New Roman" w:hAnsi="Times New Roman" w:cs="Times New Roman"/>
          <w:sz w:val="24"/>
          <w:szCs w:val="24"/>
        </w:rPr>
        <w:br/>
        <w:t>14</w:t>
      </w:r>
      <w:r w:rsidRPr="00BE407E">
        <w:rPr>
          <w:rFonts w:ascii="Times New Roman" w:eastAsia="Times New Roman" w:hAnsi="Times New Roman" w:cs="Times New Roman"/>
          <w:sz w:val="24"/>
          <w:szCs w:val="24"/>
        </w:rPr>
        <w:br/>
        <w:t>Finally, Section 16 of the Foundation Law provides for an exclusion of claims:</w:t>
      </w:r>
      <w:r w:rsidRPr="00BE407E">
        <w:rPr>
          <w:rFonts w:ascii="Times New Roman" w:eastAsia="Times New Roman" w:hAnsi="Times New Roman" w:cs="Times New Roman"/>
          <w:sz w:val="24"/>
          <w:szCs w:val="24"/>
        </w:rPr>
        <w:br/>
        <w:t>15</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(1)</w:t>
      </w:r>
      <w:r w:rsidRPr="00BE407E">
        <w:rPr>
          <w:rFonts w:ascii="Times New Roman" w:eastAsia="Times New Roman" w:hAnsi="Times New Roman" w:cs="Times New Roman"/>
          <w:sz w:val="24"/>
          <w:szCs w:val="24"/>
        </w:rPr>
        <w:t xml:space="preserve"> Benefits from public funds including social security and from German companies for a national socialist wrong suffered within the meaning of Section 11 can be claimed only under this Law.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16</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Every entitled person will declare in the course of the application procedure that on receiving a benefit under this Law he […] renounces making any further claims against the public authorities related to forced labour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17</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6.</w:t>
      </w:r>
      <w:r w:rsidRPr="00BE407E">
        <w:rPr>
          <w:rFonts w:ascii="Times New Roman" w:eastAsia="Times New Roman" w:hAnsi="Times New Roman" w:cs="Times New Roman"/>
          <w:sz w:val="24"/>
          <w:szCs w:val="24"/>
        </w:rPr>
        <w:t xml:space="preserve"> In August 2001, the Foundation Board adopted a “Guideline on the entitlement to benefits and on the exclusion from benefits of former prisoners of war under the Foundation Law”, coordinated with the Federal Ministry of Finance. It states with regard to Section 11, paragraph 3 of the Foundation Law that</w:t>
      </w:r>
      <w:r w:rsidRPr="00BE407E">
        <w:rPr>
          <w:rFonts w:ascii="Times New Roman" w:eastAsia="Times New Roman" w:hAnsi="Times New Roman" w:cs="Times New Roman"/>
          <w:sz w:val="24"/>
          <w:szCs w:val="24"/>
        </w:rPr>
        <w:br/>
        <w:t>18</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prisoner of war utilized for civilian forced labour is not entitled to benefits if throughout the period of labour he retained the status of prisoner of war. Under the international law of war, the utilization of the labour of prisoners of war is permissible. If therefore the prisoner of war is only de facto used as a civilian worker, but has not been transferred to civilian status by a formal act, there is no entitlement to benefits. […] The Federal Government has commissioned an expert opinion examining whether Italian military internees, utilized for forced labour, were transferred into civilian status in the legal sense. The expert opinion answered this in the negative. The Federal Government has adopted the view of the expert opinion. For the Federal Government, according to the criteria of the Foundation Law, Italian military internees are therefore not entitled to benefits. However, prisoner of war status cannot be held against prisoners of war who were transported to a concentration camp, since in that case specific discrimination and ill-treatment motivated by NS [national socialist] ideology was decisive, and detention in a concentration camp cannot be regarded as a general fate during war.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expert opinion mentioned is decisively based on the consideration that the status as prisoner of war, giving special protection under international law, cannot be withdrawn unilaterally by the obligated State.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7.</w:t>
      </w:r>
      <w:r w:rsidRPr="00BE407E">
        <w:rPr>
          <w:rFonts w:ascii="Times New Roman" w:eastAsia="Times New Roman" w:hAnsi="Times New Roman" w:cs="Times New Roman"/>
          <w:sz w:val="24"/>
          <w:szCs w:val="24"/>
        </w:rPr>
        <w:t xml:space="preserve"> Neither complainant No. 2 nor complainant No. 3 have applied to the IOM for benefits under the Foundation Law. Complainant No. 3 was, according to his own statements, not in a recognized place of detention within the meaning of Sections 11, paragraph 1, no. 1, 12, paragraph 1 of the Foundation Law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23</w:t>
      </w:r>
      <w:r w:rsidRPr="00BE407E">
        <w:rPr>
          <w:rFonts w:ascii="Times New Roman" w:eastAsia="Times New Roman" w:hAnsi="Times New Roman" w:cs="Times New Roman"/>
          <w:sz w:val="24"/>
          <w:szCs w:val="24"/>
        </w:rPr>
        <w:br/>
        <w:t xml:space="preserve">With the constitutional complaint … directly against Section 10, paragraph 1, Section 11, paragraph 3 and Section 16, paragraphs 1 and 2 of the Foundation Law, violations </w:t>
      </w:r>
      <w:r w:rsidRPr="00BE407E">
        <w:rPr>
          <w:rFonts w:ascii="Times New Roman" w:eastAsia="Times New Roman" w:hAnsi="Times New Roman" w:cs="Times New Roman"/>
          <w:sz w:val="24"/>
          <w:szCs w:val="24"/>
        </w:rPr>
        <w:lastRenderedPageBreak/>
        <w:t>of Article 14 paragraphs 1 and 3, sentence 4 [protection of property], Article 19, paragraph 1, sentence 2, and paragraph 4, Article 104, paragraph 1, and Article 3, paragraph 1 [non-discrimination] of the German Basic Law are alleged.</w:t>
      </w:r>
      <w:r w:rsidRPr="00BE407E">
        <w:rPr>
          <w:rFonts w:ascii="Times New Roman" w:eastAsia="Times New Roman" w:hAnsi="Times New Roman" w:cs="Times New Roman"/>
          <w:sz w:val="24"/>
          <w:szCs w:val="24"/>
        </w:rPr>
        <w:br/>
        <w:t>24</w:t>
      </w:r>
      <w:r w:rsidRPr="00BE407E">
        <w:rPr>
          <w:rFonts w:ascii="Times New Roman" w:eastAsia="Times New Roman" w:hAnsi="Times New Roman" w:cs="Times New Roman"/>
          <w:sz w:val="24"/>
          <w:szCs w:val="24"/>
        </w:rPr>
        <w:br/>
        <w:t>1. Complainants Nos. 2 and 3 allege to have a claim for compensation against the Federal Republic of Germany because of forced labour and treatment suffered during it. This claim allegedly stems from, on the one hand, Section 839 of the German Civil Code in conjunction with Articles 2 and 3 of the [Geneva] Convention relative to the Treatment of Prisoners of War of 27 July 1929 …, and, on the other hand, directly from Article 3 of the Hague Convention respecting the Laws and Customs of War on Land of 18 October 1907 …</w:t>
      </w:r>
      <w:r w:rsidRPr="00BE407E">
        <w:rPr>
          <w:rFonts w:ascii="Times New Roman" w:eastAsia="Times New Roman" w:hAnsi="Times New Roman" w:cs="Times New Roman"/>
          <w:sz w:val="24"/>
          <w:szCs w:val="24"/>
        </w:rPr>
        <w:br/>
        <w:t>25</w:t>
      </w:r>
      <w:r w:rsidRPr="00BE407E">
        <w:rPr>
          <w:rFonts w:ascii="Times New Roman" w:eastAsia="Times New Roman" w:hAnsi="Times New Roman" w:cs="Times New Roman"/>
          <w:sz w:val="24"/>
          <w:szCs w:val="24"/>
        </w:rPr>
        <w:br/>
        <w:t>It is alleged that Section 16, paragraph 1 of the Foundation Law removes that claim in defiance of Article 14, paragraphs 1 and 3, sentence 4 of the Basic Law [protection of property]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4. </w:t>
      </w:r>
      <w:r w:rsidRPr="00BE407E">
        <w:rPr>
          <w:rFonts w:ascii="Times New Roman" w:eastAsia="Times New Roman" w:hAnsi="Times New Roman" w:cs="Times New Roman"/>
          <w:sz w:val="24"/>
          <w:szCs w:val="24"/>
        </w:rPr>
        <w:t>Finally, Section 11, paragraph 3 of the Foundation Law allegedly violates Article 3, paragraph 1 of the Basic Law [non-discrimination] by generally excluding prisoners of war from the group of persons entitled to benefits: the complainants had also suffered wrongs due to forced labour under unworthy conditions.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III.</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29</w:t>
      </w:r>
      <w:r w:rsidRPr="00BE407E">
        <w:rPr>
          <w:rFonts w:ascii="Times New Roman" w:eastAsia="Times New Roman" w:hAnsi="Times New Roman" w:cs="Times New Roman"/>
          <w:sz w:val="24"/>
          <w:szCs w:val="24"/>
        </w:rPr>
        <w:br/>
        <w:t>The constitutional complaint is not accepted for decision because the requirements for accepting a complaint of Section 93 a, paragraph 2 of the Law on the Federal Constitutional Court are not fulfilled. To the extent that the constitutional complaint is admissible, it is unfounded. Under constitutional law, there are no objections against the norms challenged.</w:t>
      </w:r>
      <w:r w:rsidRPr="00BE407E">
        <w:rPr>
          <w:rFonts w:ascii="Times New Roman" w:eastAsia="Times New Roman" w:hAnsi="Times New Roman" w:cs="Times New Roman"/>
          <w:sz w:val="24"/>
          <w:szCs w:val="24"/>
        </w:rPr>
        <w:br/>
        <w:t>30</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1. a)</w:t>
      </w:r>
      <w:r w:rsidRPr="00BE407E">
        <w:rPr>
          <w:rFonts w:ascii="Times New Roman" w:eastAsia="Times New Roman" w:hAnsi="Times New Roman" w:cs="Times New Roman"/>
          <w:sz w:val="24"/>
          <w:szCs w:val="24"/>
        </w:rPr>
        <w:t xml:space="preserve"> The constitutional complaint of complainants Nos. 4 to 943 is inadmissible due to missed time limits …</w:t>
      </w:r>
      <w:r w:rsidRPr="00BE407E">
        <w:rPr>
          <w:rFonts w:ascii="Times New Roman" w:eastAsia="Times New Roman" w:hAnsi="Times New Roman" w:cs="Times New Roman"/>
          <w:sz w:val="24"/>
          <w:szCs w:val="24"/>
        </w:rPr>
        <w:br/>
        <w:t>31</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xml:space="preserve"> The constitutional complaint of complainant No. 1 is inadmissible because it does not allege a violation of own constitutional rights …</w:t>
      </w:r>
      <w:r w:rsidRPr="00BE407E">
        <w:rPr>
          <w:rFonts w:ascii="Times New Roman" w:eastAsia="Times New Roman" w:hAnsi="Times New Roman" w:cs="Times New Roman"/>
          <w:sz w:val="24"/>
          <w:szCs w:val="24"/>
        </w:rPr>
        <w:br/>
        <w:t>32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xml:space="preserve"> The constitutional complaint of complainants Nos. 2 and 3 is partially admissible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37</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The constitutional complaint is unfounded.</w:t>
      </w:r>
      <w:r w:rsidRPr="00BE407E">
        <w:rPr>
          <w:rFonts w:ascii="Times New Roman" w:eastAsia="Times New Roman" w:hAnsi="Times New Roman" w:cs="Times New Roman"/>
          <w:sz w:val="24"/>
          <w:szCs w:val="24"/>
        </w:rPr>
        <w:br/>
        <w:t>38</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xml:space="preserve"> Article 3 of the 1907 Hague Convention, as a principle, does not establish an individual compensation claim, but only codifies the general basic rule of international law (comp. Article 1 of the 2001 ILC Draft Articles on Responsibility of States for Internationally Wrongful Acts) regarding the liability to pay compensation between States party. This secondary claim for compensation, however, exists only in the international law relation between the States concerned. Insofar, it differs from the concerned individuals’ primary right to respect for the prohibitions of international humanitarian law, which exists in the international law relation between an occupying State and the population living in the territory occupied.</w:t>
      </w:r>
      <w:r w:rsidRPr="00BE407E">
        <w:rPr>
          <w:rFonts w:ascii="Times New Roman" w:eastAsia="Times New Roman" w:hAnsi="Times New Roman" w:cs="Times New Roman"/>
          <w:sz w:val="24"/>
          <w:szCs w:val="24"/>
        </w:rPr>
        <w:br/>
        <w:t>39</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lastRenderedPageBreak/>
        <w:t>b)</w:t>
      </w:r>
      <w:r w:rsidRPr="00BE407E">
        <w:rPr>
          <w:rFonts w:ascii="Times New Roman" w:eastAsia="Times New Roman" w:hAnsi="Times New Roman" w:cs="Times New Roman"/>
          <w:sz w:val="24"/>
          <w:szCs w:val="24"/>
        </w:rPr>
        <w:t xml:space="preserve"> The basic principle of diplomatic protection does not categorically preclude a violating State’s domestic law from granting an individual claim to an individual injured, in addition to the international law claims of the individual’s home State … That this is not precluded, however, does not allow the inference of a rule or assumption according to which a State violating international law must grant claims to injured persons on the basis of its domestic law. It is rather the concrete content of the domestic legal order which is decisive. If, according to that, no compensation claim exists (comp. Federal Court of Justice, Judgement of 26 June 2003, III ZR 245/98, “Distomo case”), a violation of the property protection of Article 14 of the Basic Law does not come into question. </w:t>
      </w:r>
      <w:r w:rsidRPr="00BE407E">
        <w:rPr>
          <w:rFonts w:ascii="Times New Roman" w:eastAsia="Times New Roman" w:hAnsi="Times New Roman" w:cs="Times New Roman"/>
          <w:sz w:val="24"/>
          <w:szCs w:val="24"/>
        </w:rPr>
        <w:br/>
        <w:t>40</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xml:space="preserve"> The provision in Section 11, paragraph 3 of the Foundation Law, according to which detention as prisoner of war in and of itself does not entitle to benefits, does not raise substantial concerns with a view to Article 3 of the Basic Law [non-discrimination].</w:t>
      </w:r>
      <w:r w:rsidRPr="00BE407E">
        <w:rPr>
          <w:rFonts w:ascii="Times New Roman" w:eastAsia="Times New Roman" w:hAnsi="Times New Roman" w:cs="Times New Roman"/>
          <w:sz w:val="24"/>
          <w:szCs w:val="24"/>
        </w:rPr>
        <w:br/>
        <w:t>41</w:t>
      </w:r>
      <w:r w:rsidRPr="00BE407E">
        <w:rPr>
          <w:rFonts w:ascii="Times New Roman" w:eastAsia="Times New Roman" w:hAnsi="Times New Roman" w:cs="Times New Roman"/>
          <w:sz w:val="24"/>
          <w:szCs w:val="24"/>
        </w:rPr>
        <w:br/>
        <w:t xml:space="preserve">Articles 4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of the Regulations concerning the Laws and Customs of War on Land annexed to the 1907 Hague Convention establish a special protection for prisoners of war. According to Article 6 of the Hague Regulations, they can, within exactly defined limits, also be utilized for forced labour. Article 3 of the 1907 Hague Convention sets up a special international law regime of liability for violations of the international humanitarian law of war. This system of rules of international law is a factor of such kind and weight … that it can justify the exclusion [of prisoners of war] under Section 11, paragraph 3 of the Foundation Law.</w:t>
      </w:r>
      <w:r w:rsidRPr="00BE407E">
        <w:rPr>
          <w:rFonts w:ascii="Times New Roman" w:eastAsia="Times New Roman" w:hAnsi="Times New Roman" w:cs="Times New Roman"/>
          <w:sz w:val="24"/>
          <w:szCs w:val="24"/>
        </w:rPr>
        <w:br/>
        <w:t>With regard to Article 3, paragraph 1 of the Basic Law, the legislator is also not prevented from distinguishing between a general fate during law, albeit hard and involving violations of international law, and victims of particularly ideologically motivated measures of persecution by the wrongful national socialist regime; in view of certainly substantial but nevertheless limited funds of the Foundation, the legislator is also not prevented from including only the latter in the group of persons entitled to benefits under the Foundation Law.</w:t>
      </w:r>
      <w:r>
        <w:rPr>
          <w:rFonts w:ascii="Times New Roman" w:eastAsia="Times New Roman" w:hAnsi="Times New Roman" w:cs="Times New Roman"/>
          <w:noProof/>
          <w:sz w:val="24"/>
          <w:szCs w:val="24"/>
        </w:rPr>
        <w:drawing>
          <wp:inline distT="0" distB="0" distL="0" distR="0">
            <wp:extent cx="151130" cy="142875"/>
            <wp:effectExtent l="19050" t="0" r="1270" b="0"/>
            <wp:docPr id="3048" name="Imagen 30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the </w:t>
      </w:r>
      <w:r w:rsidRPr="00BE407E">
        <w:rPr>
          <w:rFonts w:ascii="Times New Roman" w:eastAsia="Times New Roman" w:hAnsi="Times New Roman" w:cs="Times New Roman"/>
          <w:i/>
          <w:iCs/>
          <w:sz w:val="24"/>
          <w:szCs w:val="24"/>
        </w:rPr>
        <w:t>East German Expropriation case</w:t>
      </w:r>
      <w:r w:rsidRPr="00BE407E">
        <w:rPr>
          <w:rFonts w:ascii="Times New Roman" w:eastAsia="Times New Roman" w:hAnsi="Times New Roman" w:cs="Times New Roman"/>
          <w:sz w:val="24"/>
          <w:szCs w:val="24"/>
        </w:rPr>
        <w:t>, Germany’s Federal Constitutional Court held:</w:t>
      </w:r>
      <w:r w:rsidRPr="00BE407E">
        <w:rPr>
          <w:rFonts w:ascii="Times New Roman" w:eastAsia="Times New Roman" w:hAnsi="Times New Roman" w:cs="Times New Roman"/>
          <w:sz w:val="24"/>
          <w:szCs w:val="24"/>
        </w:rPr>
        <w:br/>
        <w:t>100</w:t>
      </w:r>
      <w:r w:rsidRPr="00BE407E">
        <w:rPr>
          <w:rFonts w:ascii="Times New Roman" w:eastAsia="Times New Roman" w:hAnsi="Times New Roman" w:cs="Times New Roman"/>
          <w:sz w:val="24"/>
          <w:szCs w:val="24"/>
        </w:rPr>
        <w:br/>
        <w:t xml:space="preserve">(a) The expropriations on the territory of the Soviet occupation zone of Germany in the years 1945 to 1949, irrespective of whether they were occasioned directly by the Soviet occupying power or whether the German authorities installed by this occupying power had their own scope for decision in this respect, cannot be attributed to the sphere of responsibility of the state power of the Federal Republic of Germany, bound by the Basic Law (see </w:t>
      </w:r>
      <w:r w:rsidRPr="00BE407E">
        <w:rPr>
          <w:rFonts w:ascii="Times New Roman" w:eastAsia="Times New Roman" w:hAnsi="Times New Roman" w:cs="Times New Roman"/>
          <w:i/>
          <w:iCs/>
          <w:sz w:val="24"/>
          <w:szCs w:val="24"/>
        </w:rPr>
        <w:t>BVerfGE</w:t>
      </w:r>
      <w:r w:rsidRPr="00BE407E">
        <w:rPr>
          <w:rFonts w:ascii="Times New Roman" w:eastAsia="Times New Roman" w:hAnsi="Times New Roman" w:cs="Times New Roman"/>
          <w:sz w:val="24"/>
          <w:szCs w:val="24"/>
        </w:rPr>
        <w:t xml:space="preserve"> 84, 90 (122–123)). …</w:t>
      </w:r>
      <w:r w:rsidRPr="00BE407E">
        <w:rPr>
          <w:rFonts w:ascii="Times New Roman" w:eastAsia="Times New Roman" w:hAnsi="Times New Roman" w:cs="Times New Roman"/>
          <w:sz w:val="24"/>
          <w:szCs w:val="24"/>
        </w:rPr>
        <w:br/>
        <w:t>101</w:t>
      </w:r>
      <w:r w:rsidRPr="00BE407E">
        <w:rPr>
          <w:rFonts w:ascii="Times New Roman" w:eastAsia="Times New Roman" w:hAnsi="Times New Roman" w:cs="Times New Roman"/>
          <w:sz w:val="24"/>
          <w:szCs w:val="24"/>
        </w:rPr>
        <w:br/>
        <w:t>Instead, the Soviet occupying power, which carried out the expropriations on the basis of sovereign acts or was responsible for them by reason of the factual circumstances of control, claimed special authorisation, in order to restructure the property system in its occupation zone as planned.</w:t>
      </w:r>
      <w:r w:rsidRPr="00BE407E">
        <w:rPr>
          <w:rFonts w:ascii="Times New Roman" w:eastAsia="Times New Roman" w:hAnsi="Times New Roman" w:cs="Times New Roman"/>
          <w:sz w:val="24"/>
          <w:szCs w:val="24"/>
        </w:rPr>
        <w:br/>
        <w:t>102</w:t>
      </w:r>
      <w:r w:rsidRPr="00BE407E">
        <w:rPr>
          <w:rFonts w:ascii="Times New Roman" w:eastAsia="Times New Roman" w:hAnsi="Times New Roman" w:cs="Times New Roman"/>
          <w:sz w:val="24"/>
          <w:szCs w:val="24"/>
        </w:rPr>
        <w:br/>
        <w:t xml:space="preserve">There is more than one reason to suggest that the competence to structure the occupation regime is restricted by the minimum requirements of humanity laid down in the Hague Land Warfare Convention (on the application of the Land Warfare Convention as customary public international law as early as in the course of the Second World War, see International Military Court (Internationaler </w:t>
      </w:r>
      <w:r w:rsidRPr="00BE407E">
        <w:rPr>
          <w:rFonts w:ascii="Times New Roman" w:eastAsia="Times New Roman" w:hAnsi="Times New Roman" w:cs="Times New Roman"/>
          <w:sz w:val="24"/>
          <w:szCs w:val="24"/>
        </w:rPr>
        <w:lastRenderedPageBreak/>
        <w:t xml:space="preserve">Militärgerichtshof), </w:t>
      </w:r>
      <w:r w:rsidRPr="00BE407E">
        <w:rPr>
          <w:rFonts w:ascii="Times New Roman" w:eastAsia="Times New Roman" w:hAnsi="Times New Roman" w:cs="Times New Roman"/>
          <w:i/>
          <w:iCs/>
          <w:sz w:val="24"/>
          <w:szCs w:val="24"/>
        </w:rPr>
        <w:t>Prozess gegen die Hauptkriegsverbrecher, 14. November 1945 bis 1. October 1946</w:t>
      </w:r>
      <w:r w:rsidRPr="00BE407E">
        <w:rPr>
          <w:rFonts w:ascii="Times New Roman" w:eastAsia="Times New Roman" w:hAnsi="Times New Roman" w:cs="Times New Roman"/>
          <w:sz w:val="24"/>
          <w:szCs w:val="24"/>
        </w:rPr>
        <w:t xml:space="preserve">, judgment, pp. 260 ff., 267 ff.; Greenwood, in: Fleck (ed.), </w:t>
      </w:r>
      <w:r w:rsidRPr="00BE407E">
        <w:rPr>
          <w:rFonts w:ascii="Times New Roman" w:eastAsia="Times New Roman" w:hAnsi="Times New Roman" w:cs="Times New Roman"/>
          <w:i/>
          <w:iCs/>
          <w:sz w:val="24"/>
          <w:szCs w:val="24"/>
        </w:rPr>
        <w:t>Handbuch des humanitären Völkerrechts</w:t>
      </w:r>
      <w:r w:rsidRPr="00BE407E">
        <w:rPr>
          <w:rFonts w:ascii="Times New Roman" w:eastAsia="Times New Roman" w:hAnsi="Times New Roman" w:cs="Times New Roman"/>
          <w:sz w:val="24"/>
          <w:szCs w:val="24"/>
        </w:rPr>
        <w:t xml:space="preserve">, 1994, no. 120). Under Articles 42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xml:space="preserve">. of the Land Warfare Convention, armed occupation creates a legal relationship between the occupying and the occupied state. The occupier has particular rights and duties in the occupied territory. It is true that the victorious powers, in the legal foundation documents for the exercise of government power with regard to Germany, agreed that it should be possible for the victorious power in question to intervene significantly in the political and economic life of Germany. They regarded it as their duty “to fundamentally restructure the political system, the basis of the constitution, indeed, the education system and the whole economic and social structure of Germany” (see Part III.a § 3, 7, 9 and 11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of the Potsdam Agreement …)</w:t>
      </w:r>
      <w:r w:rsidRPr="00BE407E">
        <w:rPr>
          <w:rFonts w:ascii="Times New Roman" w:eastAsia="Times New Roman" w:hAnsi="Times New Roman" w:cs="Times New Roman"/>
          <w:sz w:val="24"/>
          <w:szCs w:val="24"/>
        </w:rPr>
        <w:br/>
        <w:t>103</w:t>
      </w:r>
      <w:r w:rsidRPr="00BE407E">
        <w:rPr>
          <w:rFonts w:ascii="Times New Roman" w:eastAsia="Times New Roman" w:hAnsi="Times New Roman" w:cs="Times New Roman"/>
          <w:sz w:val="24"/>
          <w:szCs w:val="24"/>
        </w:rPr>
        <w:br/>
        <w:t>However, the humanitarian core of the Land Warfare Convention, which consists of the principles of humanity in the meaning of the Martens clause of the Preamble to the Hague Land Warfare Convention … was binding even at the time of the occupation. The Martens clause was confirmed as follows in Article 1.2 of Protocol I Additional to the Geneva Conventions:</w:t>
      </w:r>
      <w:r w:rsidRPr="00BE407E">
        <w:rPr>
          <w:rFonts w:ascii="Times New Roman" w:eastAsia="Times New Roman" w:hAnsi="Times New Roman" w:cs="Times New Roman"/>
          <w:sz w:val="24"/>
          <w:szCs w:val="24"/>
        </w:rPr>
        <w:br/>
        <w:t>104</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cases not covered by this Protocol or by other international agreements, civilians and combatants remain under the protection and authority of the principles of international law derived from established custom, from the principles of humanity and from the dictates of public conscience.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105</w:t>
      </w:r>
      <w:r w:rsidRPr="00BE407E">
        <w:rPr>
          <w:rFonts w:ascii="Times New Roman" w:eastAsia="Times New Roman" w:hAnsi="Times New Roman" w:cs="Times New Roman"/>
          <w:sz w:val="24"/>
          <w:szCs w:val="24"/>
        </w:rPr>
        <w:br/>
        <w:t>It cannot be excluded that – as the complainants believe – acts of the Soviet occupying power were inconsistent with elementary principles of law, because, without differentiation as to individual responsibility, they were directed against a group of persons called the “class enemy” and aimed at its economical or even physical destruction.</w:t>
      </w:r>
      <w:r w:rsidRPr="00BE407E">
        <w:rPr>
          <w:rFonts w:ascii="Times New Roman" w:eastAsia="Times New Roman" w:hAnsi="Times New Roman" w:cs="Times New Roman"/>
          <w:sz w:val="24"/>
          <w:szCs w:val="24"/>
        </w:rPr>
        <w:br/>
        <w:t>106</w:t>
      </w:r>
      <w:r w:rsidRPr="00BE407E">
        <w:rPr>
          <w:rFonts w:ascii="Times New Roman" w:eastAsia="Times New Roman" w:hAnsi="Times New Roman" w:cs="Times New Roman"/>
          <w:sz w:val="24"/>
          <w:szCs w:val="24"/>
        </w:rPr>
        <w:br/>
        <w:t>However, it is not necessary to decide here the precise position of the boundaries of competence to structure the occupation regime and whether in this specific case they were exceeded.</w:t>
      </w:r>
      <w:r w:rsidRPr="00BE407E">
        <w:rPr>
          <w:rFonts w:ascii="Times New Roman" w:eastAsia="Times New Roman" w:hAnsi="Times New Roman" w:cs="Times New Roman"/>
          <w:sz w:val="24"/>
          <w:szCs w:val="24"/>
        </w:rPr>
        <w:br/>
        <w:t>107</w:t>
      </w:r>
      <w:r w:rsidRPr="00BE407E">
        <w:rPr>
          <w:rFonts w:ascii="Times New Roman" w:eastAsia="Times New Roman" w:hAnsi="Times New Roman" w:cs="Times New Roman"/>
          <w:sz w:val="24"/>
          <w:szCs w:val="24"/>
        </w:rPr>
        <w:br/>
        <w:t>b) On German unification, the Federal Republic of Germany attained the sovereign competence to decide on the continuation of the measures on the basis of sovereign acts by occupying powers (aa). Public international law did not impose on the Federal Republic of Germany a duty to make restitution (bb). The Federal Republic of Germany was subject only to a duty of cooperation with regard to the consequences, in order to achieve a situation closer to public international law (cc).</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110</w:t>
      </w:r>
      <w:r w:rsidRPr="00BE407E">
        <w:rPr>
          <w:rFonts w:ascii="Times New Roman" w:eastAsia="Times New Roman" w:hAnsi="Times New Roman" w:cs="Times New Roman"/>
          <w:sz w:val="24"/>
          <w:szCs w:val="24"/>
        </w:rPr>
        <w:br/>
        <w:t>bb) The Federal Republic of Germany is subject to no duty derived from public international law to make restitution to the persons affected by the expropriations. In connection with the Two-Plus-Four Talks, it impliedly and admissibly waived the right to any claims it had to damages under public international law (1). There are no rules of mandatory public international law preventing this (2).</w:t>
      </w:r>
      <w:r w:rsidRPr="00BE407E">
        <w:rPr>
          <w:rFonts w:ascii="Times New Roman" w:eastAsia="Times New Roman" w:hAnsi="Times New Roman" w:cs="Times New Roman"/>
          <w:sz w:val="24"/>
          <w:szCs w:val="24"/>
        </w:rPr>
        <w:br/>
        <w:t>111</w:t>
      </w:r>
      <w:r w:rsidRPr="00BE407E">
        <w:rPr>
          <w:rFonts w:ascii="Times New Roman" w:eastAsia="Times New Roman" w:hAnsi="Times New Roman" w:cs="Times New Roman"/>
          <w:sz w:val="24"/>
          <w:szCs w:val="24"/>
        </w:rPr>
        <w:br/>
        <w:t xml:space="preserve">(1) Between the German Reich and the Soviet Union, the states that were succeeded by the Federal Republic of Germany and the Russian Federation, there was a state of war </w:t>
      </w:r>
      <w:r w:rsidRPr="00BE407E">
        <w:rPr>
          <w:rFonts w:ascii="Times New Roman" w:eastAsia="Times New Roman" w:hAnsi="Times New Roman" w:cs="Times New Roman"/>
          <w:sz w:val="24"/>
          <w:szCs w:val="24"/>
        </w:rPr>
        <w:lastRenderedPageBreak/>
        <w:t>under international law … The Hague Land Warfare Convention may give rise to claims on an international level, that is, between the occupying power and the returning sovereign. A party to a conflict that does not observe the provisions of Hague law is, by Article 3 of the Land Warfare Convention (see Article 91 of Protocol I Additional to the Geneva Conventions, of 1977) obliged to pay damages. This provision corresponds to the principle under customary international law that the violation of its duties under public international law makes a state responsible (see also Article 1 of the ILC Articles on State Responsibility). This right to damages under secondary law, however, exists only in the public-international-law relationship between the states involved and is subject to their disposition. In this respect, the claim to damages differs from the claim under primary law of the persons involved that the prohibitions of humanitarian public international law are observed; this claim exists in the public-international-law relationship between the state occupying a territory and the population living in this territory.</w:t>
      </w:r>
      <w:r w:rsidRPr="00BE407E">
        <w:rPr>
          <w:rFonts w:ascii="Times New Roman" w:eastAsia="Times New Roman" w:hAnsi="Times New Roman" w:cs="Times New Roman"/>
          <w:sz w:val="24"/>
          <w:szCs w:val="24"/>
        </w:rPr>
        <w:br/>
        <w:t>112</w:t>
      </w:r>
      <w:r w:rsidRPr="00BE407E">
        <w:rPr>
          <w:rFonts w:ascii="Times New Roman" w:eastAsia="Times New Roman" w:hAnsi="Times New Roman" w:cs="Times New Roman"/>
          <w:sz w:val="24"/>
          <w:szCs w:val="24"/>
        </w:rPr>
        <w:br/>
        <w:t>In the Two-Plus-Four Talks, the Federal Republic of Germany impliedly waived any claims under the Hague Land Warfare Convention. By the wording of the Land Warfare Convention and the practice of the states, the Federal Republic of Germany was not obliged to assert such claims towards the former occupying power.</w:t>
      </w:r>
      <w:r w:rsidRPr="00BE407E">
        <w:rPr>
          <w:rFonts w:ascii="Times New Roman" w:eastAsia="Times New Roman" w:hAnsi="Times New Roman" w:cs="Times New Roman"/>
          <w:sz w:val="24"/>
          <w:szCs w:val="24"/>
        </w:rPr>
        <w:br/>
        <w:t>113</w:t>
      </w:r>
      <w:r w:rsidRPr="00BE407E">
        <w:rPr>
          <w:rFonts w:ascii="Times New Roman" w:eastAsia="Times New Roman" w:hAnsi="Times New Roman" w:cs="Times New Roman"/>
          <w:sz w:val="24"/>
          <w:szCs w:val="24"/>
        </w:rPr>
        <w:br/>
        <w:t>It is not in contradiction to this that each of the four Geneva Conventions of the year 1949 contains a provision depriving the states that are parties the right to release themselves or another from the responsibility for “serious violations” of public international law (Article 51 of the First Geneva Convention, Article 52 of the Second Geneva Convention, Article 131 of the Third Geneva Convention and Article 148 of the Fourth Geneva Convention). When these provisions were created, the creators believed that they had found in them an efficient means of enforcing the Hague law. In the practice of the law of war, however, this principle has not yet succeeded in establishing itself. Instead, as a rule the victor demands the payment of compensati on from the conquered (reparations), although there was no unambiguous agreement to base this on violations of the law of war, and above all without the victor paying damages for the violations of law committed by itself. It cannot be concluded from the provisions of the Geneva Convention that the states are forbidden to waive claims under the Hague Land Warfare Convention in connection with entering into a peace treaty.</w:t>
      </w:r>
      <w:r w:rsidRPr="00BE407E">
        <w:rPr>
          <w:rFonts w:ascii="Times New Roman" w:eastAsia="Times New Roman" w:hAnsi="Times New Roman" w:cs="Times New Roman"/>
          <w:sz w:val="24"/>
          <w:szCs w:val="24"/>
        </w:rPr>
        <w:br/>
        <w:t>114</w:t>
      </w:r>
      <w:r w:rsidRPr="00BE407E">
        <w:rPr>
          <w:rFonts w:ascii="Times New Roman" w:eastAsia="Times New Roman" w:hAnsi="Times New Roman" w:cs="Times New Roman"/>
          <w:sz w:val="24"/>
          <w:szCs w:val="24"/>
        </w:rPr>
        <w:br/>
        <w:t>Any claims of the individuals protected by the Land Warfare Convention are burdened in advance by this authorisation of the occupying power and the sovereign to legislate and to waive, and they are also restricted by it.</w:t>
      </w:r>
      <w:r>
        <w:rPr>
          <w:rFonts w:ascii="Times New Roman" w:eastAsia="Times New Roman" w:hAnsi="Times New Roman" w:cs="Times New Roman"/>
          <w:noProof/>
          <w:sz w:val="24"/>
          <w:szCs w:val="24"/>
        </w:rPr>
        <w:drawing>
          <wp:inline distT="0" distB="0" distL="0" distR="0">
            <wp:extent cx="151130" cy="142875"/>
            <wp:effectExtent l="19050" t="0" r="1270" b="0"/>
            <wp:docPr id="3049" name="Imagen 30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2006, in the </w:t>
      </w:r>
      <w:r w:rsidRPr="00BE407E">
        <w:rPr>
          <w:rFonts w:ascii="Times New Roman" w:eastAsia="Times New Roman" w:hAnsi="Times New Roman" w:cs="Times New Roman"/>
          <w:i/>
          <w:iCs/>
          <w:sz w:val="24"/>
          <w:szCs w:val="24"/>
        </w:rPr>
        <w:t>Serbian Prisoners of War case</w:t>
      </w:r>
      <w:r w:rsidRPr="00BE407E">
        <w:rPr>
          <w:rFonts w:ascii="Times New Roman" w:eastAsia="Times New Roman" w:hAnsi="Times New Roman" w:cs="Times New Roman"/>
          <w:sz w:val="24"/>
          <w:szCs w:val="24"/>
        </w:rPr>
        <w:t>, Germany’s Administrative Court of Berlin held:</w:t>
      </w:r>
      <w:r w:rsidRPr="00BE407E">
        <w:rPr>
          <w:rFonts w:ascii="Times New Roman" w:eastAsia="Times New Roman" w:hAnsi="Times New Roman" w:cs="Times New Roman"/>
          <w:sz w:val="24"/>
          <w:szCs w:val="24"/>
        </w:rPr>
        <w:br/>
        <w:t>1</w:t>
      </w:r>
      <w:r w:rsidRPr="00BE407E">
        <w:rPr>
          <w:rFonts w:ascii="Times New Roman" w:eastAsia="Times New Roman" w:hAnsi="Times New Roman" w:cs="Times New Roman"/>
          <w:sz w:val="24"/>
          <w:szCs w:val="24"/>
        </w:rPr>
        <w:br/>
        <w:t>The applicants, based on own or transferred rights, assert a claim for remuneration or compensation against the respondent due to forced labour done in the German Reich during detention as prisoners of war.</w:t>
      </w:r>
      <w:r w:rsidRPr="00BE407E">
        <w:rPr>
          <w:rFonts w:ascii="Times New Roman" w:eastAsia="Times New Roman" w:hAnsi="Times New Roman" w:cs="Times New Roman"/>
          <w:sz w:val="24"/>
          <w:szCs w:val="24"/>
        </w:rPr>
        <w:br/>
        <w:t>2</w:t>
      </w:r>
      <w:r w:rsidRPr="00BE407E">
        <w:rPr>
          <w:rFonts w:ascii="Times New Roman" w:eastAsia="Times New Roman" w:hAnsi="Times New Roman" w:cs="Times New Roman"/>
          <w:sz w:val="24"/>
          <w:szCs w:val="24"/>
        </w:rPr>
        <w:br/>
        <w:t>The applicants are supported in these proceedings by an association of former Serbian prisoners of war …</w:t>
      </w:r>
      <w:r w:rsidRPr="00BE407E">
        <w:rPr>
          <w:rFonts w:ascii="Times New Roman" w:eastAsia="Times New Roman" w:hAnsi="Times New Roman" w:cs="Times New Roman"/>
          <w:sz w:val="24"/>
          <w:szCs w:val="24"/>
        </w:rPr>
        <w:br/>
        <w:t>3</w:t>
      </w:r>
      <w:r w:rsidRPr="00BE407E">
        <w:rPr>
          <w:rFonts w:ascii="Times New Roman" w:eastAsia="Times New Roman" w:hAnsi="Times New Roman" w:cs="Times New Roman"/>
          <w:sz w:val="24"/>
          <w:szCs w:val="24"/>
        </w:rPr>
        <w:br/>
        <w:t xml:space="preserve">… [T]he applicants submit that they or their fathers, as prisoners of war during World War II, had been utilized for excessive forced labour. The applicants submit in this </w:t>
      </w:r>
      <w:r w:rsidRPr="00BE407E">
        <w:rPr>
          <w:rFonts w:ascii="Times New Roman" w:eastAsia="Times New Roman" w:hAnsi="Times New Roman" w:cs="Times New Roman"/>
          <w:sz w:val="24"/>
          <w:szCs w:val="24"/>
        </w:rPr>
        <w:lastRenderedPageBreak/>
        <w:t>respect that they or their legal predecessors had been captured in April 1941 by a German-Italian army and had then been utilized for forced labour in a prisoner of war camp of the Wehrmacht, concretely identified in each case, until the day of their liberation.</w:t>
      </w:r>
      <w:r w:rsidRPr="00BE407E">
        <w:rPr>
          <w:rFonts w:ascii="Times New Roman" w:eastAsia="Times New Roman" w:hAnsi="Times New Roman" w:cs="Times New Roman"/>
          <w:sz w:val="24"/>
          <w:szCs w:val="24"/>
        </w:rPr>
        <w:br/>
        <w:t>4</w:t>
      </w:r>
      <w:r w:rsidRPr="00BE407E">
        <w:rPr>
          <w:rFonts w:ascii="Times New Roman" w:eastAsia="Times New Roman" w:hAnsi="Times New Roman" w:cs="Times New Roman"/>
          <w:sz w:val="24"/>
          <w:szCs w:val="24"/>
        </w:rPr>
        <w:br/>
        <w:t>The applicants base their claim for remuneration, amounting to DM 100 per month, on Article 34, paragraph 4 of the Convention relative to the Treatment of Prisoners of War of 27 July 1929 [1929 Geneva POW Convention] … and on Article 6, paragraph 5 of the Annex to the Convention respecting the Laws and Customs of War on Land – Hague Regulations – of 18 October 1907 … The respondent is said to be liable for the payment obligations not fulfilled by the German Reich. The applicants further are of the opinion that they also have compensation claims based on breach of official duty, due to the culpable omission by the German Reich to pay the remuneration, as well as a public law restitution claim, due to unjust enrichment of the German Reich. These claims had neither been excluded by international agreements, nor were they time-barred.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Grounds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10</w:t>
      </w:r>
      <w:r w:rsidRPr="00BE407E">
        <w:rPr>
          <w:rFonts w:ascii="Times New Roman" w:eastAsia="Times New Roman" w:hAnsi="Times New Roman" w:cs="Times New Roman"/>
          <w:sz w:val="24"/>
          <w:szCs w:val="24"/>
        </w:rPr>
        <w:br/>
        <w:t>The actions in any event are unfounded because the law does not give the applicants the asserted claim for payment against the respondent due to forced labour done during detention as prisoners of war in the German Reich before 8 May 1945.</w:t>
      </w:r>
      <w:r w:rsidRPr="00BE407E">
        <w:rPr>
          <w:rFonts w:ascii="Times New Roman" w:eastAsia="Times New Roman" w:hAnsi="Times New Roman" w:cs="Times New Roman"/>
          <w:sz w:val="24"/>
          <w:szCs w:val="24"/>
        </w:rPr>
        <w:br/>
        <w:t>11</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1. </w:t>
      </w:r>
      <w:r w:rsidRPr="00BE407E">
        <w:rPr>
          <w:rFonts w:ascii="Times New Roman" w:eastAsia="Times New Roman" w:hAnsi="Times New Roman" w:cs="Times New Roman"/>
          <w:sz w:val="24"/>
          <w:szCs w:val="24"/>
        </w:rPr>
        <w:t>From the provisions of international humanitarian law applicable until 8 May 1945 an individually enforceable claim for remuneration of prisoners of war for labour done during their detention cannot be deduced. After its own examination, the Chamber agrees with the legal opinion applied by the Administrative Court of Cologne in its judgment of 11 November 2002 … and the Higher Administrative Court for the Land North-Rhine Westphalia in its decision of 13 December 2004 …, in parallel proceedings of further Serbian former prisoners of war. These courts refer to the judgement of the Higher Administrative Court for the Land North-Rhine Westphalia of 19 November 1997 …, which in the case of a Polish former prisoner of war addressed the legal questions relevant here in a fundamental manner. Accordingly, no claim for remuneration for forced labour can be based on the provisions of the 1929 Geneva POW Convention applicable at the time of detention as prisoner of war, since in particular from Article 34, paragraphs 2 and 4 of that Convention no individual claims of nationals of States party to that Convention directly against a detaining power can be deduced. The Higher Administrative Court for the Land North-Rhine Westphalia assumed in its judgement that the applicant in that case was forced to do physical labour and, contrary to Article 34, paragraph 2 of the 1929 Geneva POW Convention, was not remunerated for it. The Higher Administrative Court then further noted:</w:t>
      </w:r>
      <w:r w:rsidRPr="00BE407E">
        <w:rPr>
          <w:rFonts w:ascii="Times New Roman" w:eastAsia="Times New Roman" w:hAnsi="Times New Roman" w:cs="Times New Roman"/>
          <w:sz w:val="24"/>
          <w:szCs w:val="24"/>
        </w:rPr>
        <w:br/>
        <w:t>12</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provisions mentioned, however, are not directly applicable (“self-executing”) in the sense that the individual can assert subjective rights vis-à-vis a State party to the Convention.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14</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According to more recent international law doctrine the individual is, indeed, no longer a mere object of international law, connected to international law only through the medium of the State, but can himself directly have rights and obligations under international law.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w:t>
      </w:r>
      <w:r w:rsidRPr="00BE407E">
        <w:rPr>
          <w:rFonts w:ascii="Times New Roman" w:eastAsia="Times New Roman" w:hAnsi="Times New Roman" w:cs="Times New Roman"/>
          <w:sz w:val="24"/>
          <w:szCs w:val="24"/>
        </w:rPr>
        <w:br/>
        <w:t>16</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This applies in particular also to the legal position of the individual in international armed conflict, which is regulated by the international law of war.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18</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Geneva Convention relative to the Treatment of Prisoners of War of 1929, as international humanitarian treaty law, belongs to this “ius in bello”.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However, the provisions of Article 27, paragraph 3 and Article 34, paragraph 2 of the 1929 Geneva POW Convention only benefit the individual prisoner of war; they do not give him subjective rights vis-à-vis the detaining State, which he could enforce in that State’s domestic courts. As provisions of international treaty law, they can have become legally binding within the State only if, according to their wording, purpose and content, they are capable of causing legal effects like a domestic statutory provision.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22</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These requirements are not fulfilled here.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23</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claim of prisoners of war to remuneration for forced labour cannot be deduced from the provision of Article 34 of the 1929 Geneva POW Convention. Indeed, prisoners employed for work other than that mentioned in paragraph 1 of the provision (administration, internal arrangement and maintenance of camps) are, according to the wording of Article 34, paragraph 2 of the 1929 Geneva POW Convention “entitled to a rate of pay”. This, however, does not entitle the individual prisoner to file a claim in the courts of the detaining power for payment of remuneration denied to him. Article 34 of the 1929 Geneva POW Convention is not sufficiently precise to serve as the basis of a claim for remuneration in an individual case. The provision itself contains no basis whatsoever for the calculation of pay, in particular also no differentiation depending on the kind of forced labour done. A treaty law provision lacking, the States party to the 1929 Geneva POW Convention rather left the fixing of the remuneration to be paid to the belligerent States, which are to conclude agreements regarding this matter (comp. Article 34, paragraph 2 of the Article 34, paragraph 2 of the 1929 Geneva POW Convention). If no such agreements have been concluded …, Article 34, paragraph 4 of the 1929 Geneva POW Convention, indeed, contains further provisions on the remuneration of the work of prisoners. These provisions, however, according to their content, objectively are not capable of serving as the basis of a claim for remuneration, either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24</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Article 27, paragraph 3 of the 1929 Geneva POW Convention, if violated, is also not sufficiently precise to be capable of serving – potentially in conjunction with other, domestic provisions – as the basis of an individual person’s compensation claim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25</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Independent of Article 27, paragraph 3 and Article 34, paragraph 2 of the 1929 Geneva POW Convention being objectively incapable of serving as a legal basis of the claim for remuneration raised, their direct application as domestic law is also prevented by the fact that provisions on their enforcement in court are lacking. An assumed individual right remains empty, as long as the individual does not have the possibility to assert his rights – if necessary in domestic courts.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27</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1929 Geneva Convention, however, does not provide for the legal protection of the individual by independent courts. Under the chapter heading “Complaints of prisoners of war respecting the conditions of captivity”, Article 42, paragraph 1 of the 1929 Geneva POW Convention gives prisoners of war only the right to bring petitions to the notice of the military authorities of the detaining State. Further, according to Article 42, paragraph 2 of the 1929 Geneva POW Convention, prisoners of war have the right to communicate with the representatives of the protecting powers in cases of complaints regarding their treatment. Before the military authorities and the protecting powers, prisoners of war are represented by the representatives appointed by them, comp. Article 43 of the 1929 Geneva POW Convention. Furthermore, Articles 86, 87 of the 1929 Geneva POW Convention provide the possibility of control by the protecting powers of the execution of the Convention. Apart from that, the 1929 Geneva Convention contains no further rights of the individual. Overall, it can be concluded that it is up to the contracting parties – and not to the individual prisoner of war – to raise among each other violations of the international law provisions and, if necessary, to punish them.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29</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objective of the 1929 Geneva Convention is,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in the extreme event of a war, to mitigate the inevitable rigours thereof and to alleviate the condition of prisoners of war (see preamble). The provisions on the work of prisoners of war in Part III of the 1929 Geneva Convention are therefore first of all expressions of humanity. The contracting parties are obligated to respect them in all circumstances (comp. Article 82 of the 1929 Geneva POW Convention), so that the individual prisoner of war benefits from them by way of reflex, without being able to enforce adherence to the provisions in court.”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30</w:t>
      </w:r>
      <w:r w:rsidRPr="00BE407E">
        <w:rPr>
          <w:rFonts w:ascii="Times New Roman" w:eastAsia="Times New Roman" w:hAnsi="Times New Roman" w:cs="Times New Roman"/>
          <w:sz w:val="24"/>
          <w:szCs w:val="24"/>
        </w:rPr>
        <w:br/>
        <w:t>The applicants have submitted no decisive considerations in support of their claim which would require a different legal assessment. Their attempts to deduce an individual claim of the persons concerned from the development of the law do not succeed since a responsibility of the Federal Republic of Germany for obligations of the German Reich first of all requires that such an obligation existed. In this respect, the Federal Constitutional Court has clarified in its decision of 15 February 2006 [2 BvR 1476/03, “Distomo case”] that an obligation of the German Reich can have come into existence only on the basis of the legal provisions in force at the time of the events giving rise to liability. It is therefore irrelevant for the decision whether the view of the applicants regarding the development of the law since 8 May 1945 is to be followed.</w:t>
      </w:r>
      <w:r w:rsidRPr="00BE407E">
        <w:rPr>
          <w:rFonts w:ascii="Times New Roman" w:eastAsia="Times New Roman" w:hAnsi="Times New Roman" w:cs="Times New Roman"/>
          <w:sz w:val="24"/>
          <w:szCs w:val="24"/>
        </w:rPr>
        <w:br/>
        <w:t>31</w:t>
      </w:r>
      <w:r w:rsidRPr="00BE407E">
        <w:rPr>
          <w:rFonts w:ascii="Times New Roman" w:eastAsia="Times New Roman" w:hAnsi="Times New Roman" w:cs="Times New Roman"/>
          <w:sz w:val="24"/>
          <w:szCs w:val="24"/>
        </w:rPr>
        <w:br/>
        <w:t xml:space="preserve">In the decision mentioned, the Federal Constitutional Court declined to accept for decision the constitutional complaint against the judgement of the Federal Court of Justice of 26 June 2003. In its reasons for the non-acceptance for decision, the Federal Constitutional Court explained that there was no liability of the Federal Republic of Germany for war crimes by members of the German armed forces during the occupation of Greece during World War II, and, in this context, also addressed the question whether, in the case of a violation of the Hague Regulations, Article 3 of Hague Convention IV can give rise to individual claims. The Federal Constitutional Court answered this question in the negative and in particular also based itself on the view, also taken by the Higher Administrative Court for the Land North-Rhine Westphalia, </w:t>
      </w:r>
      <w:r w:rsidRPr="00BE407E">
        <w:rPr>
          <w:rFonts w:ascii="Times New Roman" w:eastAsia="Times New Roman" w:hAnsi="Times New Roman" w:cs="Times New Roman"/>
          <w:sz w:val="24"/>
          <w:szCs w:val="24"/>
        </w:rPr>
        <w:lastRenderedPageBreak/>
        <w:t xml:space="preserve">that “understanding the norm as the basis of individual claims [was prevented] already by its lack of direct applicability”. Therefore, it was “still only the home State [which was] entitled to secondary claims for compensation based on international wrongful acts of a State against foreign nationals”. </w:t>
      </w:r>
      <w:r w:rsidRPr="00BE407E">
        <w:rPr>
          <w:rFonts w:ascii="Times New Roman" w:eastAsia="Times New Roman" w:hAnsi="Times New Roman" w:cs="Times New Roman"/>
          <w:sz w:val="24"/>
          <w:szCs w:val="24"/>
        </w:rPr>
        <w:br/>
        <w:t>32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2. </w:t>
      </w:r>
      <w:r w:rsidRPr="00BE407E">
        <w:rPr>
          <w:rFonts w:ascii="Times New Roman" w:eastAsia="Times New Roman" w:hAnsi="Times New Roman" w:cs="Times New Roman"/>
          <w:sz w:val="24"/>
          <w:szCs w:val="24"/>
        </w:rPr>
        <w:t>The domestic law applicable in the territory of the Reich until 8 May 1945 has also not given rise to a claim for compensation against the German Reich for forced labour.</w:t>
      </w:r>
      <w:r w:rsidRPr="00BE407E">
        <w:rPr>
          <w:rFonts w:ascii="Times New Roman" w:eastAsia="Times New Roman" w:hAnsi="Times New Roman" w:cs="Times New Roman"/>
          <w:sz w:val="24"/>
          <w:szCs w:val="24"/>
        </w:rPr>
        <w:br/>
        <w:t>33</w:t>
      </w:r>
      <w:r w:rsidRPr="00BE407E">
        <w:rPr>
          <w:rFonts w:ascii="Times New Roman" w:eastAsia="Times New Roman" w:hAnsi="Times New Roman" w:cs="Times New Roman"/>
          <w:sz w:val="24"/>
          <w:szCs w:val="24"/>
        </w:rPr>
        <w:br/>
        <w:t>It need not be decided whether the requirements of liability for breach of official duty according to Section 839 of the Civil Code in conjunction with Article 131 of the Weimar Constitution were fulfilled. In any case, the compensation claim of a foreign prisoner of war was excluded according to Section 7 of the “Law on the Liability of the Reich for its Officials” (old version), because, according to that, claims of foreigners required a guarantee of reciprocity by international treaty or by a foreign State’s legislation, which had to be published in the Reich law gazette by the Reich chancellor. As already submitted by the applicants, such a publication was made only in relation to the Netherlands and Gdansk. According to the Federal Constitutional Court (l.c.), this provision is compatible with the Basic Law of the Federal Republic of Germany; there is no general rule of international law which generally demands equal treatment of foreigners and nationals.</w:t>
      </w:r>
      <w:r w:rsidRPr="00BE407E">
        <w:rPr>
          <w:rFonts w:ascii="Times New Roman" w:eastAsia="Times New Roman" w:hAnsi="Times New Roman" w:cs="Times New Roman"/>
          <w:sz w:val="24"/>
          <w:szCs w:val="24"/>
        </w:rPr>
        <w:br/>
        <w:t>34</w:t>
      </w:r>
      <w:r w:rsidRPr="00BE407E">
        <w:rPr>
          <w:rFonts w:ascii="Times New Roman" w:eastAsia="Times New Roman" w:hAnsi="Times New Roman" w:cs="Times New Roman"/>
          <w:sz w:val="24"/>
          <w:szCs w:val="24"/>
        </w:rPr>
        <w:br/>
        <w:t xml:space="preserve">Finally, the applicants have no claim for remuneration of the work done on the basis of a public law restitution claim, analogous to Sections 812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of the Civil Code. A claim based on unjust enrichment in any case requires, not regarding the further requirements of the restitution claim, that the shift of assets happened without legal ground. Also in this respect reference can be made to the judgement of the Higher Administrative Court for the Land North-Rhine Westphalia, already quoted several times. Accordingly, such a claim is prevented already by the circumstance that the prisoners of war were utilized for forced labour not without legal ground. Rather, this treatment was permissible under the international law rules of the Hague Regulations and the 1929 Geneva POW Convention. If the prisoners of war were utilized for forced labour beyond the provisions of the Hague Regulations and the 1929 Geneva POW Convention, the detaining State – as described above – must answer for that only under international law rules, without a direct claim of the injured person against the detaining State coming into existence.</w:t>
      </w:r>
      <w:r>
        <w:rPr>
          <w:rFonts w:ascii="Times New Roman" w:eastAsia="Times New Roman" w:hAnsi="Times New Roman" w:cs="Times New Roman"/>
          <w:noProof/>
          <w:sz w:val="24"/>
          <w:szCs w:val="24"/>
        </w:rPr>
        <w:drawing>
          <wp:inline distT="0" distB="0" distL="0" distR="0">
            <wp:extent cx="151130" cy="142875"/>
            <wp:effectExtent l="19050" t="0" r="1270" b="0"/>
            <wp:docPr id="3050" name="Imagen 30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6</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2.</w:t>
      </w:r>
      <w:r w:rsidRPr="00BE407E">
        <w:rPr>
          <w:rFonts w:ascii="Times New Roman" w:eastAsia="Times New Roman" w:hAnsi="Times New Roman" w:cs="Times New Roman"/>
          <w:sz w:val="24"/>
          <w:szCs w:val="24"/>
        </w:rPr>
        <w:t xml:space="preserve"> The motion for admission of appeals proceedings is … unfounded.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13</w:t>
      </w:r>
      <w:r w:rsidRPr="00BE407E">
        <w:rPr>
          <w:rFonts w:ascii="Times New Roman" w:eastAsia="Times New Roman" w:hAnsi="Times New Roman" w:cs="Times New Roman"/>
          <w:sz w:val="24"/>
          <w:szCs w:val="24"/>
        </w:rPr>
        <w:br/>
        <w:t>The applicants’ submissions do not give cause to the Senate to assume that the claim based on international law requires further clarification, by way of derogation from the case law of the Federal Constitutional Court.</w:t>
      </w:r>
      <w:r w:rsidRPr="00BE407E">
        <w:rPr>
          <w:rFonts w:ascii="Times New Roman" w:eastAsia="Times New Roman" w:hAnsi="Times New Roman" w:cs="Times New Roman"/>
          <w:sz w:val="24"/>
          <w:szCs w:val="24"/>
        </w:rPr>
        <w:br/>
        <w:t>14</w:t>
      </w:r>
      <w:r w:rsidRPr="00BE407E">
        <w:rPr>
          <w:rFonts w:ascii="Times New Roman" w:eastAsia="Times New Roman" w:hAnsi="Times New Roman" w:cs="Times New Roman"/>
          <w:sz w:val="24"/>
          <w:szCs w:val="24"/>
        </w:rPr>
        <w:br/>
        <w:t xml:space="preserve">Already in its decision of 13 May 1996 the Federal Constitutional Court clarified that the traditional conception of international law as inter-State law conceived the individual not as a subject of international law, but only granted him indirect international protection. By means of diplomatic protection the State asserted its own right to respect for international law in the person of its national. This principle of exclusive entitlement of the State had applied already in the years 1943–1945 to the violations of human rights. Generally, the individual was not able to demand </w:t>
      </w:r>
      <w:r w:rsidRPr="00BE407E">
        <w:rPr>
          <w:rFonts w:ascii="Times New Roman" w:eastAsia="Times New Roman" w:hAnsi="Times New Roman" w:cs="Times New Roman"/>
          <w:sz w:val="24"/>
          <w:szCs w:val="24"/>
        </w:rPr>
        <w:lastRenderedPageBreak/>
        <w:t>determination of a wrong or compensation for a wrong. Also, neither under international law nor generally under domestic law of a specific State, did the individual at the time have a subjective, enforceable right to the exercise of diplomatic protection by his home State. Only in the course of the more recent development of extended protection of human rights has international law given the individual a right of his own, has given other subjects of international law the right to intervene in cases of grave violations on the basis of UN Security Council resolutions, and has developed protective treaty law systems in which the individual himself can assert his rights.</w:t>
      </w:r>
      <w:r w:rsidRPr="00BE407E">
        <w:rPr>
          <w:rFonts w:ascii="Times New Roman" w:eastAsia="Times New Roman" w:hAnsi="Times New Roman" w:cs="Times New Roman"/>
          <w:sz w:val="24"/>
          <w:szCs w:val="24"/>
        </w:rPr>
        <w:br/>
        <w:t>15</w:t>
      </w:r>
      <w:r w:rsidRPr="00BE407E">
        <w:rPr>
          <w:rFonts w:ascii="Times New Roman" w:eastAsia="Times New Roman" w:hAnsi="Times New Roman" w:cs="Times New Roman"/>
          <w:sz w:val="24"/>
          <w:szCs w:val="24"/>
        </w:rPr>
        <w:br/>
        <w:t xml:space="preserve">Further, in its decision of 28 June 2004 [2 BvR 1379/01, “Italian military internees”], in a dispute regarding compensation for forced labour by Italian prisoners of war, the Federal Constitutional Court stated that Article 3 of the 1907 Hague Convention generally did not give rise to an individual compensation claim, but only codified the general basic rule of international law regarding liability obligations between States party; in this context the Federal Constitutional Court also considered Articles 4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6 of the Hague Regulations. The secondary claim for compensation, however, existed only in the international law relation between the States concerned. Insofar, the compensation claim differed from the concerned individuals’ primary right to respect for the prohibitions of international humanitarian law, which existed in the international law relation between an occupying State and the population living in the territory occupied.</w:t>
      </w:r>
      <w:r w:rsidRPr="00BE407E">
        <w:rPr>
          <w:rFonts w:ascii="Times New Roman" w:eastAsia="Times New Roman" w:hAnsi="Times New Roman" w:cs="Times New Roman"/>
          <w:sz w:val="24"/>
          <w:szCs w:val="24"/>
        </w:rPr>
        <w:br/>
        <w:t>16</w:t>
      </w:r>
      <w:r w:rsidRPr="00BE407E">
        <w:rPr>
          <w:rFonts w:ascii="Times New Roman" w:eastAsia="Times New Roman" w:hAnsi="Times New Roman" w:cs="Times New Roman"/>
          <w:sz w:val="24"/>
          <w:szCs w:val="24"/>
        </w:rPr>
        <w:br/>
        <w:t>The Federal Constitutional Court repeated this understanding of international law in its decision of 15 February 2006 [2 BvR 1476/03, “Distomo case”] and further explained with regard to Article 3 of the Hague Convention that the provision did not give rise to a direct individual compensation claim for violations of the international law of war. Indeed, the origin of the norm showed that it was intended to protect the individual; it did, however, not follow from this that the provision could be the basis of a direct, originally international law compensation claim of the concerned individual vis-à-vis the State. Independent of the provision not being “self-executing”, the provision could not be understood as a basis of individual claims because according to the traditional conception of international law the individual was not qualified as a legal subject. Potential developments of the law or changed legal views on the level of constitutional or international law could anyway not be taken into consideration in the assessment of events in 1944. In this respect, the legal provisions in force at the time of the events giving rise to liability generally were relevant.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20</w:t>
      </w:r>
      <w:r w:rsidRPr="00BE407E">
        <w:rPr>
          <w:rFonts w:ascii="Times New Roman" w:eastAsia="Times New Roman" w:hAnsi="Times New Roman" w:cs="Times New Roman"/>
          <w:sz w:val="24"/>
          <w:szCs w:val="24"/>
        </w:rPr>
        <w:br/>
        <w:t>The applicants’ submission that during World War II some States paid compensation for forced labour by German prisoners of war does not show that this could have been enforced domestically in courts.</w:t>
      </w:r>
      <w:r w:rsidRPr="00BE407E">
        <w:rPr>
          <w:rFonts w:ascii="Times New Roman" w:eastAsia="Times New Roman" w:hAnsi="Times New Roman" w:cs="Times New Roman"/>
          <w:sz w:val="24"/>
          <w:szCs w:val="24"/>
        </w:rPr>
        <w:br/>
        <w:t>21</w:t>
      </w:r>
      <w:r w:rsidRPr="00BE407E">
        <w:rPr>
          <w:rFonts w:ascii="Times New Roman" w:eastAsia="Times New Roman" w:hAnsi="Times New Roman" w:cs="Times New Roman"/>
          <w:sz w:val="24"/>
          <w:szCs w:val="24"/>
        </w:rPr>
        <w:br/>
        <w:t>The further submission that the Federal Constitutional Court had exactly decided that the entitlement to claims of State parties did not exclude a corresponding entitlement of the individual and that international law claims did not exclude domestic claims, also does not help the applicants’ motion. The first point does not prove the granting of the entitlement of individual claims, the second point was taken into account by the Administrative Court insofar as it examined bases of claims based on domestic law – even those to be asserted in civil law courts.</w:t>
      </w:r>
      <w:r w:rsidRPr="00BE407E">
        <w:rPr>
          <w:rFonts w:ascii="Times New Roman" w:eastAsia="Times New Roman" w:hAnsi="Times New Roman" w:cs="Times New Roman"/>
          <w:sz w:val="24"/>
          <w:szCs w:val="24"/>
        </w:rPr>
        <w:br/>
        <w:t>22</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lastRenderedPageBreak/>
        <w:t xml:space="preserve">d) </w:t>
      </w:r>
      <w:r w:rsidRPr="00BE407E">
        <w:rPr>
          <w:rFonts w:ascii="Times New Roman" w:eastAsia="Times New Roman" w:hAnsi="Times New Roman" w:cs="Times New Roman"/>
          <w:sz w:val="24"/>
          <w:szCs w:val="24"/>
        </w:rPr>
        <w:t>Also with regard to domestic legal bases, the Senate sees no need for further clarification due to factual or legal difficulties.</w:t>
      </w:r>
      <w:r w:rsidRPr="00BE407E">
        <w:rPr>
          <w:rFonts w:ascii="Times New Roman" w:eastAsia="Times New Roman" w:hAnsi="Times New Roman" w:cs="Times New Roman"/>
          <w:sz w:val="24"/>
          <w:szCs w:val="24"/>
        </w:rPr>
        <w:br/>
        <w:t>23</w:t>
      </w:r>
      <w:r w:rsidRPr="00BE407E">
        <w:rPr>
          <w:rFonts w:ascii="Times New Roman" w:eastAsia="Times New Roman" w:hAnsi="Times New Roman" w:cs="Times New Roman"/>
          <w:sz w:val="24"/>
          <w:szCs w:val="24"/>
        </w:rPr>
        <w:br/>
        <w:t>… The Administrative Court dismissed a claim for breach of official duty [based on Section 839 of the Civil Code in conjunction with Article 131 of the Weimar Constitution] due to the consideration that such a compensation claim of a foreign prisoner of war was excluded according to Section 7 of the “Law on the Liability of the Reich for its Officials” of 22 May 1910 because, according to that, claims of foreigners required a guarantee of reciprocity by international treaty or by a foreign State’s legislation, which had to be published in the Reich law gazette by the Reich chancellor. In the case of Serbia, such a publication had not been made. According to the Federal Constitutional Court (in its decision of 15 February 2006, 2 BvR 1476/03, “Distomo case”), in confirmation of the decision of the Federal Court of Justice (judgement of 26 June 2003, III ZR 245/98, “Distomo case”), this legal understanding of the effect of the exclusion of liability under Section 7 of the “Law on the Liability of the Reich for its Officials” was not contrary to the Basic Law of the Federal Republic of Germany. According to the version of this provision applicable until 30 June 1992, a provision which had been compatible both with the Basic Law and the general rules of international law within the meaning of Article 25 of the Basic Law, nationals of a foreign State had had a claim based on breach of official duty against the Federal Republic only if reciprocity was guaranteed by the legislation of a foreign State or by international treaty. The Senate sees no need for further clarification regarding this point.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25</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e)</w:t>
      </w:r>
      <w:r w:rsidRPr="00BE407E">
        <w:rPr>
          <w:rFonts w:ascii="Times New Roman" w:eastAsia="Times New Roman" w:hAnsi="Times New Roman" w:cs="Times New Roman"/>
          <w:sz w:val="24"/>
          <w:szCs w:val="24"/>
        </w:rPr>
        <w:t xml:space="preserve"> The Administrative Court further denied a claim for remuneration for forced labour on the basis of a public law restitution claim, analogous to Section 812 </w:t>
      </w:r>
      <w:r w:rsidRPr="00BE407E">
        <w:rPr>
          <w:rFonts w:ascii="Times New Roman" w:eastAsia="Times New Roman" w:hAnsi="Times New Roman" w:cs="Times New Roman"/>
          <w:i/>
          <w:iCs/>
          <w:sz w:val="24"/>
          <w:szCs w:val="24"/>
        </w:rPr>
        <w:t>et seq</w:t>
      </w:r>
      <w:r w:rsidRPr="00BE407E">
        <w:rPr>
          <w:rFonts w:ascii="Times New Roman" w:eastAsia="Times New Roman" w:hAnsi="Times New Roman" w:cs="Times New Roman"/>
          <w:sz w:val="24"/>
          <w:szCs w:val="24"/>
        </w:rPr>
        <w:t>. of the Civil Code. Such a claim based on unjust enrichment in any case required, not regarding the further requirements of the restitution claim, that the shift of assets happened without legal ground. This was not to be assumed here; the prisoners of war were utilized for forced labour not without legal ground, rather, there had been a legal ground in the international law provisions of the Hague Regulations and the 1929 Geneva POW Convention. If the prisoners of war were utilized for forced labour beyond the provisions of the Hague Regulations and the 1929 Geneva POW Convention, the detaining State alone had to answer for that under international law rules, without a direct claim of the injured person against the detaining State having come into existence.</w:t>
      </w:r>
      <w:r w:rsidRPr="00BE407E">
        <w:rPr>
          <w:rFonts w:ascii="Times New Roman" w:eastAsia="Times New Roman" w:hAnsi="Times New Roman" w:cs="Times New Roman"/>
          <w:sz w:val="24"/>
          <w:szCs w:val="24"/>
        </w:rPr>
        <w:br/>
        <w:t>26</w:t>
      </w:r>
      <w:r w:rsidRPr="00BE407E">
        <w:rPr>
          <w:rFonts w:ascii="Times New Roman" w:eastAsia="Times New Roman" w:hAnsi="Times New Roman" w:cs="Times New Roman"/>
          <w:sz w:val="24"/>
          <w:szCs w:val="24"/>
        </w:rPr>
        <w:br/>
        <w:t>In this respect the applicants submit in their motion that they did not deny that they had been obligated to do forced labour … [A]t the most, compensation was demanded for unlawful utilization for forced labour, forced labour going beyond the usual working time. They were rather of the opinion that with the forced labour they had acquired an entitlement to pay … The withholding of the pay infringed Article 14 [protection of property] of the Basic Law of the Federal Republic of Germany …</w:t>
      </w:r>
      <w:r w:rsidRPr="00BE407E">
        <w:rPr>
          <w:rFonts w:ascii="Times New Roman" w:eastAsia="Times New Roman" w:hAnsi="Times New Roman" w:cs="Times New Roman"/>
          <w:sz w:val="24"/>
          <w:szCs w:val="24"/>
        </w:rPr>
        <w:br/>
        <w:t>27</w:t>
      </w:r>
      <w:r w:rsidRPr="00BE407E">
        <w:rPr>
          <w:rFonts w:ascii="Times New Roman" w:eastAsia="Times New Roman" w:hAnsi="Times New Roman" w:cs="Times New Roman"/>
          <w:sz w:val="24"/>
          <w:szCs w:val="24"/>
        </w:rPr>
        <w:br/>
        <w:t xml:space="preserve">This argumentation, already because of its decisive point of departure – protection of property under Article 14 of the Basic Law –, does not lead to legal questions necessary to clarify in appeal proceedings. Relevant for the assessment of legal claims against the German Reich for which the Federal Republic of Germany, as the case may be, might be liable is the legal situation at the time when the forced labour in question here was </w:t>
      </w:r>
      <w:r w:rsidRPr="00BE407E">
        <w:rPr>
          <w:rFonts w:ascii="Times New Roman" w:eastAsia="Times New Roman" w:hAnsi="Times New Roman" w:cs="Times New Roman"/>
          <w:sz w:val="24"/>
          <w:szCs w:val="24"/>
        </w:rPr>
        <w:lastRenderedPageBreak/>
        <w:t>done. Such debts, even if they had to be paid by the Federal Republic of Germany, are always only obligations of the Reich … This means in particular that, with regard to the possible bases of claims against the Reich, legal provisions, developments or changed legal views for example in the light of the Basic Law applicable today or of changes of international law must not be taken into consideration (comp. Federal Constitutional Court, decision of 15 February 2006, 2 BvR 1476/03, “Distomo case”, Federal Court of Justice, judgement of 26 June 2003, III ZR 245/98, “Distomo case”). Questions regarding a claim for unjust enrichment … on the basis of the protection of property under Article 14 of the Basic Law of the Federal Republic of Germany therefore do not arise … Restitution or compensation claims would only come under the protection of Article 14 of the Basic Law if their existence were established … The scope of protection of Article 14 of the Basic Law … cannot give rise to a claim for unjust enrichment, such a claim rather is premised (comp. Federal Constitutional Court, decision of 15 February 2006).</w:t>
      </w:r>
      <w:r w:rsidRPr="00BE407E">
        <w:rPr>
          <w:rFonts w:ascii="Times New Roman" w:eastAsia="Times New Roman" w:hAnsi="Times New Roman" w:cs="Times New Roman"/>
          <w:sz w:val="24"/>
          <w:szCs w:val="24"/>
        </w:rPr>
        <w:br/>
        <w:t>28</w:t>
      </w:r>
      <w:r w:rsidRPr="00BE407E">
        <w:rPr>
          <w:rFonts w:ascii="Times New Roman" w:eastAsia="Times New Roman" w:hAnsi="Times New Roman" w:cs="Times New Roman"/>
          <w:sz w:val="24"/>
          <w:szCs w:val="24"/>
        </w:rPr>
        <w:br/>
        <w:t>f) The applicants also are not successful in claiming fundamental meaning of the subject matter as a ground for admission of appeals proceedings, Section 124, paragraph 2, no. 3 of the Administrative Courts Procedure Code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30</w:t>
      </w:r>
      <w:r w:rsidRPr="00BE407E">
        <w:rPr>
          <w:rFonts w:ascii="Times New Roman" w:eastAsia="Times New Roman" w:hAnsi="Times New Roman" w:cs="Times New Roman"/>
          <w:sz w:val="24"/>
          <w:szCs w:val="24"/>
        </w:rPr>
        <w:br/>
        <w:t>Insofar as the legal bases of the claim under international law are concerned, the Senate is of the view that the quoted case law of the Federal Constitutional Court domestically sufficiently clarifies also the considerations decisive here regarding the non-granting of an individual claim against the Federal Republic of Germany on the basis of the 1907 Hague Regulations and the Geneva Convention relative to the Treatment of Prisoners of War of 27 July 1929. Admission to further domestic proceedings in second instance is therefore not necessary.</w:t>
      </w:r>
      <w:r w:rsidRPr="00BE407E">
        <w:rPr>
          <w:rFonts w:ascii="Times New Roman" w:eastAsia="Times New Roman" w:hAnsi="Times New Roman" w:cs="Times New Roman"/>
          <w:sz w:val="24"/>
          <w:szCs w:val="24"/>
        </w:rPr>
        <w:br/>
        <w:t>31</w:t>
      </w:r>
      <w:r w:rsidRPr="00BE407E">
        <w:rPr>
          <w:rFonts w:ascii="Times New Roman" w:eastAsia="Times New Roman" w:hAnsi="Times New Roman" w:cs="Times New Roman"/>
          <w:sz w:val="24"/>
          <w:szCs w:val="24"/>
        </w:rPr>
        <w:br/>
        <w:t>In view of the case law of the Federal Court of Justice described above, confirmed by the Federal Constitutional Court, this also applies to the question of the limitation by Section 7 of the “Law on the Liability of the Reich for its Officials” of claims for breach of official duty under Section 839 of the Civil Code in conjunction with Article 131 of the Weimar Constitution.</w:t>
      </w:r>
      <w:r>
        <w:rPr>
          <w:rFonts w:ascii="Times New Roman" w:eastAsia="Times New Roman" w:hAnsi="Times New Roman" w:cs="Times New Roman"/>
          <w:noProof/>
          <w:sz w:val="24"/>
          <w:szCs w:val="24"/>
        </w:rPr>
        <w:drawing>
          <wp:inline distT="0" distB="0" distL="0" distR="0">
            <wp:extent cx="151130" cy="142875"/>
            <wp:effectExtent l="19050" t="0" r="1270" b="0"/>
            <wp:docPr id="3051" name="Imagen 30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Greece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 decision of the Court of First Instance of Leivadia in Greece in 1997 related to a claim for compensation against Germany brought by the prefecture of Voiotia and a number of individual claimants. The claims were based on acts – wilful murder and destruction of private property – committed by German occupation forces in June 1944. The Court rejected the German government’s assertion of sovereign immunity on the ground that if a State acted in violation of a rule of </w:t>
      </w:r>
      <w:r w:rsidRPr="00BE407E">
        <w:rPr>
          <w:rFonts w:ascii="Times New Roman" w:eastAsia="Times New Roman" w:hAnsi="Times New Roman" w:cs="Times New Roman"/>
          <w:i/>
          <w:iCs/>
          <w:sz w:val="24"/>
          <w:szCs w:val="24"/>
        </w:rPr>
        <w:t>jus cogens</w:t>
      </w:r>
      <w:r w:rsidRPr="00BE407E">
        <w:rPr>
          <w:rFonts w:ascii="Times New Roman" w:eastAsia="Times New Roman" w:hAnsi="Times New Roman" w:cs="Times New Roman"/>
          <w:sz w:val="24"/>
          <w:szCs w:val="24"/>
        </w:rPr>
        <w:t xml:space="preserve">, it lost its right to invoke sovereign immunity. As the Court had previously concluded that the rules of IHL relating to belligerent occupation protecting,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xml:space="preserve">, the right to life, family honour, property and religious convictions were part of </w:t>
      </w:r>
      <w:r w:rsidRPr="00BE407E">
        <w:rPr>
          <w:rFonts w:ascii="Times New Roman" w:eastAsia="Times New Roman" w:hAnsi="Times New Roman" w:cs="Times New Roman"/>
          <w:i/>
          <w:iCs/>
          <w:sz w:val="24"/>
          <w:szCs w:val="24"/>
        </w:rPr>
        <w:t>jus cogens</w:t>
      </w:r>
      <w:r w:rsidRPr="00BE407E">
        <w:rPr>
          <w:rFonts w:ascii="Times New Roman" w:eastAsia="Times New Roman" w:hAnsi="Times New Roman" w:cs="Times New Roman"/>
          <w:sz w:val="24"/>
          <w:szCs w:val="24"/>
        </w:rPr>
        <w:t xml:space="preserve">, it found that Germany could not claim sovereign immunity. Having rejected Germany’s claim of immunity, the Court then determined that the suit was lawful under Article 3 of the 1907 Hague Convention (IV) and Article 46 of the 1907 Hague Regulations. It also considered that, in the absence of a rule of international law prohibiting this, the claims could be made by the plaintiffs in their individual capacity and not necessarily by their State of nationality. It also held that the words “if the case demands” in Article 3 of the 1907 Hague Convention (IV) specifically underlined that material damage must have been </w:t>
      </w:r>
      <w:r w:rsidRPr="00BE407E">
        <w:rPr>
          <w:rFonts w:ascii="Times New Roman" w:eastAsia="Times New Roman" w:hAnsi="Times New Roman" w:cs="Times New Roman"/>
          <w:sz w:val="24"/>
          <w:szCs w:val="24"/>
        </w:rPr>
        <w:lastRenderedPageBreak/>
        <w:t>caused as a result of the violations of the conventions. The Court then reviewed the claims, rejecting those which lacked sufficient evidence of the property destroyed or of its value, and made awards of compensation in other cases.</w:t>
      </w:r>
      <w:r>
        <w:rPr>
          <w:rFonts w:ascii="Times New Roman" w:eastAsia="Times New Roman" w:hAnsi="Times New Roman" w:cs="Times New Roman"/>
          <w:noProof/>
          <w:sz w:val="24"/>
          <w:szCs w:val="24"/>
        </w:rPr>
        <w:drawing>
          <wp:inline distT="0" distB="0" distL="0" distR="0">
            <wp:extent cx="151130" cy="142875"/>
            <wp:effectExtent l="19050" t="0" r="1270" b="0"/>
            <wp:docPr id="3052" name="Imagen 30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w:t>
      </w:r>
      <w:r w:rsidRPr="00BE407E">
        <w:rPr>
          <w:rFonts w:ascii="Times New Roman" w:eastAsia="Times New Roman" w:hAnsi="Times New Roman" w:cs="Times New Roman"/>
          <w:i/>
          <w:iCs/>
          <w:sz w:val="24"/>
          <w:szCs w:val="24"/>
        </w:rPr>
        <w:t xml:space="preserve">Case No 93/1998 </w:t>
      </w:r>
      <w:r w:rsidRPr="00BE407E">
        <w:rPr>
          <w:rFonts w:ascii="Times New Roman" w:eastAsia="Times New Roman" w:hAnsi="Times New Roman" w:cs="Times New Roman"/>
          <w:sz w:val="24"/>
          <w:szCs w:val="24"/>
        </w:rPr>
        <w:t>in 1998, Greece’s Court of First Instance of Larissa stated:</w:t>
      </w:r>
      <w:r w:rsidRPr="00BE407E">
        <w:rPr>
          <w:rFonts w:ascii="Times New Roman" w:eastAsia="Times New Roman" w:hAnsi="Times New Roman" w:cs="Times New Roman"/>
          <w:sz w:val="24"/>
          <w:szCs w:val="24"/>
        </w:rPr>
        <w:br/>
        <w:t>The plaintiffs claim a compensation of 340.000.000 drachmas, due to the murder of their relatives who were executed by the German occupation troops in a village of the Larissa prefecture on 2.4.1944, as reprisals for the activity of the Greek resistance movement …</w:t>
      </w:r>
      <w:r w:rsidRPr="00BE407E">
        <w:rPr>
          <w:rFonts w:ascii="Times New Roman" w:eastAsia="Times New Roman" w:hAnsi="Times New Roman" w:cs="Times New Roman"/>
          <w:sz w:val="24"/>
          <w:szCs w:val="24"/>
        </w:rPr>
        <w:br/>
        <w:t xml:space="preserve">According to the Convention of Vienna on Diplomatic and Consular Relations (1961 and 1963 respectively) the waiver of the privilege of immunity shall be explicit (art. 32§2 and 45§2 respectively) … Therefore it is accepted that a state can claim immunity even for acts that were committed in violation of international </w:t>
      </w:r>
      <w:r w:rsidRPr="00BE407E">
        <w:rPr>
          <w:rFonts w:ascii="Times New Roman" w:eastAsia="Times New Roman" w:hAnsi="Times New Roman" w:cs="Times New Roman"/>
          <w:i/>
          <w:iCs/>
          <w:sz w:val="24"/>
          <w:szCs w:val="24"/>
        </w:rPr>
        <w:t>jus cogens</w:t>
      </w:r>
      <w:r w:rsidRPr="00BE407E">
        <w:rPr>
          <w:rFonts w:ascii="Times New Roman" w:eastAsia="Times New Roman" w:hAnsi="Times New Roman" w:cs="Times New Roman"/>
          <w:sz w:val="24"/>
          <w:szCs w:val="24"/>
        </w:rPr>
        <w:t xml:space="preserve"> rules … [A] tacit waiver cannot be accepted.</w:t>
      </w:r>
      <w:r>
        <w:rPr>
          <w:rFonts w:ascii="Times New Roman" w:eastAsia="Times New Roman" w:hAnsi="Times New Roman" w:cs="Times New Roman"/>
          <w:noProof/>
          <w:sz w:val="24"/>
          <w:szCs w:val="24"/>
        </w:rPr>
        <w:drawing>
          <wp:inline distT="0" distB="0" distL="0" distR="0">
            <wp:extent cx="151130" cy="142875"/>
            <wp:effectExtent l="19050" t="0" r="1270" b="0"/>
            <wp:docPr id="3053" name="Imagen 30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Guatemala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2003, in its fourth periodic report to the Committee against Torture, Guatemala stated:</w:t>
      </w:r>
      <w:r w:rsidRPr="00BE407E">
        <w:rPr>
          <w:rFonts w:ascii="Times New Roman" w:eastAsia="Times New Roman" w:hAnsi="Times New Roman" w:cs="Times New Roman"/>
          <w:sz w:val="24"/>
          <w:szCs w:val="24"/>
        </w:rPr>
        <w:br/>
        <w:t>Various government bodies and non-governmental organizations have agreed that the establishment of the National Reconciliation Programme represents progress. Its purpose is to identify, provide reparation and compensation for, to return property to, to assist and to rehabilitate the victims of armed conflict. Following the political agreement which formed the basis of the National Reconciliation Programme, Government Agreement No. 258-2003 established the National Reconciliation Commission, which comprises five government representatives and five representatives of civil society. The government representatives are members of COPREDEH [The Presidential Commission for Coordinating Executive Policy in Human Rights]; a representative of the Ministry of Public Finance; the head of the Peace Secretariat; a representative of the Ministry of Agriculture, Livestock and Food and a personal representative of the President of the Republic who serves as chairman. The non-governmental representatives are two representatives of organizations for the victims of human rights violations that occurred during the armed conflict; a representative of Maya organizations; a representative of women’s organizations and a representative of human rights organizations. The specific purpose of this Commission is to provide compensation to victims of the hum an rights violations that took place during the internal armed conflict which ended on 29 December 1996.</w:t>
      </w:r>
      <w:r>
        <w:rPr>
          <w:rFonts w:ascii="Times New Roman" w:eastAsia="Times New Roman" w:hAnsi="Times New Roman" w:cs="Times New Roman"/>
          <w:noProof/>
          <w:sz w:val="24"/>
          <w:szCs w:val="24"/>
        </w:rPr>
        <w:drawing>
          <wp:inline distT="0" distB="0" distL="0" distR="0">
            <wp:extent cx="151130" cy="142875"/>
            <wp:effectExtent l="19050" t="0" r="1270" b="0"/>
            <wp:docPr id="3054" name="Imagen 30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during the consideration of the fourth periodic report of Guatemala before the Committee against Torture, a representative of Guatemala stated that “compensation had not been awarded by domestic courts, but, in specific cases relating to the period of internal armed conflict, compensation had been awarded by virtue of international courts judgments.”</w:t>
      </w:r>
      <w:r>
        <w:rPr>
          <w:rFonts w:ascii="Times New Roman" w:eastAsia="Times New Roman" w:hAnsi="Times New Roman" w:cs="Times New Roman"/>
          <w:noProof/>
          <w:sz w:val="24"/>
          <w:szCs w:val="24"/>
        </w:rPr>
        <w:drawing>
          <wp:inline distT="0" distB="0" distL="0" distR="0">
            <wp:extent cx="151130" cy="142875"/>
            <wp:effectExtent l="19050" t="0" r="1270" b="0"/>
            <wp:docPr id="3055" name="Imagen 30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Israel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the </w:t>
      </w:r>
      <w:r w:rsidRPr="00BE407E">
        <w:rPr>
          <w:rFonts w:ascii="Times New Roman" w:eastAsia="Times New Roman" w:hAnsi="Times New Roman" w:cs="Times New Roman"/>
          <w:i/>
          <w:iCs/>
          <w:sz w:val="24"/>
          <w:szCs w:val="24"/>
        </w:rPr>
        <w:t>Beit Sourik Village Council case</w:t>
      </w:r>
      <w:r w:rsidRPr="00BE407E">
        <w:rPr>
          <w:rFonts w:ascii="Times New Roman" w:eastAsia="Times New Roman" w:hAnsi="Times New Roman" w:cs="Times New Roman"/>
          <w:sz w:val="24"/>
          <w:szCs w:val="24"/>
        </w:rPr>
        <w:t xml:space="preserve"> in 2004, Israel’s High Court of Justice stated:</w:t>
      </w:r>
      <w:r w:rsidRPr="00BE407E">
        <w:rPr>
          <w:rFonts w:ascii="Times New Roman" w:eastAsia="Times New Roman" w:hAnsi="Times New Roman" w:cs="Times New Roman"/>
          <w:sz w:val="24"/>
          <w:szCs w:val="24"/>
        </w:rPr>
        <w:br/>
        <w:t xml:space="preserve">32. Petitioners’ second argument is that the construction of the Fence in the area is based, in large part, on the seizure of land privately owned by local inhabitants, that this seizure is illegal, and that therefore the military commander’s authority has no[t] to construct the obstacle … our opinion is that the military commander is authorized – by the international law applicable to an area under belligerent occupation – to take possession of land, if this is necessary for the needs of the army. </w:t>
      </w:r>
      <w:r w:rsidRPr="00BE407E">
        <w:rPr>
          <w:rFonts w:ascii="Times New Roman" w:eastAsia="Times New Roman" w:hAnsi="Times New Roman" w:cs="Times New Roman"/>
          <w:i/>
          <w:iCs/>
          <w:sz w:val="24"/>
          <w:szCs w:val="24"/>
        </w:rPr>
        <w:t xml:space="preserve">See </w:t>
      </w:r>
      <w:r w:rsidRPr="00BE407E">
        <w:rPr>
          <w:rFonts w:ascii="Times New Roman" w:eastAsia="Times New Roman" w:hAnsi="Times New Roman" w:cs="Times New Roman"/>
          <w:sz w:val="24"/>
          <w:szCs w:val="24"/>
        </w:rPr>
        <w:t xml:space="preserve">articles 23(g) and 52 of the Hague Convention; article 53 of the Fourth Geneva Convention. He must, of </w:t>
      </w:r>
      <w:r w:rsidRPr="00BE407E">
        <w:rPr>
          <w:rFonts w:ascii="Times New Roman" w:eastAsia="Times New Roman" w:hAnsi="Times New Roman" w:cs="Times New Roman"/>
          <w:sz w:val="24"/>
          <w:szCs w:val="24"/>
        </w:rPr>
        <w:lastRenderedPageBreak/>
        <w:t xml:space="preserve">course, provide compensation for his use of the land.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83. During the hearings, we asked respondent whether it would be possible to compensate petitioners by offering them other lands in exchange for the lands that were taken to build the Fence and the lands that they will be separated from. We did not receive a satisfactory answer. This petition concerns farmers that make their living from the land. Taking petitioners’ lands obligates the respondent, under the circumstances, to attempt to find other lands in exchange for the lands taken from the petitioners. Monetary compensation may only be offered if there are no substitute lands.</w:t>
      </w:r>
      <w:r>
        <w:rPr>
          <w:rFonts w:ascii="Times New Roman" w:eastAsia="Times New Roman" w:hAnsi="Times New Roman" w:cs="Times New Roman"/>
          <w:noProof/>
          <w:sz w:val="24"/>
          <w:szCs w:val="24"/>
        </w:rPr>
        <w:drawing>
          <wp:inline distT="0" distB="0" distL="0" distR="0">
            <wp:extent cx="151130" cy="142875"/>
            <wp:effectExtent l="19050" t="0" r="1270" b="0"/>
            <wp:docPr id="3056" name="Imagen 30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decision in the </w:t>
      </w:r>
      <w:r w:rsidRPr="00BE407E">
        <w:rPr>
          <w:rFonts w:ascii="Times New Roman" w:eastAsia="Times New Roman" w:hAnsi="Times New Roman" w:cs="Times New Roman"/>
          <w:i/>
          <w:iCs/>
          <w:sz w:val="24"/>
          <w:szCs w:val="24"/>
        </w:rPr>
        <w:t xml:space="preserve">State of Israel v. Mustafa Dirani case </w:t>
      </w:r>
      <w:r w:rsidRPr="00BE407E">
        <w:rPr>
          <w:rFonts w:ascii="Times New Roman" w:eastAsia="Times New Roman" w:hAnsi="Times New Roman" w:cs="Times New Roman"/>
          <w:sz w:val="24"/>
          <w:szCs w:val="24"/>
        </w:rPr>
        <w:t>in 2005, the District Court of Tel Aviv stated:</w:t>
      </w:r>
      <w:r w:rsidRPr="00BE407E">
        <w:rPr>
          <w:rFonts w:ascii="Times New Roman" w:eastAsia="Times New Roman" w:hAnsi="Times New Roman" w:cs="Times New Roman"/>
          <w:sz w:val="24"/>
          <w:szCs w:val="24"/>
        </w:rPr>
        <w:br/>
        <w:t>43. Plaintiff’s counsel argues in his brief that international conventions to which Israel is party require that monetary compensation be paid for violation of fundamental rights, in general, and torture during interrogation, in particular. For example, article 3 of the Hague Regulations of 1907, attached to the Hague Convention on the Laws and Customs of War on Land of 1907, states: “A belligerent party which violates the provisions of the said Regulations shall, if the case demands, be liable to pay compensation. It shall be responsible for all acts committed by persons forming part of its armed forces.” Article 23(h) of the Hague Regulations prohibits parties to the Convention “to declare abolished, suspended or inadmissible in a court of law the rights and actions of nationals of the hostile party.”</w:t>
      </w:r>
      <w:r w:rsidRPr="00BE407E">
        <w:rPr>
          <w:rFonts w:ascii="Times New Roman" w:eastAsia="Times New Roman" w:hAnsi="Times New Roman" w:cs="Times New Roman"/>
          <w:sz w:val="24"/>
          <w:szCs w:val="24"/>
        </w:rPr>
        <w:br/>
        <w:t xml:space="preserve">A similar provision appears in article 91 of the First Protocol Additional to the Geneva Conventions, of 1977, which relates to the Fourth Geneva Convention of 1949 (which was ratified by Israel in 1951), while article 3(1) and articles 27 and 31 of the said Convention prohibit acts of violence and torture against enemy personnel. Article 75(2) of the First Protocol prohibits torture and outrages upon personal dignity (regarding the illegality of torture used during interrogation, see HCJ 5100/04, </w:t>
      </w:r>
      <w:r w:rsidRPr="00BE407E">
        <w:rPr>
          <w:rFonts w:ascii="Times New Roman" w:eastAsia="Times New Roman" w:hAnsi="Times New Roman" w:cs="Times New Roman"/>
          <w:i/>
          <w:iCs/>
          <w:sz w:val="24"/>
          <w:szCs w:val="24"/>
        </w:rPr>
        <w:t>The Public Committee Against Torture v. Government of Israel</w:t>
      </w:r>
      <w:r w:rsidRPr="00BE407E">
        <w:rPr>
          <w:rFonts w:ascii="Times New Roman" w:eastAsia="Times New Roman" w:hAnsi="Times New Roman" w:cs="Times New Roman"/>
          <w:sz w:val="24"/>
          <w:szCs w:val="24"/>
        </w:rPr>
        <w:t xml:space="preserve">, P. D. 53 (4) 817). </w:t>
      </w:r>
      <w:r w:rsidRPr="00BE407E">
        <w:rPr>
          <w:rFonts w:ascii="Times New Roman" w:eastAsia="Times New Roman" w:hAnsi="Times New Roman" w:cs="Times New Roman"/>
          <w:sz w:val="24"/>
          <w:szCs w:val="24"/>
        </w:rPr>
        <w:br/>
        <w:t xml:space="preserve">Article 8 of the Universal Declaration of Human Rights, of 1948, which prohibits, in article 5, torture and cruel, inhuman, and degrading treatment, states: “Everyone has the right to an effective remedy by the competent national tribunals for acts violating the fundamental rights granted him by the constitute or by law” (see Y. Dinstein, </w:t>
      </w:r>
      <w:r w:rsidRPr="00BE407E">
        <w:rPr>
          <w:rFonts w:ascii="Times New Roman" w:eastAsia="Times New Roman" w:hAnsi="Times New Roman" w:cs="Times New Roman"/>
          <w:i/>
          <w:iCs/>
          <w:sz w:val="24"/>
          <w:szCs w:val="24"/>
        </w:rPr>
        <w:t>Non-State International Law</w:t>
      </w:r>
      <w:r w:rsidRPr="00BE407E">
        <w:rPr>
          <w:rFonts w:ascii="Times New Roman" w:eastAsia="Times New Roman" w:hAnsi="Times New Roman" w:cs="Times New Roman"/>
          <w:sz w:val="24"/>
          <w:szCs w:val="24"/>
        </w:rPr>
        <w:t xml:space="preserve"> (1979) 196–197). The Universal Declaration, supra, is recognized in Israel as part of binding customary law (see HCJ 103/67, </w:t>
      </w:r>
      <w:r w:rsidRPr="00BE407E">
        <w:rPr>
          <w:rFonts w:ascii="Times New Roman" w:eastAsia="Times New Roman" w:hAnsi="Times New Roman" w:cs="Times New Roman"/>
          <w:i/>
          <w:iCs/>
          <w:sz w:val="24"/>
          <w:szCs w:val="24"/>
        </w:rPr>
        <w:t>The American-European Beth-El Mission v. Minister of Welfare</w:t>
      </w:r>
      <w:r w:rsidRPr="00BE407E">
        <w:rPr>
          <w:rFonts w:ascii="Times New Roman" w:eastAsia="Times New Roman" w:hAnsi="Times New Roman" w:cs="Times New Roman"/>
          <w:sz w:val="24"/>
          <w:szCs w:val="24"/>
        </w:rPr>
        <w:t xml:space="preserve">, P. D. 21 (2) 325, 333). </w:t>
      </w:r>
      <w:r w:rsidRPr="00BE407E">
        <w:rPr>
          <w:rFonts w:ascii="Times New Roman" w:eastAsia="Times New Roman" w:hAnsi="Times New Roman" w:cs="Times New Roman"/>
          <w:sz w:val="24"/>
          <w:szCs w:val="24"/>
        </w:rPr>
        <w:br/>
        <w:t xml:space="preserve">The prohibition on torture appears also in article 7 of the International Covenant on Civil and Political rights, of 1966, which was ratified by Israel (31 Treaty Instruments 1040, p. 169), and is also recognized in Israel as part of international customary law (see HCJ 103/67, </w:t>
      </w:r>
      <w:r w:rsidRPr="00BE407E">
        <w:rPr>
          <w:rFonts w:ascii="Times New Roman" w:eastAsia="Times New Roman" w:hAnsi="Times New Roman" w:cs="Times New Roman"/>
          <w:i/>
          <w:iCs/>
          <w:sz w:val="24"/>
          <w:szCs w:val="24"/>
        </w:rPr>
        <w:t>The American-European Beth-El Mission</w:t>
      </w:r>
      <w:r w:rsidRPr="00BE407E">
        <w:rPr>
          <w:rFonts w:ascii="Times New Roman" w:eastAsia="Times New Roman" w:hAnsi="Times New Roman" w:cs="Times New Roman"/>
          <w:sz w:val="24"/>
          <w:szCs w:val="24"/>
        </w:rPr>
        <w:t>, supra, 325). Article 3 of the Covenant states: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Each State Party to the present Covenant undertakes: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UN Human Rights Committee stated, in section 16 of its report of 29 April 2004 regarding the obligation of states to provide a remedy where rights protected in the Covenant on Civil and Political Rights are violated, that the states must grant suitable compensation and also must prosecute the persons responsible for violation of the rights. However, section 10 of the Committee’s report indicates that the aforesaid right of states who are party to the Covenant is limited to persons found in the jurisdiction of the state, or in areas under the state’s effective control, which is not the situation in our case. Section 10 states: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States Parties are required by article 2, paragraph 1, to respect and to ensure the Covenant rights to all persons who may be within their territory and to all persons subject to their jurisdiction. This means that a State party must respect and ensure the rights laid down in the Covenant to anyone within the power or effective control of that State Party even if not situated within the territory of the State Party. As indicated in General comment 15 adopted at the twenty-seventh session (1986), the enjoyment of Covenant rights is not limited to citizens of States Parties but must also be available to all individuals, regardless of nationality or statelessness, such as asylum seekers, refugees, migrant workers and other persons, who may find themselves in the territory or subject to the jurisdiction of the State Party. This principle also applies to those within the power or effective control of the forces of a State Party acting outside its territory, regardless of the circumstances in which such power of effective control was obtained, such as forces constituting a national contingent of a State Party assigned to an international peace-keeping or peace-enforcement operation.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44. As stated by Dinstein in his treatise </w:t>
      </w:r>
      <w:r w:rsidRPr="00BE407E">
        <w:rPr>
          <w:rFonts w:ascii="Times New Roman" w:eastAsia="Times New Roman" w:hAnsi="Times New Roman" w:cs="Times New Roman"/>
          <w:i/>
          <w:iCs/>
          <w:sz w:val="24"/>
          <w:szCs w:val="24"/>
        </w:rPr>
        <w:t>Laws of War</w:t>
      </w:r>
      <w:r w:rsidRPr="00BE407E">
        <w:rPr>
          <w:rFonts w:ascii="Times New Roman" w:eastAsia="Times New Roman" w:hAnsi="Times New Roman" w:cs="Times New Roman"/>
          <w:sz w:val="24"/>
          <w:szCs w:val="24"/>
        </w:rPr>
        <w:t xml:space="preserve"> (at p. 267): “The principle of compensation may be viewed as relating to breach of any of the laws of war.” However, Prof. Dinstein also states in this context (at p. 268): “In practice, it is necessary, however, to take into account that so long as war is being conducted, there is no practical opportunity to investigate international monetary claims between the hostile sides.” In other words, the conventions state the right of a person injured by enemy forces to sue for compensation for violation of his rights protected in a convention, but this does not mean that he may do so prior to the end of the state of war.</w:t>
      </w:r>
      <w:r w:rsidRPr="00BE407E">
        <w:rPr>
          <w:rFonts w:ascii="Times New Roman" w:eastAsia="Times New Roman" w:hAnsi="Times New Roman" w:cs="Times New Roman"/>
          <w:sz w:val="24"/>
          <w:szCs w:val="24"/>
        </w:rPr>
        <w:br/>
        <w:t>Furthermore, not all the provisions of international law specified above necessarily reflect international customary law. With respect to those that reflect international customary law, they cannot prevail over Israel[i] domestic law. Israel is obliged, in accord with the conventions to which it is party, to enable a person whose protected rights are violated to sue for compensation for their violation. However, this right is not available to a resident of an enemy state if, under Israeli domestic law, he is denied that right. In addition, as stated above, international law itself recognizes the right of a state to prohibit transmission of property or money to a resident of an enemy state, as the Trading with the Enemy Ordinance, of 1939, provides. Therefore, even if the plaintiff is entitled to continue to conduct his claim for compensation, he will not be entitled to receive the compensation award as long as the state of war with Lebanon continues; rather, receipt of the award is subject to the provisions of the Trading with the Enemy Ordinance.</w:t>
      </w:r>
      <w:r w:rsidRPr="00BE407E">
        <w:rPr>
          <w:rFonts w:ascii="Times New Roman" w:eastAsia="Times New Roman" w:hAnsi="Times New Roman" w:cs="Times New Roman"/>
          <w:sz w:val="24"/>
          <w:szCs w:val="24"/>
        </w:rPr>
        <w:br/>
        <w:t>The question of filing of a civil suit by an “enemy” is a special question, which the general provisions of international conventions are not necessarily intended to regulate. Anglo-American law denies a resident of an enemy state the right to file a civil suit while a state of war exists, and it does not appear that the conventions that regulate in a general manner the protection of human rights intended to nullify this domestic law. As explained above, there is support for the opinion that this rule of Anglo-American law does not contradict international law (see sections 28 and 31 above). It may be that international customary law, and not only treaty-based law, requires all states to enable a person whose fundamental rights have been violated to sue and receive a remedy for that violation. But the question if this rule applies also to an “enemy” or a member of a terrorist organization operating against the state in which his rights were violated has not been resolved in international treaty-based or customary law. This is the question that is to be decided in this application, and its resolution is determined by Israeli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56. Taking into account all of the above, it appears to me that, in the present case, the </w:t>
      </w:r>
      <w:r w:rsidRPr="00BE407E">
        <w:rPr>
          <w:rFonts w:ascii="Times New Roman" w:eastAsia="Times New Roman" w:hAnsi="Times New Roman" w:cs="Times New Roman"/>
          <w:sz w:val="24"/>
          <w:szCs w:val="24"/>
        </w:rPr>
        <w:lastRenderedPageBreak/>
        <w:t>proper balance between violation of fundamental rights protected in the Basic Law: Human Dignity and Liberty and the goal of preventing assistance to the enemy will be achieved by means of the arrangement established in the Trading with the Enemy Ordinance. This ordinance prevents – on the one hand – transmission of money awarded to a resident of an enemy state during the time of a state of war and – on the other hand – creates a mechanism for protecting the assets of a resident of an enemy state until the end of the state of war. This mechanism will achieve in the present case the proper objective of preventing assistance to the enemy, and it does not necessarily violate the residents of the enemy state’s right of access to courts of law, which is a fundamental right of the first degree, there being no provision of Israeli law, by statute or in the common law, that denies this right. It should be mentioned that Canadian courts have also taken the middle road in problematic cases, enabling the resident of an enemy state to continue the civil action he filed, but ordering that the money that might be awarded him are not to be handed over until the war ends (see section 33 above).</w:t>
      </w:r>
      <w:r>
        <w:rPr>
          <w:rFonts w:ascii="Times New Roman" w:eastAsia="Times New Roman" w:hAnsi="Times New Roman" w:cs="Times New Roman"/>
          <w:noProof/>
          <w:sz w:val="24"/>
          <w:szCs w:val="24"/>
        </w:rPr>
        <w:drawing>
          <wp:inline distT="0" distB="0" distL="0" distR="0">
            <wp:extent cx="151130" cy="142875"/>
            <wp:effectExtent l="19050" t="0" r="1270" b="0"/>
            <wp:docPr id="3057" name="Imagen 30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the </w:t>
      </w:r>
      <w:r w:rsidRPr="00BE407E">
        <w:rPr>
          <w:rFonts w:ascii="Times New Roman" w:eastAsia="Times New Roman" w:hAnsi="Times New Roman" w:cs="Times New Roman"/>
          <w:i/>
          <w:iCs/>
          <w:sz w:val="24"/>
          <w:szCs w:val="24"/>
        </w:rPr>
        <w:t xml:space="preserve">Adalah v. Government of Israel case </w:t>
      </w:r>
      <w:r w:rsidRPr="00BE407E">
        <w:rPr>
          <w:rFonts w:ascii="Times New Roman" w:eastAsia="Times New Roman" w:hAnsi="Times New Roman" w:cs="Times New Roman"/>
          <w:sz w:val="24"/>
          <w:szCs w:val="24"/>
        </w:rPr>
        <w:t>in 2006, Israel’s High Court of Justice stated:</w:t>
      </w:r>
      <w:r w:rsidRPr="00BE407E">
        <w:rPr>
          <w:rFonts w:ascii="Times New Roman" w:eastAsia="Times New Roman" w:hAnsi="Times New Roman" w:cs="Times New Roman"/>
          <w:sz w:val="24"/>
          <w:szCs w:val="24"/>
        </w:rPr>
        <w:br/>
        <w:t xml:space="preserve">Section 5C of Amendment No. 7 negates the tort liability of the State for every tort claim that was filed relating to an incident that took place in a “zone of conflict.” The State’s response indicates that, following enactment of Amendment No. 7, extensive areas in Judea, Samaria, and the Gaza Strip were declared zones of conflict, and for prolonged periods of time. The region was divided into a number of large areas. Sometimes, one area encompasses whole cities or a number of villages and communities. According to the criteria established in this matter, a terrorist act occurring in one place inside a certain area is sufficient to declare the whole area a zone of conflict, and this for a number of days. In these circumstances, the infringement of human rights resulting from negating State liability under section 5C is great. We must remember that the territory of Judea and Samaria, and until August 2005 also the territory of the Gaza Strip, have been under belligerent occupation for close to forty years. In this framework, Israeli security forces remain in the region permanently and in large numbers. Residents of the region come in close, regular, daily contact with them in their coming and going, on their way to work and school, at inspection points at checkpoints inside the region and at crossing to and from Israel. Security forces maintain a permanent and continuing presence in the region. They are spread out and act in the region both in combat missions and in policing actions; both in areas in which there is hostile terrorist activity, and in quiet areas; both in times of conflict and in times of relative calm. In these circumstances, sweeping immunity of this kind given to the state under section 5C of Amendment No. 7 is the equivalent of a grant of exemption to the State from tort liability in broad areas of action that are not war actions also under the broad definition of that expression. It would leave many injured persons, who are not involved in any hostile activity whatsoever, and who are not injured incidental to actions of security forces intended to cope with hostile activity, without relief for injury to their life, body, and property. This sweeping infringement of rights is not necessary to achieve the purposes underlying section 5C of Amendment No. 7. Negation of State liability given in section 5C does not “adapt the tort law to the war situation.” It removes from the application of the tort law many actions that are not war actions. It is not consistent with the obligation of Israel, as the holder of Judea, Samaria, and the Gaza Strip in belligerent occupation. This occupation imposes on the State special obligations under international humanitarian law, which are not consistent with sweeping release from all tort liability. We do not take any position – because the matter did not arise before us – with respect to changes that may result from the Oslo </w:t>
      </w:r>
      <w:r w:rsidRPr="00BE407E">
        <w:rPr>
          <w:rFonts w:ascii="Times New Roman" w:eastAsia="Times New Roman" w:hAnsi="Times New Roman" w:cs="Times New Roman"/>
          <w:sz w:val="24"/>
          <w:szCs w:val="24"/>
        </w:rPr>
        <w:lastRenderedPageBreak/>
        <w:t xml:space="preserve">agreements (see </w:t>
      </w:r>
      <w:r w:rsidRPr="00BE407E">
        <w:rPr>
          <w:rFonts w:ascii="Times New Roman" w:eastAsia="Times New Roman" w:hAnsi="Times New Roman" w:cs="Times New Roman"/>
          <w:i/>
          <w:iCs/>
          <w:sz w:val="24"/>
          <w:szCs w:val="24"/>
        </w:rPr>
        <w:t>Gaza Coast Regional Council</w:t>
      </w:r>
      <w:r w:rsidRPr="00BE407E">
        <w:rPr>
          <w:rFonts w:ascii="Times New Roman" w:eastAsia="Times New Roman" w:hAnsi="Times New Roman" w:cs="Times New Roman"/>
          <w:sz w:val="24"/>
          <w:szCs w:val="24"/>
        </w:rPr>
        <w:t xml:space="preserve">, pp. 523–524; HCJ 7015/02, </w:t>
      </w:r>
      <w:r w:rsidRPr="00BE407E">
        <w:rPr>
          <w:rFonts w:ascii="Times New Roman" w:eastAsia="Times New Roman" w:hAnsi="Times New Roman" w:cs="Times New Roman"/>
          <w:i/>
          <w:iCs/>
          <w:sz w:val="24"/>
          <w:szCs w:val="24"/>
        </w:rPr>
        <w:t>Ajuri v. Commander of IDF Forces in the West Bank</w:t>
      </w:r>
      <w:r w:rsidRPr="00BE407E">
        <w:rPr>
          <w:rFonts w:ascii="Times New Roman" w:eastAsia="Times New Roman" w:hAnsi="Times New Roman" w:cs="Times New Roman"/>
          <w:sz w:val="24"/>
          <w:szCs w:val="24"/>
        </w:rPr>
        <w:t>, P. D. 56 (6) 352, 364). Of course, we do not make any determination regarding the legal status of the Gaza Strip following the disengagement. Even if Israel’s belligerent occupation ended as the State argues, there is no justification in sweeping release from tort liability.</w:t>
      </w:r>
      <w:r>
        <w:rPr>
          <w:rFonts w:ascii="Times New Roman" w:eastAsia="Times New Roman" w:hAnsi="Times New Roman" w:cs="Times New Roman"/>
          <w:noProof/>
          <w:sz w:val="24"/>
          <w:szCs w:val="24"/>
        </w:rPr>
        <w:drawing>
          <wp:inline distT="0" distB="0" distL="0" distR="0">
            <wp:extent cx="151130" cy="142875"/>
            <wp:effectExtent l="19050" t="0" r="1270" b="0"/>
            <wp:docPr id="3058" name="Imagen 30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the </w:t>
      </w:r>
      <w:r w:rsidRPr="00BE407E">
        <w:rPr>
          <w:rFonts w:ascii="Times New Roman" w:eastAsia="Times New Roman" w:hAnsi="Times New Roman" w:cs="Times New Roman"/>
          <w:i/>
          <w:iCs/>
          <w:sz w:val="24"/>
          <w:szCs w:val="24"/>
        </w:rPr>
        <w:t>A. v. State of Israel case (No 3)</w:t>
      </w:r>
      <w:r w:rsidRPr="00BE407E">
        <w:rPr>
          <w:rFonts w:ascii="Times New Roman" w:eastAsia="Times New Roman" w:hAnsi="Times New Roman" w:cs="Times New Roman"/>
          <w:sz w:val="24"/>
          <w:szCs w:val="24"/>
        </w:rPr>
        <w:t>, in 2009, which addressed the question of whether targeted killings constitute “wartime action” that is exempt from tort liability under Israeli law, the Haifa District Court stated:</w:t>
      </w:r>
      <w:r w:rsidRPr="00BE407E">
        <w:rPr>
          <w:rFonts w:ascii="Times New Roman" w:eastAsia="Times New Roman" w:hAnsi="Times New Roman" w:cs="Times New Roman"/>
          <w:sz w:val="24"/>
          <w:szCs w:val="24"/>
        </w:rPr>
        <w:br/>
        <w:t xml:space="preserve">When a certain action comes within the definition of “wartime action,” the state is granted an exemption from tort liability for any damages resulting from the incident, inasmuch as the Civil Wrongs Law [Liability of the State Law, 5712 (1952)] exempts the state, in section 5, from liability for damages caused as a result of an act performed through a “wartime action” of the IDF [Israel Defense Forces]. An understanding of the foundation of the exemption indicates that the ordinary tort laws, which deal with the apportionment of risks for actions that harm the daily lives of a person in his state, are not the appropriate laws for arranging the special and atypical risks resulting from a situation of wartime actions (see C.A. 5964/92, </w:t>
      </w:r>
      <w:r w:rsidRPr="00BE407E">
        <w:rPr>
          <w:rFonts w:ascii="Times New Roman" w:eastAsia="Times New Roman" w:hAnsi="Times New Roman" w:cs="Times New Roman"/>
          <w:i/>
          <w:iCs/>
          <w:sz w:val="24"/>
          <w:szCs w:val="24"/>
        </w:rPr>
        <w:t xml:space="preserve">Bani Odeh v. State of Israel </w:t>
      </w:r>
      <w:r w:rsidRPr="00BE407E">
        <w:rPr>
          <w:rFonts w:ascii="Times New Roman" w:eastAsia="Times New Roman" w:hAnsi="Times New Roman" w:cs="Times New Roman"/>
          <w:sz w:val="24"/>
          <w:szCs w:val="24"/>
        </w:rPr>
        <w:t>[2002],</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P. D. 56 (4) 1).</w:t>
      </w:r>
      <w:r>
        <w:rPr>
          <w:rFonts w:ascii="Times New Roman" w:eastAsia="Times New Roman" w:hAnsi="Times New Roman" w:cs="Times New Roman"/>
          <w:noProof/>
          <w:sz w:val="24"/>
          <w:szCs w:val="24"/>
        </w:rPr>
        <w:drawing>
          <wp:inline distT="0" distB="0" distL="0" distR="0">
            <wp:extent cx="151130" cy="142875"/>
            <wp:effectExtent l="19050" t="0" r="1270" b="0"/>
            <wp:docPr id="3059" name="Imagen 30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Italy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decision in the </w:t>
      </w:r>
      <w:r w:rsidRPr="00BE407E">
        <w:rPr>
          <w:rFonts w:ascii="Times New Roman" w:eastAsia="Times New Roman" w:hAnsi="Times New Roman" w:cs="Times New Roman"/>
          <w:i/>
          <w:iCs/>
          <w:sz w:val="24"/>
          <w:szCs w:val="24"/>
        </w:rPr>
        <w:t xml:space="preserve">Markovic case </w:t>
      </w:r>
      <w:r w:rsidRPr="00BE407E">
        <w:rPr>
          <w:rFonts w:ascii="Times New Roman" w:eastAsia="Times New Roman" w:hAnsi="Times New Roman" w:cs="Times New Roman"/>
          <w:sz w:val="24"/>
          <w:szCs w:val="24"/>
        </w:rPr>
        <w:t>in 2002, Italy’s Supreme Court of Cassation stated:</w:t>
      </w:r>
      <w:r w:rsidRPr="00BE407E">
        <w:rPr>
          <w:rFonts w:ascii="Times New Roman" w:eastAsia="Times New Roman" w:hAnsi="Times New Roman" w:cs="Times New Roman"/>
          <w:sz w:val="24"/>
          <w:szCs w:val="24"/>
        </w:rPr>
        <w:br/>
        <w:t>The provisions of the Geneva Protocol of 1977 (Articles 35(2), 48, 49, 51, 52 and 57) and of the European Convention on Human Rights (Articles 2 and 15(2)), which govern the conduct of hostilities, are certainly concerned with the protection of civilians in the case of an attack, but as provisions of international law they govern relations between States. The same treaties lay down the procedures for ascertaining violations, providing for sanctions in the event of responsibility (Article 91 of the Protocol; Article 41 of the Convention), and designate which international courts have competence to enforce it.</w:t>
      </w:r>
      <w:r w:rsidRPr="00BE407E">
        <w:rPr>
          <w:rFonts w:ascii="Times New Roman" w:eastAsia="Times New Roman" w:hAnsi="Times New Roman" w:cs="Times New Roman"/>
          <w:sz w:val="24"/>
          <w:szCs w:val="24"/>
        </w:rPr>
        <w:br/>
        <w:t>On the other hand, the laws which have incorporated the above in the Italian legal order contain no express provisions that permit injured persons to seek reparation for the damage done to them by the violation of international rules from the State.</w:t>
      </w:r>
      <w:r>
        <w:rPr>
          <w:rFonts w:ascii="Times New Roman" w:eastAsia="Times New Roman" w:hAnsi="Times New Roman" w:cs="Times New Roman"/>
          <w:noProof/>
          <w:sz w:val="24"/>
          <w:szCs w:val="24"/>
        </w:rPr>
        <w:drawing>
          <wp:inline distT="0" distB="0" distL="0" distR="0">
            <wp:extent cx="151130" cy="142875"/>
            <wp:effectExtent l="19050" t="0" r="1270" b="0"/>
            <wp:docPr id="3060" name="Imagen 30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Japan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Shimoda</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case</w:t>
      </w:r>
      <w:r w:rsidRPr="00BE407E">
        <w:rPr>
          <w:rFonts w:ascii="Times New Roman" w:eastAsia="Times New Roman" w:hAnsi="Times New Roman" w:cs="Times New Roman"/>
          <w:sz w:val="24"/>
          <w:szCs w:val="24"/>
        </w:rPr>
        <w:t xml:space="preserve"> in 1963, the first case in which compensation was sought in Japan for violations of the laws of war, the plaintiffs, residents of Hiroshima and Nagasaki in 1945, brought proceedings against the Japanese government on the ground that, by signing the 1951 Peace Treaty with the Allies, it had waived their right to seek compensation from the United States for its use of atomic bombs in violation of the laws of war. The plaintiffs argued,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that the government’s waiver of their claims obliged the government to pay them compensation itself. The Tokyo District Court ruled that, even though the aerial bombardment was an illegal act of war, individuals could be considered the subjects of rights under international law only in so far as they had been recognized as such in specific instances, such as, for example, in cases of mixed arbitral tribunals. In light of this determination, the Court concluded: “There is in general no way open to an individual who suffers injuries from an act of hostilities contrary to international law to claim damages on the level of international law, except for the cases mentioned above.” The Court went on to consider the question of whether the plaintiffs could seek redress before the municipal courts of either of the belligerent parties and concluded that considerations of sovereign immunity precluded proceedings against the United States either before Japanese or US courts.</w:t>
      </w:r>
      <w:r>
        <w:rPr>
          <w:rFonts w:ascii="Times New Roman" w:eastAsia="Times New Roman" w:hAnsi="Times New Roman" w:cs="Times New Roman"/>
          <w:noProof/>
          <w:sz w:val="24"/>
          <w:szCs w:val="24"/>
        </w:rPr>
        <w:drawing>
          <wp:inline distT="0" distB="0" distL="0" distR="0">
            <wp:extent cx="151130" cy="142875"/>
            <wp:effectExtent l="19050" t="0" r="1270" b="0"/>
            <wp:docPr id="3061" name="Imagen 30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Siberian Detainees case</w:t>
      </w:r>
      <w:r w:rsidRPr="00BE407E">
        <w:rPr>
          <w:rFonts w:ascii="Times New Roman" w:eastAsia="Times New Roman" w:hAnsi="Times New Roman" w:cs="Times New Roman"/>
          <w:sz w:val="24"/>
          <w:szCs w:val="24"/>
        </w:rPr>
        <w:t xml:space="preserve"> in 1989, Japan’s Tokyo District Court dismissed claims of former soldiers and civilian employees who had been detained and put into </w:t>
      </w:r>
      <w:r w:rsidRPr="00BE407E">
        <w:rPr>
          <w:rFonts w:ascii="Times New Roman" w:eastAsia="Times New Roman" w:hAnsi="Times New Roman" w:cs="Times New Roman"/>
          <w:sz w:val="24"/>
          <w:szCs w:val="24"/>
        </w:rPr>
        <w:lastRenderedPageBreak/>
        <w:t>involuntary labour in Siberia for a long time after the end of the Second World War. The claimants were seeking compensation for their labour from Japan as “power on which prisoners of war depend” on the basis of the Geneva Conventions and customary international law, but the Court dismissed the case for a lack of standing.</w:t>
      </w:r>
      <w:r>
        <w:rPr>
          <w:rFonts w:ascii="Times New Roman" w:eastAsia="Times New Roman" w:hAnsi="Times New Roman" w:cs="Times New Roman"/>
          <w:noProof/>
          <w:sz w:val="24"/>
          <w:szCs w:val="24"/>
        </w:rPr>
        <w:drawing>
          <wp:inline distT="0" distB="0" distL="0" distR="0">
            <wp:extent cx="151130" cy="142875"/>
            <wp:effectExtent l="19050" t="0" r="1270" b="0"/>
            <wp:docPr id="3062" name="Imagen 30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Apology for the Kamishisuka Slaughter of Koreans case</w:t>
      </w:r>
      <w:r w:rsidRPr="00BE407E">
        <w:rPr>
          <w:rFonts w:ascii="Times New Roman" w:eastAsia="Times New Roman" w:hAnsi="Times New Roman" w:cs="Times New Roman"/>
          <w:sz w:val="24"/>
          <w:szCs w:val="24"/>
        </w:rPr>
        <w:t xml:space="preserve"> before Japan’s Tokyo District Court in 1996, three Korean plaintiffs claimed compensation for the arrest and execution of their father and brother by the Japanese military police on charges of spying in August 1945. They argued that, as the employer of the military police, Japan was under a duty to provide compensation. The claim was based on the Japanese Civil Code and international law. The Court found that:</w:t>
      </w:r>
      <w:r w:rsidRPr="00BE407E">
        <w:rPr>
          <w:rFonts w:ascii="Times New Roman" w:eastAsia="Times New Roman" w:hAnsi="Times New Roman" w:cs="Times New Roman"/>
          <w:sz w:val="24"/>
          <w:szCs w:val="24"/>
        </w:rPr>
        <w:br/>
        <w:t>Regarding the existence of international customary law as alleged by the plaintiffs, neither the general practice nor the conviction (</w:t>
      </w:r>
      <w:r w:rsidRPr="00BE407E">
        <w:rPr>
          <w:rFonts w:ascii="Times New Roman" w:eastAsia="Times New Roman" w:hAnsi="Times New Roman" w:cs="Times New Roman"/>
          <w:i/>
          <w:iCs/>
          <w:sz w:val="24"/>
          <w:szCs w:val="24"/>
        </w:rPr>
        <w:t>opinio juris</w:t>
      </w:r>
      <w:r w:rsidRPr="00BE407E">
        <w:rPr>
          <w:rFonts w:ascii="Times New Roman" w:eastAsia="Times New Roman" w:hAnsi="Times New Roman" w:cs="Times New Roman"/>
          <w:sz w:val="24"/>
          <w:szCs w:val="24"/>
        </w:rPr>
        <w:t>) that the state has a duty to pay damages to each individual when that state infringes its obligations under international human rights law or international humanitarian law can be said to exist. As international customary law as alleged by the plaintiffs cannot be determined, therefore, the plaintiffs’ claim based on international law is also without grounds.</w:t>
      </w:r>
      <w:r>
        <w:rPr>
          <w:rFonts w:ascii="Times New Roman" w:eastAsia="Times New Roman" w:hAnsi="Times New Roman" w:cs="Times New Roman"/>
          <w:noProof/>
          <w:sz w:val="24"/>
          <w:szCs w:val="24"/>
        </w:rPr>
        <w:drawing>
          <wp:inline distT="0" distB="0" distL="0" distR="0">
            <wp:extent cx="151130" cy="142875"/>
            <wp:effectExtent l="19050" t="0" r="1270" b="0"/>
            <wp:docPr id="3063" name="Imagen 30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When the incident occurred, there was no evidence of any general practice, nor the existence of </w:t>
      </w:r>
      <w:r w:rsidRPr="00BE407E">
        <w:rPr>
          <w:rFonts w:ascii="Times New Roman" w:eastAsia="Times New Roman" w:hAnsi="Times New Roman" w:cs="Times New Roman"/>
          <w:i/>
          <w:iCs/>
          <w:sz w:val="24"/>
          <w:szCs w:val="24"/>
        </w:rPr>
        <w:t>opinio</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juris</w:t>
      </w:r>
      <w:r w:rsidRPr="00BE407E">
        <w:rPr>
          <w:rFonts w:ascii="Times New Roman" w:eastAsia="Times New Roman" w:hAnsi="Times New Roman" w:cs="Times New Roman"/>
          <w:sz w:val="24"/>
          <w:szCs w:val="24"/>
        </w:rPr>
        <w:t xml:space="preserve"> that when a State acts in violation of the obligation of international human rights law or international humanitarian law, that State has the responsibility of compensating for damages any individual who was a victim.</w:t>
      </w:r>
      <w:r w:rsidRPr="00BE407E">
        <w:rPr>
          <w:rFonts w:ascii="Times New Roman" w:eastAsia="Times New Roman" w:hAnsi="Times New Roman" w:cs="Times New Roman"/>
          <w:sz w:val="24"/>
          <w:szCs w:val="24"/>
        </w:rPr>
        <w:br/>
        <w:t>Therefore, the international customary law against which the appellants claim did not exist at the time of the incident, and there are no grounds for the allegation of the appellants based upon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064" name="Imagen 30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1998, Japan’s Tokyo District Court considered three further cases in which groups of individuals sought compensation from the government of Japan for violations of IHL: the </w:t>
      </w:r>
      <w:r w:rsidRPr="00BE407E">
        <w:rPr>
          <w:rFonts w:ascii="Times New Roman" w:eastAsia="Times New Roman" w:hAnsi="Times New Roman" w:cs="Times New Roman"/>
          <w:i/>
          <w:iCs/>
          <w:sz w:val="24"/>
          <w:szCs w:val="24"/>
        </w:rPr>
        <w:t>Ex-Allied Nationals Claims case</w:t>
      </w:r>
      <w:r w:rsidRPr="00BE407E">
        <w:rPr>
          <w:rFonts w:ascii="Times New Roman" w:eastAsia="Times New Roman" w:hAnsi="Times New Roman" w:cs="Times New Roman"/>
          <w:sz w:val="24"/>
          <w:szCs w:val="24"/>
        </w:rPr>
        <w:t xml:space="preserve">, the </w:t>
      </w:r>
      <w:r w:rsidRPr="00BE407E">
        <w:rPr>
          <w:rFonts w:ascii="Times New Roman" w:eastAsia="Times New Roman" w:hAnsi="Times New Roman" w:cs="Times New Roman"/>
          <w:i/>
          <w:iCs/>
          <w:sz w:val="24"/>
          <w:szCs w:val="24"/>
        </w:rPr>
        <w:t>Dutch Nationals Claims case</w:t>
      </w:r>
      <w:r w:rsidRPr="00BE407E">
        <w:rPr>
          <w:rFonts w:ascii="Times New Roman" w:eastAsia="Times New Roman" w:hAnsi="Times New Roman" w:cs="Times New Roman"/>
          <w:sz w:val="24"/>
          <w:szCs w:val="24"/>
        </w:rPr>
        <w:t xml:space="preserve"> and the </w:t>
      </w:r>
      <w:r w:rsidRPr="00BE407E">
        <w:rPr>
          <w:rFonts w:ascii="Times New Roman" w:eastAsia="Times New Roman" w:hAnsi="Times New Roman" w:cs="Times New Roman"/>
          <w:i/>
          <w:iCs/>
          <w:sz w:val="24"/>
          <w:szCs w:val="24"/>
        </w:rPr>
        <w:t>Filipino “Comfort Women” Claims case</w:t>
      </w:r>
      <w:r w:rsidRPr="00BE407E">
        <w:rPr>
          <w:rFonts w:ascii="Times New Roman" w:eastAsia="Times New Roman" w:hAnsi="Times New Roman" w:cs="Times New Roman"/>
          <w:sz w:val="24"/>
          <w:szCs w:val="24"/>
        </w:rPr>
        <w:t>. The first two cases dealt with claims of former POWs and civilian internees, the third with claims of Filipino women who were allegedly assaulted, confined and raped as “comfort women” during the Japanese occupation of the Philippines during the Second World War. The cases were based principally on Article 3 of the 1907 Hague Convention (IV) and customary international law. The Court dismissed all three cases for lack of standing by the individuals. The Court reviewed the precise wording of Article 3 of the 1907 Hague Convention (IV) and concluded that it did not specify the methods for enforcing liability for violations nor provided that individuals had a right to claim compensation against a State in national courts. Having reached this conclusion on the basis of the language of Article 3 of the 1907 Hague Convention (IV), the Court pointed out that international law only exceptionally recognized the right of individuals to enforce their rights under international law directly and that usually this had to be done by their State of nationality by means of diplomatic protection. The Court confirmed this conclusion by a review of the drafting history of Article 3 of the 1907 Hague Convention (IV) and of its application by other States, and concluded that Article 3 could not be interpreted so as to provide a right to individuals who had suffered damages because of violations of the laws of war to bring direct claims for compensation against the violating State in domestic courts.</w:t>
      </w:r>
      <w:r>
        <w:rPr>
          <w:rFonts w:ascii="Times New Roman" w:eastAsia="Times New Roman" w:hAnsi="Times New Roman" w:cs="Times New Roman"/>
          <w:noProof/>
          <w:sz w:val="24"/>
          <w:szCs w:val="24"/>
        </w:rPr>
        <w:drawing>
          <wp:inline distT="0" distB="0" distL="0" distR="0">
            <wp:extent cx="151130" cy="142875"/>
            <wp:effectExtent l="19050" t="0" r="1270" b="0"/>
            <wp:docPr id="3065" name="Imagen 30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To summarize, according to the ordinary meaning to be given to the terms in their context, Article 3 of the Hague Convention cannot be understood as a clause that entitles individual victims to bring a claim for compensation directly against a wrongdoing State. Accordingly, it is impossible to recognize that the article is a codification of a rule of customary international law.</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Consequently, throughout its close examination of texts and the drafting process of Article 3 of the Hague Convention, the Court has been unable to recognize the alleged rule of customary international law that provides individual residents in an occupied territory the right to claim compensation directly against the occupying State for damages resulting from a violation of the Hague Regulations committed by members of the occupying forces.</w:t>
      </w:r>
      <w:r w:rsidRPr="00BE407E">
        <w:rPr>
          <w:rFonts w:ascii="Times New Roman" w:eastAsia="Times New Roman" w:hAnsi="Times New Roman" w:cs="Times New Roman"/>
          <w:sz w:val="24"/>
          <w:szCs w:val="24"/>
        </w:rPr>
        <w:br/>
        <w:t>In addition, throughout its careful survey of all records of the case, the Court was unable to find any rule of customary international law apart from Article 3 of the Hague Convention that provides the principle mentioned above.</w:t>
      </w:r>
      <w:r>
        <w:rPr>
          <w:rFonts w:ascii="Times New Roman" w:eastAsia="Times New Roman" w:hAnsi="Times New Roman" w:cs="Times New Roman"/>
          <w:noProof/>
          <w:sz w:val="24"/>
          <w:szCs w:val="24"/>
        </w:rPr>
        <w:drawing>
          <wp:inline distT="0" distB="0" distL="0" distR="0">
            <wp:extent cx="151130" cy="142875"/>
            <wp:effectExtent l="19050" t="0" r="1270" b="0"/>
            <wp:docPr id="3066" name="Imagen 30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Zhang Baoheng and Others case</w:t>
      </w:r>
      <w:r w:rsidRPr="00BE407E">
        <w:rPr>
          <w:rFonts w:ascii="Times New Roman" w:eastAsia="Times New Roman" w:hAnsi="Times New Roman" w:cs="Times New Roman"/>
          <w:sz w:val="24"/>
          <w:szCs w:val="24"/>
        </w:rPr>
        <w:t xml:space="preserve"> in 2002, Japan’s Fukuoka District Court awarded US$ 1.29 million to 15 Chinese men who had been forced to work in Japan during the Second World War and who had filed a lawsuit against the Japanese government and a mining company for compensation and a public apology. The Court ruled that the company should be held liable, but not the Japanese government, finding that the company and the government “jointly committed an illegal act” but that the Constitution barred the Court from ordering the government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3067" name="Imagen 30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Ko Otsu Hei Incidents case</w:t>
      </w:r>
      <w:r w:rsidRPr="00BE407E">
        <w:rPr>
          <w:rFonts w:ascii="Times New Roman" w:eastAsia="Times New Roman" w:hAnsi="Times New Roman" w:cs="Times New Roman"/>
          <w:sz w:val="24"/>
          <w:szCs w:val="24"/>
        </w:rPr>
        <w:t xml:space="preserve"> in 1998, Japan’s Yamaguchi Lower Court ordered the Japanese government to pay 300,000 yen each to three “comfort women” from the Republic of Korea for their enforced prostitution during the Second World War. It considered that the acts in question constituted severe violations of human rights and human dignity on the basis of the sex and race of the plaintiffs. As the Japanese government had been aware of the violations but had not adopted legislation to compensate the plaintiffs, it was at fault and in violation of the Constitution. The Court rejected the claim for an official apology from the Japanese government before the Japanese parliament and the UN General Assembly on the ground that it did not have jurisdiction to make such orders. Regarding the claims of Korean women who had worked as slave labourers in Japanese factories during the war, the Court found that, unlike the situation of the “comfort women”, the suffering of the forced labourers was not so great when compared to the hardships suffered by members of the civilian population generally during the war as to have required the Japanese government to adopt legislation to compensate them. The Court added that the labourers’ claim was within the scope of war reparation, responsibility for which was vested in the executive and the legislature and not the courts.</w:t>
      </w:r>
      <w:r>
        <w:rPr>
          <w:rFonts w:ascii="Times New Roman" w:eastAsia="Times New Roman" w:hAnsi="Times New Roman" w:cs="Times New Roman"/>
          <w:noProof/>
          <w:sz w:val="24"/>
          <w:szCs w:val="24"/>
        </w:rPr>
        <w:drawing>
          <wp:inline distT="0" distB="0" distL="0" distR="0">
            <wp:extent cx="151130" cy="142875"/>
            <wp:effectExtent l="19050" t="0" r="1270" b="0"/>
            <wp:docPr id="3068" name="Imagen 30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Nepal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order in the </w:t>
      </w:r>
      <w:r w:rsidRPr="00BE407E">
        <w:rPr>
          <w:rFonts w:ascii="Times New Roman" w:eastAsia="Times New Roman" w:hAnsi="Times New Roman" w:cs="Times New Roman"/>
          <w:i/>
          <w:iCs/>
          <w:sz w:val="24"/>
          <w:szCs w:val="24"/>
        </w:rPr>
        <w:t>Forced Disappearances</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case</w:t>
      </w:r>
      <w:r w:rsidRPr="00BE407E">
        <w:rPr>
          <w:rFonts w:ascii="Times New Roman" w:eastAsia="Times New Roman" w:hAnsi="Times New Roman" w:cs="Times New Roman"/>
          <w:sz w:val="24"/>
          <w:szCs w:val="24"/>
        </w:rPr>
        <w:t xml:space="preserve"> in 2007, the Supreme Court of Nepal stated:</w:t>
      </w:r>
      <w:r w:rsidRPr="00BE407E">
        <w:rPr>
          <w:rFonts w:ascii="Times New Roman" w:eastAsia="Times New Roman" w:hAnsi="Times New Roman" w:cs="Times New Roman"/>
          <w:sz w:val="24"/>
          <w:szCs w:val="24"/>
        </w:rPr>
        <w:br/>
        <w:t xml:space="preserve">Article 24(2) of the International Convention for the Protection of All Persons from Enforced Disappearances, 2006 imposes an obligation on each State Party to ensure in its legal system measures for reparation, including prompt, fair, and adequate compensation to victims of enforced disappearance. A similar provision is found in Article 19 of the Declaration to Provide Protection to All Disappeared Persons, adopted by the United Nations General Assembly in resolution No. 47/133 in 18 December 1992. The UN Working Group on Enforced or Involuntary Disappearance, in interpreting the Article, has recommended that when providing monetary compensation to victims of enforced disappearance, [factors such as] physical or mental loss, lost opportunities, loss of property, loss of income, effects on prestige or dignity, and expenditure incurred in hiring experts or legal services should be taken into consideration. </w:t>
      </w:r>
      <w:r w:rsidRPr="00BE407E">
        <w:rPr>
          <w:rFonts w:ascii="Times New Roman" w:eastAsia="Times New Roman" w:hAnsi="Times New Roman" w:cs="Times New Roman"/>
          <w:sz w:val="24"/>
          <w:szCs w:val="24"/>
        </w:rPr>
        <w:br/>
        <w:t xml:space="preserve">Article 7 of resolution No. 71 (A), passed by the 60th Meeting of the United Nations General Assembly, provides that persons who are victims of serious violations of </w:t>
      </w:r>
      <w:r w:rsidRPr="00BE407E">
        <w:rPr>
          <w:rFonts w:ascii="Times New Roman" w:eastAsia="Times New Roman" w:hAnsi="Times New Roman" w:cs="Times New Roman"/>
          <w:sz w:val="24"/>
          <w:szCs w:val="24"/>
        </w:rPr>
        <w:lastRenderedPageBreak/>
        <w:t xml:space="preserve">human rights and international humanitarian law should have equal and effective access to justice for the losses they suffered by receiving prompt, effective and adequate reparation; the Working Group has proposed that victims should have access to any available information. As Nepal is a member of the United Nations, there is no reason for her to remain indifferent towards such commitments. </w:t>
      </w:r>
      <w:r w:rsidRPr="00BE407E">
        <w:rPr>
          <w:rFonts w:ascii="Times New Roman" w:eastAsia="Times New Roman" w:hAnsi="Times New Roman" w:cs="Times New Roman"/>
          <w:sz w:val="24"/>
          <w:szCs w:val="24"/>
        </w:rPr>
        <w:br/>
        <w:t xml:space="preserve">The Human Rights Committee of the United Nations, while interpreting Articles 2 and 9 of the Covenant on Civil and Political Rights, to which Nepal is a party, has articulated that the State should, in addition to providing other remedies, provide compensation in situations of violations of the rights of persons and should adopt interim measures as immediate steps. It has been accepted that an enforced disappearance during a conflict not only affects the disappeared person, but also the families of the disappeared person. Therefore, the Committee argued that the State should provide relief and compensation to the disappeared person and his kin. </w:t>
      </w:r>
      <w:r w:rsidRPr="00BE407E">
        <w:rPr>
          <w:rFonts w:ascii="Times New Roman" w:eastAsia="Times New Roman" w:hAnsi="Times New Roman" w:cs="Times New Roman"/>
          <w:sz w:val="24"/>
          <w:szCs w:val="24"/>
        </w:rPr>
        <w:br/>
        <w:t xml:space="preserve">Thus, on the basis of the constitutional provisions of Nepal, decisions of foreign courts and regional human rights courts, international instruments concerning human rights to which Nepal is a party, and documents and proposals issued by the United Nations and the international community, it is hereby established that the State has the obligation to provide immediate relief and adequate compensation to the victims of serious violations of civil and human rights. On the grounds deliberated above, it is found that the persons stated in the petitions were disappeared during the time of the conflict and it has been established that the State has a special obligation to such persons. It is now appropriate to provide interim, immediate relief to the victims, in light of the physical and mental torture, as well as economic loss, that the families of the victims have suffered during their search and attempts to obtain justice.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Even as it is not possible to provide specific legal remedies like punishment or compensation in the situation when the true status of a detainee is not known, it is hereby ordered to provide interim relief, even in symbolic form, in light of the situation at the time of deciding this case, with the limited purpose of helping the victims’ families bear the pains suffered by them while seeking justice, on the condition that it will not affect the amount and nature of the remedy to be provided as per the law to be enacted pursuant to section (B) and any subsequent investigations.</w:t>
      </w:r>
      <w:r w:rsidRPr="00BE407E">
        <w:rPr>
          <w:rFonts w:ascii="Times New Roman" w:eastAsia="Times New Roman" w:hAnsi="Times New Roman" w:cs="Times New Roman"/>
          <w:sz w:val="24"/>
          <w:szCs w:val="24"/>
        </w:rPr>
        <w:br/>
        <w:t>The incidents of violations of the right to freedom and security of life are not matters to be merely compensated in monetary and economic terms. However, this court has, in light of the obligation of the State to provide assistance, however small, to victims, the fact that rights would be meaningless in the absence of effective remedies, and the need to respect the rights of victims’ families to seek remedies, orders the provision of immediate relief of an interim nature.</w:t>
      </w:r>
      <w:r w:rsidRPr="00BE407E">
        <w:rPr>
          <w:rFonts w:ascii="Times New Roman" w:eastAsia="Times New Roman" w:hAnsi="Times New Roman" w:cs="Times New Roman"/>
          <w:sz w:val="24"/>
          <w:szCs w:val="24"/>
        </w:rPr>
        <w:br/>
        <w:t>Therefore, this order is hereby issued to the Government of Nepal, as well as the Cabinet Secretariat pursuant to Article 100 and 107 (2) of the Interim Constitution of Nepal, 2007, to provide immediate relief of two hundred thousand rupees to the nearest claimant of Chakra Bahadur Shahi, whose death has been verified by the investigation of the DIT, constituted by the order of this court, and two hundred thousand rupees to the families of those who are declared dead; one hundred fifty thousand rupees each to Rajendra Prashad Dhakal, Bipin Bhandari and Dil Bahadur Rai, in whose cases the investigation of the DIT constituted by this court verified their arrest by the security forces, but whose status subsequently changed to disappeared; and one hundred thousand rupees each to remaining persons stated in the petitions whose status has not been clarified.</w:t>
      </w:r>
      <w:r>
        <w:rPr>
          <w:rFonts w:ascii="Times New Roman" w:eastAsia="Times New Roman" w:hAnsi="Times New Roman" w:cs="Times New Roman"/>
          <w:noProof/>
          <w:sz w:val="24"/>
          <w:szCs w:val="24"/>
        </w:rPr>
        <w:drawing>
          <wp:inline distT="0" distB="0" distL="0" distR="0">
            <wp:extent cx="151130" cy="142875"/>
            <wp:effectExtent l="19050" t="0" r="1270" b="0"/>
            <wp:docPr id="3069" name="Imagen 30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 xml:space="preserve">In 2007, in the </w:t>
      </w:r>
      <w:r w:rsidRPr="00BE407E">
        <w:rPr>
          <w:rFonts w:ascii="Times New Roman" w:eastAsia="Times New Roman" w:hAnsi="Times New Roman" w:cs="Times New Roman"/>
          <w:i/>
          <w:iCs/>
          <w:sz w:val="24"/>
          <w:szCs w:val="24"/>
        </w:rPr>
        <w:t>Chuschi case</w:t>
      </w:r>
      <w:r w:rsidRPr="00BE407E">
        <w:rPr>
          <w:rFonts w:ascii="Times New Roman" w:eastAsia="Times New Roman" w:hAnsi="Times New Roman" w:cs="Times New Roman"/>
          <w:sz w:val="24"/>
          <w:szCs w:val="24"/>
        </w:rPr>
        <w:t xml:space="preserve">, the National Criminal Chamber of Peru’s Supreme Court of Justice stated regarding the crime of enforced disappearance: </w:t>
      </w:r>
      <w:r w:rsidRPr="00BE407E">
        <w:rPr>
          <w:rFonts w:ascii="Times New Roman" w:eastAsia="Times New Roman" w:hAnsi="Times New Roman" w:cs="Times New Roman"/>
          <w:sz w:val="24"/>
          <w:szCs w:val="24"/>
        </w:rPr>
        <w:br/>
        <w:t xml:space="preserve">In this case the state, its institutions, mechanisms and agents should have guaranteed the protection against criminal acts as opposed to … state agents systematically violating its citizens’ rights. </w:t>
      </w:r>
      <w:r w:rsidRPr="00BE407E">
        <w:rPr>
          <w:rFonts w:ascii="Times New Roman" w:eastAsia="Times New Roman" w:hAnsi="Times New Roman" w:cs="Times New Roman"/>
          <w:sz w:val="24"/>
          <w:szCs w:val="24"/>
        </w:rPr>
        <w:br/>
        <w:t>Thus … , compensation shall be paid jointly between those responsible for the crime and third parties found civilly liable, thus requiring the state to compensate the victims or their families.</w:t>
      </w:r>
      <w:r>
        <w:rPr>
          <w:rFonts w:ascii="Times New Roman" w:eastAsia="Times New Roman" w:hAnsi="Times New Roman" w:cs="Times New Roman"/>
          <w:noProof/>
          <w:sz w:val="24"/>
          <w:szCs w:val="24"/>
        </w:rPr>
        <w:drawing>
          <wp:inline distT="0" distB="0" distL="0" distR="0">
            <wp:extent cx="151130" cy="142875"/>
            <wp:effectExtent l="19050" t="0" r="1270" b="0"/>
            <wp:docPr id="3070" name="Imagen 30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Republic of Korea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decision in the </w:t>
      </w:r>
      <w:r w:rsidRPr="00BE407E">
        <w:rPr>
          <w:rFonts w:ascii="Times New Roman" w:eastAsia="Times New Roman" w:hAnsi="Times New Roman" w:cs="Times New Roman"/>
          <w:i/>
          <w:iCs/>
          <w:sz w:val="24"/>
          <w:szCs w:val="24"/>
        </w:rPr>
        <w:t xml:space="preserve">Legislative Omissions case </w:t>
      </w:r>
      <w:r w:rsidRPr="00BE407E">
        <w:rPr>
          <w:rFonts w:ascii="Times New Roman" w:eastAsia="Times New Roman" w:hAnsi="Times New Roman" w:cs="Times New Roman"/>
          <w:sz w:val="24"/>
          <w:szCs w:val="24"/>
        </w:rPr>
        <w:t>in 2003, the Republic of Korea’s Constitutional Court dismissed a constitutional complaint seeking a declaration that the National Assembly had breached its constitutional obligations by failing, despite repeated requests, to order a fact-finding mission and payment of compensation to the victims of the massacre of civilians at Moongyung-Kun and Hahmpyung-Kun during the Korean War, allegedly by members of the Korean Army.</w:t>
      </w:r>
      <w:r>
        <w:rPr>
          <w:rFonts w:ascii="Times New Roman" w:eastAsia="Times New Roman" w:hAnsi="Times New Roman" w:cs="Times New Roman"/>
          <w:noProof/>
          <w:sz w:val="24"/>
          <w:szCs w:val="24"/>
        </w:rPr>
        <w:drawing>
          <wp:inline distT="0" distB="0" distL="0" distR="0">
            <wp:extent cx="151130" cy="142875"/>
            <wp:effectExtent l="19050" t="0" r="1270" b="0"/>
            <wp:docPr id="3071" name="Imagen 30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However, as long as there are the investigatory system set forth in the Criminal Procedure Act and the state compensation system under the State Compensation Act, an additional state obligation to enact a law for factfinding and compensation concerning the incident at issue in this case is not generated by constitutional interpretation, as argued by the complainants. It would be desirable for the legislators to enact a separate special law for factfinding and compensation under the legislative formative discretion considering the significance and specificity of damage caused by the civilian massacre and various objective circumstances that prohibited the victims in this case from timely requesting factfinding or compensation. However, such obligation to enact is not and cannot be derived through constitutional interpretation.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A constitutional complaint on the ground that legislative omissions of failing to enact a special law for factfinding and compensation with respect to the civilian massacre at issue in this case is unconstitutional is unjusticiable, apart from an affirmative constitutional complaint with respect to the incomplete statutory provision itself on the ground that an effective investigation may not be conducted and the right to seek compensation may not be properly exercised in such a special case as the civilian massacre by the state authority at issue in this case due to an excessively short or incomplete statute of limitations under the Criminal Procedure Act or request period under the State Compensation Act.</w:t>
      </w:r>
      <w:r>
        <w:rPr>
          <w:rFonts w:ascii="Times New Roman" w:eastAsia="Times New Roman" w:hAnsi="Times New Roman" w:cs="Times New Roman"/>
          <w:noProof/>
          <w:sz w:val="24"/>
          <w:szCs w:val="24"/>
        </w:rPr>
        <w:drawing>
          <wp:inline distT="0" distB="0" distL="0" distR="0">
            <wp:extent cx="151130" cy="142875"/>
            <wp:effectExtent l="19050" t="0" r="1270" b="0"/>
            <wp:docPr id="3072" name="Imagen 30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situation of nonexistence of law where a special infringement upon the basic right caused by the state organization in the period of peril such as a war cannot be appropriately redressed by way of the normal system of law, an obligation arises for the National Assembly to enact a special law to guarantee the basic rights of the citizens. Such constitutional interpretation conforms to the spirit of the Constitution for the guarantee of the basic right.</w:t>
      </w:r>
      <w:r w:rsidRPr="00BE407E">
        <w:rPr>
          <w:rFonts w:ascii="Times New Roman" w:eastAsia="Times New Roman" w:hAnsi="Times New Roman" w:cs="Times New Roman"/>
          <w:sz w:val="24"/>
          <w:szCs w:val="24"/>
        </w:rPr>
        <w:br/>
        <w:t>In this case, the fact that many unarmed and innocent civilians were killed by those presumed to be members of the Korean Army in Moongyung and Hahmpyung during the period of the Korean War is acknowledged and confirmed. Although it was clearly an infringement by the state organization of the basic rights of private individuals, the state has attempted to cover up the case instead of trying to find the fact of the case or compensate for the harm caused. The victims even have acknowledgedly been deprived for a long period of time of an opportunity to raise their argument before the state. In such a circumstance, it is difficult to expect the victims to timely file a lawsuit against the state for restitution or compensation.</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Especially in this case, the state under the obligation to protect its citizens is suspected to have killed, in an organized fashion, innocent civilians by way of military power during the war. If proven to be true, such conduct would be a genocide-like act and, as such, would duly be treated similarly to a genocide or treated as a crime against humanity.</w:t>
      </w:r>
      <w:r w:rsidRPr="00BE407E">
        <w:rPr>
          <w:rFonts w:ascii="Times New Roman" w:eastAsia="Times New Roman" w:hAnsi="Times New Roman" w:cs="Times New Roman"/>
          <w:sz w:val="24"/>
          <w:szCs w:val="24"/>
        </w:rPr>
        <w:br/>
        <w:t>Then, a normal system of law such as the statute of limitations under the State Compensation Act is not applicable in this case. In such a situation of nonexistence of law, a special obligation to enact law to redress (especially an obligation to effectively guarantee the right to request state compensation) arises for the National Assembly through constitutional interpretation based on the obligation to guarantee basic rights under the second provision of Article 10 of the Constitution.</w:t>
      </w:r>
      <w:r>
        <w:rPr>
          <w:rFonts w:ascii="Times New Roman" w:eastAsia="Times New Roman" w:hAnsi="Times New Roman" w:cs="Times New Roman"/>
          <w:noProof/>
          <w:sz w:val="24"/>
          <w:szCs w:val="24"/>
        </w:rPr>
        <w:drawing>
          <wp:inline distT="0" distB="0" distL="0" distR="0">
            <wp:extent cx="151130" cy="142875"/>
            <wp:effectExtent l="19050" t="0" r="1270" b="0"/>
            <wp:docPr id="3073" name="Imagen 30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Russian Federation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Khamzaev case</w:t>
      </w:r>
      <w:r w:rsidRPr="00BE407E">
        <w:rPr>
          <w:rFonts w:ascii="Times New Roman" w:eastAsia="Times New Roman" w:hAnsi="Times New Roman" w:cs="Times New Roman"/>
          <w:sz w:val="24"/>
          <w:szCs w:val="24"/>
        </w:rPr>
        <w:t xml:space="preserve"> in 2001, a Russian District Court rejected the claim of a private person against the Russian government for material and moral compensation for the damages sustained in the aerial bombardment of Urus-Martan in October 1999 by Russian aviation. During the trial, the government denied that bombings had taken place in the relevant part of the town. However, the representative of the Ministry of Finance of the Russian Federation declared:</w:t>
      </w:r>
      <w:r w:rsidRPr="00BE407E">
        <w:rPr>
          <w:rFonts w:ascii="Times New Roman" w:eastAsia="Times New Roman" w:hAnsi="Times New Roman" w:cs="Times New Roman"/>
          <w:sz w:val="24"/>
          <w:szCs w:val="24"/>
        </w:rPr>
        <w:br/>
        <w:t>We think that the damage was caused by the Federal armed forces. The house was destroyed. But, if the generals assert that they had not given the order to attack residential areas of Urus-Martan, then the pilot(s) exceeded the limits of the order. Hence, there are no grounds for compensation for damages from the State treasury.</w:t>
      </w:r>
      <w:r>
        <w:rPr>
          <w:rFonts w:ascii="Times New Roman" w:eastAsia="Times New Roman" w:hAnsi="Times New Roman" w:cs="Times New Roman"/>
          <w:noProof/>
          <w:sz w:val="24"/>
          <w:szCs w:val="24"/>
        </w:rPr>
        <w:drawing>
          <wp:inline distT="0" distB="0" distL="0" distR="0">
            <wp:extent cx="151130" cy="142875"/>
            <wp:effectExtent l="19050" t="0" r="1270" b="0"/>
            <wp:docPr id="3074" name="Imagen 30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Switzerland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the </w:t>
      </w:r>
      <w:r w:rsidRPr="00BE407E">
        <w:rPr>
          <w:rFonts w:ascii="Times New Roman" w:eastAsia="Times New Roman" w:hAnsi="Times New Roman" w:cs="Times New Roman"/>
          <w:i/>
          <w:iCs/>
          <w:sz w:val="24"/>
          <w:szCs w:val="24"/>
        </w:rPr>
        <w:t>Spring case</w:t>
      </w:r>
      <w:r w:rsidRPr="00BE407E">
        <w:rPr>
          <w:rFonts w:ascii="Times New Roman" w:eastAsia="Times New Roman" w:hAnsi="Times New Roman" w:cs="Times New Roman"/>
          <w:sz w:val="24"/>
          <w:szCs w:val="24"/>
        </w:rPr>
        <w:t xml:space="preserve"> in 2000 dealing with the claim of a Jewish Auschwitz survivor against the Swiss Confederation for 100,000 Swiss francs in compensation for having been handed over in November 1943 by Swiss border guards to German troops, Switzerland’s Federal Court referred to a possible right to compensation on the ground of Switzerland’s Law on (State) Responsibility as amended. It stated, however, that, as a condition for the applicability of this law, the right to compensation would not have to be barred by statutes of limitation or by laches. The Federal Court, stating that the claimant based his right to compensation,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xml:space="preserve">, on the alleged illegal handing over to the German authorities which he had qualified as complicity in genocide, referred to Article 75(1) </w:t>
      </w:r>
      <w:r w:rsidRPr="00BE407E">
        <w:rPr>
          <w:rFonts w:ascii="Times New Roman" w:eastAsia="Times New Roman" w:hAnsi="Times New Roman" w:cs="Times New Roman"/>
          <w:i/>
          <w:iCs/>
          <w:sz w:val="24"/>
          <w:szCs w:val="24"/>
        </w:rPr>
        <w:t>bis</w:t>
      </w:r>
      <w:r w:rsidRPr="00BE407E">
        <w:rPr>
          <w:rFonts w:ascii="Times New Roman" w:eastAsia="Times New Roman" w:hAnsi="Times New Roman" w:cs="Times New Roman"/>
          <w:sz w:val="24"/>
          <w:szCs w:val="24"/>
        </w:rPr>
        <w:t xml:space="preserve"> of the Swiss Penal Code and Article 56 </w:t>
      </w:r>
      <w:r w:rsidRPr="00BE407E">
        <w:rPr>
          <w:rFonts w:ascii="Times New Roman" w:eastAsia="Times New Roman" w:hAnsi="Times New Roman" w:cs="Times New Roman"/>
          <w:i/>
          <w:iCs/>
          <w:sz w:val="24"/>
          <w:szCs w:val="24"/>
        </w:rPr>
        <w:t>bis</w:t>
      </w:r>
      <w:r w:rsidRPr="00BE407E">
        <w:rPr>
          <w:rFonts w:ascii="Times New Roman" w:eastAsia="Times New Roman" w:hAnsi="Times New Roman" w:cs="Times New Roman"/>
          <w:sz w:val="24"/>
          <w:szCs w:val="24"/>
        </w:rPr>
        <w:t xml:space="preserve"> of the Swiss Military Criminal Code. It stated that even under these provisions, which excluded the applicability of statutes of limitation to,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genocide and grave breaches of the 1949 Geneva Conventions or other international agreements on the protection of victims of war if the offence was particularly serious given the circumstances, the alleged criminal acts were barred. The Federal Court also referred to the principle according to which statutes of limitation under penal law could also be applicable to the right under civil law. It further stated that the claim was also barred by statutes of limitation under (the applicable national) public law. Therefore, in the merits, the Federal Court dismissed the claim. Nevertheless, it awarded the claimant 100,000 Swiss francs in compensation for the procedural costs.</w:t>
      </w:r>
      <w:r>
        <w:rPr>
          <w:rFonts w:ascii="Times New Roman" w:eastAsia="Times New Roman" w:hAnsi="Times New Roman" w:cs="Times New Roman"/>
          <w:noProof/>
          <w:sz w:val="24"/>
          <w:szCs w:val="24"/>
        </w:rPr>
        <w:drawing>
          <wp:inline distT="0" distB="0" distL="0" distR="0">
            <wp:extent cx="151130" cy="142875"/>
            <wp:effectExtent l="19050" t="0" r="1270" b="0"/>
            <wp:docPr id="3075" name="Imagen 30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Kingdom of Great Britain and Northern Ireland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the </w:t>
      </w:r>
      <w:r w:rsidRPr="00BE407E">
        <w:rPr>
          <w:rFonts w:ascii="Times New Roman" w:eastAsia="Times New Roman" w:hAnsi="Times New Roman" w:cs="Times New Roman"/>
          <w:i/>
          <w:iCs/>
          <w:sz w:val="24"/>
          <w:szCs w:val="24"/>
        </w:rPr>
        <w:t>Bici case</w:t>
      </w:r>
      <w:r w:rsidRPr="00BE407E">
        <w:rPr>
          <w:rFonts w:ascii="Times New Roman" w:eastAsia="Times New Roman" w:hAnsi="Times New Roman" w:cs="Times New Roman"/>
          <w:sz w:val="24"/>
          <w:szCs w:val="24"/>
        </w:rPr>
        <w:t>, the England and Wales High Court of Justice stated:</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Introduction.</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 xml:space="preserve">1. At about midnight on July 2nd 1999, three British soldiers involved in a United Nations peacekeeping operation in Kosovo shot and killed two men, Fahri Bici and Avni Dundi, and injured another two. The men, all Kosovar Albanians, were travelling together in a car in the city of Pristina. The shooting took place near a building known </w:t>
      </w:r>
      <w:r w:rsidRPr="00BE407E">
        <w:rPr>
          <w:rFonts w:ascii="Times New Roman" w:eastAsia="Times New Roman" w:hAnsi="Times New Roman" w:cs="Times New Roman"/>
          <w:sz w:val="24"/>
          <w:szCs w:val="24"/>
        </w:rPr>
        <w:lastRenderedPageBreak/>
        <w:t>as Building 42. The first claimant in this action, Mohamet Bici, was injured by a bullet which struck him in the face. It entered his mouth and exited the lower left side of his jaw. Apart from the not inconsiderable pain, it has also caused longer term problems with eating and speaking. The second claimant, his cousin Skender Bici, did not suffer any direct physical injury but alleges that he has suffered psychiatric illness as a consequence of being in the car, both as a result of being put in personal fear, and from witnessing the incident. Both claimants sue for damages both in negligence and trespass. The soldiers say that they were acting in self-defence being in fear of their own lives.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 rules of engagement.</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6. Each of the British soldiers stationed in Kosovo was issued with a document setting out individual guidance on the use of force. It permits the minimum force necessary to be used in self-defence. It provides that if the situation permits a challenge should be issued, such as “NATO! STOP OR I WILL FIRE”, and that if there is a failure to stop a warning shot may be fired. Paragraph 11 provides, so far as is material: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“You may use necessary minimum force, including opening fire, against any individual whom you believe is about to commit or is committing an act which endangers life, and there is no other way to prevent such an act. For example, you may open fire against an individual who: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Paragraph 13 states that “if you have to open fire, you must fire only aimed shots, and fire no more rounds than are necessary, and stop firing as soon as the situation permits.”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 background to the incident.</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14. The background to the events in question is uncontroversial. On 2nd July 1999, crowds gathered in the centre of Pristina to celebrate the city’s liberation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 incident.</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24. The claimants were two of a group of men who were travelling in a white Opel estate. They say they were simply participating in the celebrations … The car was driven by Nasser Bici. In the front passenger seat was Driton Bici; Avni Dudi, was a rear seat passenger as initially at least was second claimant Skender Bici. There were two persons who were on the roof of the car; one was Mohamet Bici who was at the front and behind him was Fahri Bici. As virtually all the evidence indicates, Fahri Bici had an AK47, (a Kalashnikov) w hich is an automatic rifle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26. At some time … Fahri Bici fired his AK47 into the air …</w:t>
      </w:r>
      <w:r w:rsidRPr="00BE407E">
        <w:rPr>
          <w:rFonts w:ascii="Times New Roman" w:eastAsia="Times New Roman" w:hAnsi="Times New Roman" w:cs="Times New Roman"/>
          <w:sz w:val="24"/>
          <w:szCs w:val="24"/>
        </w:rPr>
        <w:br/>
        <w:t>27. The bare bones of the matter can be described as follows. As the car was being driven away from building 42, three soldiers emerged from the undergrowth outside building 42 and fired shots towards the vehicle. The effect was devastating. Fahri Bici was killed by a single bullet. It entered his back 8 centimetres to the right of the mid line and exited from his chest. Avni Dundi, was also killed. Isak Berisha, who had so recently joined the car, and Mohamet Bici, the first claimant, were wounded. The uncontroverted evidence was that the car began to accelerate away from the soldiers as the firing was taking place, before it came to a halt at a distance of some metres from its position when the first gun was fired.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Were the soldiers acting in self-defence?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 xml:space="preserve">42. One of the defences advanced by the soldiers in this case is that they were acting in self-defence. As far as the criminal law is concerned, it is a defence if they had an </w:t>
      </w:r>
      <w:r w:rsidRPr="00BE407E">
        <w:rPr>
          <w:rFonts w:ascii="Times New Roman" w:eastAsia="Times New Roman" w:hAnsi="Times New Roman" w:cs="Times New Roman"/>
          <w:sz w:val="24"/>
          <w:szCs w:val="24"/>
        </w:rPr>
        <w:lastRenderedPageBreak/>
        <w:t xml:space="preserve">honest belief that they were going to be attacked and reacted with proportionate force: see </w:t>
      </w:r>
      <w:r w:rsidRPr="00BE407E">
        <w:rPr>
          <w:rFonts w:ascii="Times New Roman" w:eastAsia="Times New Roman" w:hAnsi="Times New Roman" w:cs="Times New Roman"/>
          <w:i/>
          <w:iCs/>
          <w:sz w:val="24"/>
          <w:szCs w:val="24"/>
        </w:rPr>
        <w:t>R v Palmer</w:t>
      </w:r>
      <w:r w:rsidRPr="00BE407E">
        <w:rPr>
          <w:rFonts w:ascii="Times New Roman" w:eastAsia="Times New Roman" w:hAnsi="Times New Roman" w:cs="Times New Roman"/>
          <w:sz w:val="24"/>
          <w:szCs w:val="24"/>
        </w:rPr>
        <w:t xml:space="preserve"> (1971) 55 Cr App R 223 (P.C.). In civil law, however, the belief must be both honest and reasonable. The defence is available both to meet a claim in negligence and in trespass (whether assault or battery), but the manner in which it does so is slightly different in each case. In negligence, the claim asserts that the defendant owed a duty of care and breached that duty by unreasonable conduct causing foreseeable loss to the claimant. Accordingly, if the defendant’s conduct is reasonable, there is no breach. In trespass, any unlawful interference with the bodily integrity of the claimant will not be unlawful if it is justified, and it will be justified if the defendant can establish that the claimant’s conduct was such that the defendant reasonably apprehended that he would be imminently attacked and used reasonable force to protect himself. In this case the claimants properly concede that if the soldiers did reasonably believe that Fahri Bici was about to shoot at them, then they were entitled to shoot first; such a response would be reasonable and proportionate.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44. In determining this question of whether the soldiers had a reasonable apprehension that they might be shot, I bear in mind two matters. First, as Mr Rose [appearing as counsel for the claimants] accepts, in circumstances where the failure to establish self-defence suggests that the soldiers may well have committed serious criminal offences, the evidence of wrongdoing must be strong. The well-known observations of Lord Nicholls in </w:t>
      </w:r>
      <w:r w:rsidRPr="00BE407E">
        <w:rPr>
          <w:rFonts w:ascii="Times New Roman" w:eastAsia="Times New Roman" w:hAnsi="Times New Roman" w:cs="Times New Roman"/>
          <w:i/>
          <w:iCs/>
          <w:sz w:val="24"/>
          <w:szCs w:val="24"/>
        </w:rPr>
        <w:t xml:space="preserve">re H (Minors) </w:t>
      </w:r>
      <w:r w:rsidRPr="00BE407E">
        <w:rPr>
          <w:rFonts w:ascii="Times New Roman" w:eastAsia="Times New Roman" w:hAnsi="Times New Roman" w:cs="Times New Roman"/>
          <w:sz w:val="24"/>
          <w:szCs w:val="24"/>
        </w:rPr>
        <w:t>[1996] A.C. 563 at 586 are pertinent: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“When assessing the probabilities the court will have in mind as a factor, to whatever extent is appropriate in the particular case, that the more serious the allegation the less likely it is that the event occurred and, hence, the stronger should be the evidence before the court concludes that the allegation is established on the balance of probability. Fraud is less likely than negligence. Deliberate physical injury is less likely than accidental physical injury … Built into the preponderance of the probability standard is a generous degree of flexibility in respect of the seriousness of the allegation.”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45. That principle is applicable here, albeit that it has to be applied where the burden is on the defence. It is not readily to be assumed that these soldiers would without reasonable cause have fired their guns at Fahri Bici.</w:t>
      </w:r>
      <w:r w:rsidRPr="00BE407E">
        <w:rPr>
          <w:rFonts w:ascii="Times New Roman" w:eastAsia="Times New Roman" w:hAnsi="Times New Roman" w:cs="Times New Roman"/>
          <w:sz w:val="24"/>
          <w:szCs w:val="24"/>
        </w:rPr>
        <w:br/>
        <w:t xml:space="preserve">46. Second, I also bear in mind certain observations of Lord Diplock in </w:t>
      </w:r>
      <w:r w:rsidRPr="00BE407E">
        <w:rPr>
          <w:rFonts w:ascii="Times New Roman" w:eastAsia="Times New Roman" w:hAnsi="Times New Roman" w:cs="Times New Roman"/>
          <w:i/>
          <w:iCs/>
          <w:sz w:val="24"/>
          <w:szCs w:val="24"/>
        </w:rPr>
        <w:t xml:space="preserve">Attorney General for Northern Ireland’s’ Reference no 1 of 1975 </w:t>
      </w:r>
      <w:r w:rsidRPr="00BE407E">
        <w:rPr>
          <w:rFonts w:ascii="Times New Roman" w:eastAsia="Times New Roman" w:hAnsi="Times New Roman" w:cs="Times New Roman"/>
          <w:sz w:val="24"/>
          <w:szCs w:val="24"/>
        </w:rPr>
        <w:t>[1997] A.C.105 at 138, when he observed</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that often a soldier has to act intuitively, and that in assessing his conduct and judging the</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action of the reasonable soldier, it is important to recognise that his action “is not</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undertaken in the calm analytical atmosphere of the court room after counsel with the</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benefit of hindsight have expounded at length the reasons for and against the kind and</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degree of force that was used by the accused, but in the brief second or two which the</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accused had to decide whether to shoot or not and under all the stresses to which he was</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exposed.”. These observations were made in the context of a criminal case, but in my</w:t>
      </w:r>
      <w:r w:rsidRPr="00BE407E">
        <w:rPr>
          <w:rFonts w:ascii="Times New Roman" w:eastAsia="Times New Roman" w:hAnsi="Times New Roman" w:cs="Times New Roman"/>
          <w:i/>
          <w:iCs/>
          <w:sz w:val="24"/>
          <w:szCs w:val="24"/>
        </w:rPr>
        <w:t xml:space="preserve"> </w:t>
      </w:r>
      <w:r w:rsidRPr="00BE407E">
        <w:rPr>
          <w:rFonts w:ascii="Times New Roman" w:eastAsia="Times New Roman" w:hAnsi="Times New Roman" w:cs="Times New Roman"/>
          <w:sz w:val="24"/>
          <w:szCs w:val="24"/>
        </w:rPr>
        <w:t>view they apply no less forcefully when considering liability in civil law.</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47. Even bearing these matters very fully in mind, I have reached the clear conclusion on the evidence before me that the soldiers were not being threatened with being shot by Fahri Bici when they fired their guns, and there were no reasonable grounds for them to believe that they were …</w:t>
      </w:r>
      <w:r w:rsidRPr="00BE407E">
        <w:rPr>
          <w:rFonts w:ascii="Times New Roman" w:eastAsia="Times New Roman" w:hAnsi="Times New Roman" w:cs="Times New Roman"/>
          <w:sz w:val="24"/>
          <w:szCs w:val="24"/>
        </w:rPr>
        <w:br/>
        <w:t xml:space="preserve">48. It is not necessary for me to assess whether in the heat of the moment the soldiers could conceivably for some reason have been acting under the honest but mistaken impression that Fahri Bici was threatening to shoot them. It is enough for the purposes of civil liability that I reach the clear conclusion that any such belief was not reasonable. </w:t>
      </w:r>
      <w:r w:rsidRPr="00BE407E">
        <w:rPr>
          <w:rFonts w:ascii="Times New Roman" w:eastAsia="Times New Roman" w:hAnsi="Times New Roman" w:cs="Times New Roman"/>
          <w:sz w:val="24"/>
          <w:szCs w:val="24"/>
        </w:rPr>
        <w:lastRenderedPageBreak/>
        <w:t>Indeed, the alternative view is unsupported by any reliable evidence.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Were the soldiers reckless?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49. Mr Rose asked the court to go further. He submitted that not only were the soldiers not acting in self-defence, but that the evidence supported the inference that they were deliberately firing to disable the car, and were thereby acting in a wholly reckless manner. They must have been aware that there were persons in the car, and they were acting with no thought for their safety. He suggests that they may have been irritated by the fact that Fahri Bici refused, as they saw it, to hand over his weapon, and that they lost control in the face of this provocative act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58. Bearing in mind the gravity of these allegations, and the matters I have referred to above, I have concluded, not without hesitation, that the claimants have not shown that the soldiers were reckless in the manner alleged. I have regard to the fact that it would be surprising if they lost their discipline in such a fundamental way, and there is no obvious reason why they should have done so.</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 legal issues.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59. The claimants allege both negligence and trespass. The arguments based on trespass are raised in unusual circumstances since the claimants accept that the soldiers did not intend to interfere with their personal security. In response to these claims, the defendants raise two broad defences, in addition to the issue of self-defence, which I have already analysed. The first is what is termed “combat immunity”. The defendants submit not only that this defence is applicable, but also that it is a complete answer to any tortuous claim which is advanced, however formulated. The second defence relates solely to the claim in negligence. It is that in the circumstances the soldiers did not owe the claimants a duty of care at all, and accordingly cannot be liable in negligence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The defences.</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83. As I have indicated, apart from self-defence these are combat immunity and the lack of any duty of care.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Combat immunity.</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84. The defence of combat immunity is not strictly a defence at all, in the sense of rendering lawful what is alleged to be unlawful. Rather, where the doctrine applies its effect is to remove the jurisdiction of the court to decide certain kinds of dispute; they are non-justiciable. Where the doctrine applies the court is being deprived of its historic and jealously guarded role of determining a dispute where a citizen claims that his rights have been unlawfully infringed by an act of the executive.</w:t>
      </w:r>
      <w:r w:rsidRPr="00BE407E">
        <w:rPr>
          <w:rFonts w:ascii="Times New Roman" w:eastAsia="Times New Roman" w:hAnsi="Times New Roman" w:cs="Times New Roman"/>
          <w:sz w:val="24"/>
          <w:szCs w:val="24"/>
        </w:rPr>
        <w:br/>
        <w:t xml:space="preserve">85. Before considering the scope of this doctrine, it helpful to bear in mind certain fundamental principles of constitutional law. The starting point is the famous case of </w:t>
      </w:r>
      <w:r w:rsidRPr="00BE407E">
        <w:rPr>
          <w:rFonts w:ascii="Times New Roman" w:eastAsia="Times New Roman" w:hAnsi="Times New Roman" w:cs="Times New Roman"/>
          <w:i/>
          <w:iCs/>
          <w:sz w:val="24"/>
          <w:szCs w:val="24"/>
        </w:rPr>
        <w:t xml:space="preserve">Entick v Carrington </w:t>
      </w:r>
      <w:r w:rsidRPr="00BE407E">
        <w:rPr>
          <w:rFonts w:ascii="Times New Roman" w:eastAsia="Times New Roman" w:hAnsi="Times New Roman" w:cs="Times New Roman"/>
          <w:sz w:val="24"/>
          <w:szCs w:val="24"/>
        </w:rPr>
        <w:t>(1765) 19 ST.TR.1030. The King’s messengers were sued in trespass for breaking into the plaintiff’s house and seizing his papers. They pleaded that they were acting under a warrant of the Secretary of State, but the defence failed. Lord Camden C. J. observed: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…with respect to the argument of State necessity, or a distinction that has been aimed at between state offences and others, the common law does not understand that kind of reasoning, nor do our books take notice of any such distinctions.”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86. This is a ringing endorsement of the rule of law and of the system of democratic government. The executive cannot simply assert interests of state or the public interest and rely upon that as a justification for the commission of wrongs.</w:t>
      </w:r>
      <w:r w:rsidRPr="00BE407E">
        <w:rPr>
          <w:rFonts w:ascii="Times New Roman" w:eastAsia="Times New Roman" w:hAnsi="Times New Roman" w:cs="Times New Roman"/>
          <w:sz w:val="24"/>
          <w:szCs w:val="24"/>
        </w:rPr>
        <w:br/>
        <w:t>87. However, whilst that is the general position, there are certain circumstances where the courts will decline to determine the claims brought before them.</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88. One such situation may arise where the interests of foreign nationals are concerned. In a claim for compensation against the state, the state can in an appropriate case rely on the doctrine of Act of State. The concept is a highly ambiguous one and the term is used in a number of quite discrete ways. However, in the context where claims are brought by foreign nationals alleging infringement of their legal rights, the effect of a successful claim of Act of State is to remove the jurisdiction of the court to hear the dispute. The way in which the government exercises its prerogatives in relation to foreign affairs and in its relations with foreign states does not give rise to rights which are cognisable by the domestic courts. As Lord Wilberforce commented in </w:t>
      </w:r>
      <w:r w:rsidRPr="00BE407E">
        <w:rPr>
          <w:rFonts w:ascii="Times New Roman" w:eastAsia="Times New Roman" w:hAnsi="Times New Roman" w:cs="Times New Roman"/>
          <w:i/>
          <w:iCs/>
          <w:sz w:val="24"/>
          <w:szCs w:val="24"/>
        </w:rPr>
        <w:t>Nissan v The Attorney General</w:t>
      </w:r>
      <w:r w:rsidRPr="00BE407E">
        <w:rPr>
          <w:rFonts w:ascii="Times New Roman" w:eastAsia="Times New Roman" w:hAnsi="Times New Roman" w:cs="Times New Roman"/>
          <w:sz w:val="24"/>
          <w:szCs w:val="24"/>
        </w:rPr>
        <w:t xml:space="preserve"> [1970] AC 179 at 231(f):</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“As regard such acts it is certainly the law that the injured person if an alien cannot sue in an British Court and can only have resort to diplomatic protest. How far this rule goes and how far it prevents resort to the courts by British subjects is not a matter on which clear authority exists.”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89. In this case the defendants have expressly disavowed any reliance upon this doctrine. It has not been contended that the acts of the soldiers were either authorised or ratified by the Crown.</w:t>
      </w:r>
      <w:r w:rsidRPr="00BE407E">
        <w:rPr>
          <w:rFonts w:ascii="Times New Roman" w:eastAsia="Times New Roman" w:hAnsi="Times New Roman" w:cs="Times New Roman"/>
          <w:sz w:val="24"/>
          <w:szCs w:val="24"/>
        </w:rPr>
        <w:br/>
        <w:t xml:space="preserve">90. The concept of combat immunity, which is relied upon, serves a quite different purpose. Unlike Act of State, it can be relied upon even against citizens of the United Kingdom and even where torts are committed in the United Kingdom. It is closely and imprecisely related to (and in some cases perhaps identical with) a separate concept of necessity. This is exceptionally a defence to the Government and indeed individuals, who take action in the course of actual or imminent armed conflict and cause damage to property or injury (including possibly death) to fellow soldiers or civilians. Unlike Act of State, the doctrine has nothing to do with a concern about undermining the acts of the executive in relation to foreign affairs. It is essentially an exception to the </w:t>
      </w:r>
      <w:r w:rsidRPr="00BE407E">
        <w:rPr>
          <w:rFonts w:ascii="Times New Roman" w:eastAsia="Times New Roman" w:hAnsi="Times New Roman" w:cs="Times New Roman"/>
          <w:i/>
          <w:iCs/>
          <w:sz w:val="24"/>
          <w:szCs w:val="24"/>
        </w:rPr>
        <w:t xml:space="preserve">Entick v Carrington </w:t>
      </w:r>
      <w:r w:rsidRPr="00BE407E">
        <w:rPr>
          <w:rFonts w:ascii="Times New Roman" w:eastAsia="Times New Roman" w:hAnsi="Times New Roman" w:cs="Times New Roman"/>
          <w:sz w:val="24"/>
          <w:szCs w:val="24"/>
        </w:rPr>
        <w:t>principle and as such should be narrowly construed. The courts recognise that very exceptionally the basic liberties of the citizen may have to give way to vital interests of state. When arms clash or attack is imminent, the citizen may be an unfortunate victim of the conflict, whether as a result of enemy action or sometimes friendly fire or precautionary actions. In relying upon the doctrine in this case, the defendants have to demonstrate that the defence would be available in similar circumstances if the events had taken place on British soil in relation to a British citizen. Save where Act of State is applicable, no special principles apply because the injured claimant is a citizen of a foreign state.</w:t>
      </w:r>
      <w:r w:rsidRPr="00BE407E">
        <w:rPr>
          <w:rFonts w:ascii="Times New Roman" w:eastAsia="Times New Roman" w:hAnsi="Times New Roman" w:cs="Times New Roman"/>
          <w:sz w:val="24"/>
          <w:szCs w:val="24"/>
        </w:rPr>
        <w:br/>
        <w:t xml:space="preserve">91. There are a few cases which testify to this principle of combat immunity. It seems that the concept was first described in those terms in </w:t>
      </w:r>
      <w:r w:rsidRPr="00BE407E">
        <w:rPr>
          <w:rFonts w:ascii="Times New Roman" w:eastAsia="Times New Roman" w:hAnsi="Times New Roman" w:cs="Times New Roman"/>
          <w:i/>
          <w:iCs/>
          <w:sz w:val="24"/>
          <w:szCs w:val="24"/>
        </w:rPr>
        <w:t>Shaw Savill and Albion Company Ltd v The</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 xml:space="preserve">Commonwealth </w:t>
      </w:r>
      <w:r w:rsidRPr="00BE407E">
        <w:rPr>
          <w:rFonts w:ascii="Times New Roman" w:eastAsia="Times New Roman" w:hAnsi="Times New Roman" w:cs="Times New Roman"/>
          <w:sz w:val="24"/>
          <w:szCs w:val="24"/>
        </w:rPr>
        <w:t>[1940] HCA40; (1940) 66 CLR 344, a decision of the High Court of Australia. The plaintiffs brought a claim in damages for negligence. They owned a ship “The Coptic” which was in a collision with His Majesties Australian Ship “Adelaide”. The plaintiff alleged that the collision resulted from the negligence of the defendant’s officers … The defence was that, at the relevant time; the Adelaide was part of the naval forces of Australia and was engaged in active naval operations against the enemy.</w:t>
      </w:r>
      <w:r w:rsidRPr="00BE407E">
        <w:rPr>
          <w:rFonts w:ascii="Times New Roman" w:eastAsia="Times New Roman" w:hAnsi="Times New Roman" w:cs="Times New Roman"/>
          <w:sz w:val="24"/>
          <w:szCs w:val="24"/>
        </w:rPr>
        <w:br/>
        <w:t>92. The High Court of Australia accepted that in principle such a defence was open to the state. Dixon J, in the course of his judgment, said this: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“It could hardly be maintained that during an actual engagement with the enemy or a pursuit of any of his ships the navigating officer of a King’s ship of war was under a common-law duty of care to avoid harm to such non-combatant ships as might appear in the theatre of operations. It cannot be enough to say that the conflict or pursuit is a </w:t>
      </w:r>
      <w:r w:rsidRPr="00BE407E">
        <w:rPr>
          <w:rFonts w:ascii="Times New Roman" w:eastAsia="Times New Roman" w:hAnsi="Times New Roman" w:cs="Times New Roman"/>
          <w:sz w:val="24"/>
          <w:szCs w:val="24"/>
        </w:rPr>
        <w:lastRenderedPageBreak/>
        <w:t>circumstance affecting the reasonableness of the officer’s conduct as a discharge of the duty of care, though the duty itself persists. To adopt such a view would mean that whether the combat be by sea, land or air our men go into action accompanied by the law of civil negligence, warning them to be mindful of the person and property of civilians. It would mean that the Courts could be called upon to day whether the soldier on the field of battle or the sailor fighting on his ship might reasonably have been more careful to avoid causing civil loss or damage. No one can imagine a court undertaking the trial of such an issue, either during or after a war. To concede that any civil liability can rest upon a member of the armed forces for supposedly negligent acts or omissions in the course of an actual engagement with the enemy is opposed alike to reason and to policy. But the principle cannot be limited to the presence of the enemy or to occasions when contact with the enemy has been established. Warfare perhaps never did admit of such a distinction, but now it would be quite absurd. The development of the speed of ships and the range of guns were enough to show it to be an impracticable refinement, but it has been put out of question by the bomber, the submarine and the floating mine. The principle must extend to all active operations against the enemy. It must cover attack and resistance, advance and retreat, pursuit and avoidance, reconnaissance and engagement. But the real distinction does exist between active operations against the enemy and other activities of the combatant services in time of war.”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93. But he made it plain that the basis of the immunity is wider than simply relieving soldiers from any duty of care that might otherwise exist. The judge said this: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“There is no authority dealing with civil liability for negligence on the part of the King’s forces when in action, but the law has always recognised the rights of property and of person must give way to the necessities of the defence of the realm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uniform tendency of the law has been to concede to the armed forces complete legal freedom of action in the field, that is to say in the course of active operations against the enemy, so that the application of private law by the ordinary courts may end where the active use of arms begins. Consistently with this tendency the civil law of negligence cannot at tach to active naval operations against the enemy.”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94. A similar principle but relating to damage to property and not in terms described as combat immunity was adopted by the House of Lords in </w:t>
      </w:r>
      <w:r w:rsidRPr="00BE407E">
        <w:rPr>
          <w:rFonts w:ascii="Times New Roman" w:eastAsia="Times New Roman" w:hAnsi="Times New Roman" w:cs="Times New Roman"/>
          <w:i/>
          <w:iCs/>
          <w:sz w:val="24"/>
          <w:szCs w:val="24"/>
        </w:rPr>
        <w:t>Burma Oil Company Ltd v Lord</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 xml:space="preserve">Advocate </w:t>
      </w:r>
      <w:r w:rsidRPr="00BE407E">
        <w:rPr>
          <w:rFonts w:ascii="Times New Roman" w:eastAsia="Times New Roman" w:hAnsi="Times New Roman" w:cs="Times New Roman"/>
          <w:sz w:val="24"/>
          <w:szCs w:val="24"/>
        </w:rPr>
        <w:t>[1965] AC 75. In that case the General Officer Commanding in Burma during the war of 1939 to 1945 ordered certain oil installations of the appellant companies near Rangoon to be destroyed. The reason was that the Japanese Army was advancing and the Government wished to deny resources to the enemy. The destruction was carried out on the day before the Japanese occupied Rangoon. The question was, whether compensation was payable for this destruction. Their Lordships, by majority of three to two (Lords Reid, Pearce and Upjohn, Viscount Radcliffe and Lord Hodson dissenting), held that the Government were exercising a prerogative power which required them to pay compensation. However, their Lordships distinguished this situation from one where property was damaged or destroyed during the course of battle. Lord Reid after quoting many cases and the views of learned jurists, concluded as follows (p. 110):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my judgment, those authorities and others quoted in their opinions afford ample justification for the decision of the First Division with regard to the general rule, and no contrary Scots authority has been cited. This case therefore turns, in my view, on the extent of the exception of what has been called battle damage.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Such damage must include both accidental and deliberate damage done in the course of fighting operations. It cannot matter whether the damage was unintentional or done by our artillery or aircraft to dislodge the enemy or by the enemy to dislodge our troops. </w:t>
      </w:r>
      <w:r w:rsidRPr="00BE407E">
        <w:rPr>
          <w:rFonts w:ascii="Times New Roman" w:eastAsia="Times New Roman" w:hAnsi="Times New Roman" w:cs="Times New Roman"/>
          <w:sz w:val="24"/>
          <w:szCs w:val="24"/>
        </w:rPr>
        <w:lastRenderedPageBreak/>
        <w:t>And the same must apply to destruction of a building or a bridge before the enemy actually capture it. Moreover, it would be absurd if the right to compensation for such a building or bridge depended on how near the enemy were when it was destroyed. But I would think that Vattel is right in contrasting acts done deliberately (librement et par precaution) with damage caused by inevitable necessity (par une necessite inevitable). His examples show that he means something dictated by the disposition of the opposing forces. It may become necessary during the war to have new airfields or training grounds and the necessity may be inevitable, but that kind of thing would not come within the exception as stated by any of the commentators, inevitably necessary because there is really no choice: for example, there may be only one factory in the country or one site available for a particular purpose.”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100. In my judgment, these authorities suggest that the exclusion of liability for the intentional infliction of damage to property or person will, as one might expect, be narrower than the exclusion of liability for negligence. As </w:t>
      </w:r>
      <w:r w:rsidRPr="00BE407E">
        <w:rPr>
          <w:rFonts w:ascii="Times New Roman" w:eastAsia="Times New Roman" w:hAnsi="Times New Roman" w:cs="Times New Roman"/>
          <w:i/>
          <w:iCs/>
          <w:sz w:val="24"/>
          <w:szCs w:val="24"/>
        </w:rPr>
        <w:t xml:space="preserve">Burma Oil </w:t>
      </w:r>
      <w:r w:rsidRPr="00BE407E">
        <w:rPr>
          <w:rFonts w:ascii="Times New Roman" w:eastAsia="Times New Roman" w:hAnsi="Times New Roman" w:cs="Times New Roman"/>
          <w:sz w:val="24"/>
          <w:szCs w:val="24"/>
        </w:rPr>
        <w:t>makes plain, there can be no deliberate interference with property rights without payment of damages or compensation save where it is the result of inevitable necessity or what Lord Reid termed “something dictated by the disposition of the opposing forces.” That of course was in the context of interfering with property rights but the right to interfere with personal integrity can hardly be any less rigorous. Indeed, one might expect that the courts would require a high degree of necessity even in war time for the Government to be able to claim combat immunity in relation to the deliberate infliction of harm on one of its citizens.</w:t>
      </w:r>
      <w:r w:rsidRPr="00BE407E">
        <w:rPr>
          <w:rFonts w:ascii="Times New Roman" w:eastAsia="Times New Roman" w:hAnsi="Times New Roman" w:cs="Times New Roman"/>
          <w:sz w:val="24"/>
          <w:szCs w:val="24"/>
        </w:rPr>
        <w:br/>
        <w:t>101. I confess that I have considerable difficulty in seeing how the doctrine has any application at all in this case. It is relied upon when a person is injured or their property is damaged or destroyed in circumstances where they are the “innocent” victims of action which is taken out of pressing necessity in the wider public interest arising out of combat. It is not the conduct of the victim which justifies immunity from suit but rather a very pressing public interest. It is curious to pray the concept in aid where the claimants themselves have been acting unlawfully. The justification for the defendant in those circumstances, if there be any justification, is that steps are required to restrain or prevent the wrongful conduct. That is precisely the situation here. The justification advanced for firing at Fahri Bici was the soldiers’ self-protection, namely that they were about to be shot by him, or at least that this was their reasonable belief. It has never been suggested by the soldiers or anyone else that they fired at him because of wider concerns which necessitated such draconian measures in the public interest, nor even that any such interest arose out in the course of combat, however widely that concept is construed. For example, it has not been suggested that there was a real fear that the men in the car were part of a wider group intent on attacking building 42 or anything of that nature. Whatever initial concerns there may have been on that score, they no longer figured in the minds of the soldiers when the car was being driven away at increasing speed from that building. If self-defence fails, as I have held that it does, then I do not see how combat immunity is engaged.</w:t>
      </w:r>
      <w:r w:rsidRPr="00BE407E">
        <w:rPr>
          <w:rFonts w:ascii="Times New Roman" w:eastAsia="Times New Roman" w:hAnsi="Times New Roman" w:cs="Times New Roman"/>
          <w:sz w:val="24"/>
          <w:szCs w:val="24"/>
        </w:rPr>
        <w:br/>
        <w:t xml:space="preserve">102. Moreover, we are in my judgment very far from the kind of situation where the courts would permit the executive by reason of state necessity to act free from any legal fetters for negligent or intentional acts. Even focussing on the soldier’s activities on the night in question, it is plain that they were carrying out essentially a policing and peacekeeping function. I accept that this labelling of their role does not of itself determine matters since even when carrying out those activities they could still be engaged in an attack or threat of attack, as Mr Justice Owen recognised in </w:t>
      </w:r>
      <w:r w:rsidRPr="00BE407E">
        <w:rPr>
          <w:rFonts w:ascii="Times New Roman" w:eastAsia="Times New Roman" w:hAnsi="Times New Roman" w:cs="Times New Roman"/>
          <w:i/>
          <w:iCs/>
          <w:sz w:val="24"/>
          <w:szCs w:val="24"/>
        </w:rPr>
        <w:t xml:space="preserve">Bell. </w:t>
      </w:r>
      <w:r w:rsidRPr="00BE407E">
        <w:rPr>
          <w:rFonts w:ascii="Times New Roman" w:eastAsia="Times New Roman" w:hAnsi="Times New Roman" w:cs="Times New Roman"/>
          <w:sz w:val="24"/>
          <w:szCs w:val="24"/>
        </w:rPr>
        <w:t xml:space="preserve">But any </w:t>
      </w:r>
      <w:r w:rsidRPr="00BE407E">
        <w:rPr>
          <w:rFonts w:ascii="Times New Roman" w:eastAsia="Times New Roman" w:hAnsi="Times New Roman" w:cs="Times New Roman"/>
          <w:sz w:val="24"/>
          <w:szCs w:val="24"/>
        </w:rPr>
        <w:lastRenderedPageBreak/>
        <w:t xml:space="preserve">such threat must in my view be imminent and serious. Indeed, even where they are under some sort of attack, such as where there is a civilian riot that, would not mean that the doctrine of combat immunity would necessarily apply. There are numerous cases of riot where the authorities have been held liable in tort, the </w:t>
      </w:r>
      <w:r w:rsidRPr="00BE407E">
        <w:rPr>
          <w:rFonts w:ascii="Times New Roman" w:eastAsia="Times New Roman" w:hAnsi="Times New Roman" w:cs="Times New Roman"/>
          <w:i/>
          <w:iCs/>
          <w:sz w:val="24"/>
          <w:szCs w:val="24"/>
        </w:rPr>
        <w:t xml:space="preserve">Livingstone </w:t>
      </w:r>
      <w:r w:rsidRPr="00BE407E">
        <w:rPr>
          <w:rFonts w:ascii="Times New Roman" w:eastAsia="Times New Roman" w:hAnsi="Times New Roman" w:cs="Times New Roman"/>
          <w:sz w:val="24"/>
          <w:szCs w:val="24"/>
        </w:rPr>
        <w:t xml:space="preserve">case itself being but one example. In my view it requires a significant degree of necessity before the doctrine can trump the fundamental protection afforded by </w:t>
      </w:r>
      <w:r w:rsidRPr="00BE407E">
        <w:rPr>
          <w:rFonts w:ascii="Times New Roman" w:eastAsia="Times New Roman" w:hAnsi="Times New Roman" w:cs="Times New Roman"/>
          <w:i/>
          <w:iCs/>
          <w:sz w:val="24"/>
          <w:szCs w:val="24"/>
        </w:rPr>
        <w:t>Entick v Carrington</w:t>
      </w:r>
      <w:r w:rsidRPr="00BE407E">
        <w:rPr>
          <w:rFonts w:ascii="Times New Roman" w:eastAsia="Times New Roman" w:hAnsi="Times New Roman" w:cs="Times New Roman"/>
          <w:sz w:val="24"/>
          <w:szCs w:val="24"/>
        </w:rPr>
        <w:t>, and I do not consider that the situation comes near to being such a case. It was at most an incident of disorder in the streets. The soldiers did not claim that they were in a combat situation, and in my judgment they plainly were not.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Was there a duty of care?</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 xml:space="preserve">103. I turn to consider whether the circumstances were such as to negate the duty of care … </w:t>
      </w:r>
      <w:r w:rsidRPr="00BE407E">
        <w:rPr>
          <w:rFonts w:ascii="Times New Roman" w:eastAsia="Times New Roman" w:hAnsi="Times New Roman" w:cs="Times New Roman"/>
          <w:sz w:val="24"/>
          <w:szCs w:val="24"/>
        </w:rPr>
        <w:br/>
        <w:t xml:space="preserve">104. … Troops frequently have to carry out difficult and sensitive peace keeping functions, such as in Northern Ireland, whilst still being subject to common law duties of care. The difficulties of their task are reflected in the standard of the duty rather than by denying its applicability. In </w:t>
      </w:r>
      <w:r w:rsidRPr="00BE407E">
        <w:rPr>
          <w:rFonts w:ascii="Times New Roman" w:eastAsia="Times New Roman" w:hAnsi="Times New Roman" w:cs="Times New Roman"/>
          <w:i/>
          <w:iCs/>
          <w:sz w:val="24"/>
          <w:szCs w:val="24"/>
        </w:rPr>
        <w:t>Attorney General for</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 xml:space="preserve">Northern Ireland’s Reference no 1 </w:t>
      </w:r>
      <w:r w:rsidRPr="00BE407E">
        <w:rPr>
          <w:rFonts w:ascii="Times New Roman" w:eastAsia="Times New Roman" w:hAnsi="Times New Roman" w:cs="Times New Roman"/>
          <w:sz w:val="24"/>
          <w:szCs w:val="24"/>
        </w:rPr>
        <w:t>[1977] A.C.105, 137 a British soldier had shot and killed an unarmed man who had run away when challenged, in the honest and reasonable, although mistaken, belief that he was a terrorist. The soldier was searching for terrorists at the time. The judge held that he had no intention to kill or seriously injure and that the killing was justifiable homicide. The reference from the Attorney General raised two questions, first whether the Crown had established in the circumstances that the act of the constituted unreasonable force; and second, if so, whether this constituted the crime of murder. The House of Lords held that these were matters of fact rather than law. In the course of giving his judgment, Lord Diplock said this (p.137):</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“There is little authority in English law concerning the rights and duties of a member of the armed forces of the Crown when acting in aid of the civil power, and what little authority there is relates almost entirely to the duties of soldiers when troops are called upon to assist in controlling a riotous assembly. Where used for such temporary purposes, it may not be inaccurate to describe the legal rights and duties of a soldier as being no more than those of an ordinary citizen in uniform.”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basic position therefore is that soldiers owe the same duties as ordinary citizens, and the latter clearly owe a duty of care in the circumstances.</w:t>
      </w:r>
      <w:r w:rsidRPr="00BE407E">
        <w:rPr>
          <w:rFonts w:ascii="Times New Roman" w:eastAsia="Times New Roman" w:hAnsi="Times New Roman" w:cs="Times New Roman"/>
          <w:sz w:val="24"/>
          <w:szCs w:val="24"/>
        </w:rPr>
        <w:br/>
        <w:t xml:space="preserve">105. I am confirmed in my view that the duty of care is in principle applicable to peace keeping and policing functions of this kind by the fact that soldiers peace keeping in Northern Ireland have from time to time faced negligence claims arising from incidents when they have been required to take aggressive action to preserve the peace in the face of a disorderly and hostile crowd. Again </w:t>
      </w:r>
      <w:r w:rsidRPr="00BE407E">
        <w:rPr>
          <w:rFonts w:ascii="Times New Roman" w:eastAsia="Times New Roman" w:hAnsi="Times New Roman" w:cs="Times New Roman"/>
          <w:i/>
          <w:iCs/>
          <w:sz w:val="24"/>
          <w:szCs w:val="24"/>
        </w:rPr>
        <w:t xml:space="preserve">Livingstone </w:t>
      </w:r>
      <w:r w:rsidRPr="00BE407E">
        <w:rPr>
          <w:rFonts w:ascii="Times New Roman" w:eastAsia="Times New Roman" w:hAnsi="Times New Roman" w:cs="Times New Roman"/>
          <w:sz w:val="24"/>
          <w:szCs w:val="24"/>
        </w:rPr>
        <w:t>is but one example, although the action in negligence failed in that case</w:t>
      </w:r>
      <w:r w:rsidRPr="00BE407E">
        <w:rPr>
          <w:rFonts w:ascii="Times New Roman" w:eastAsia="Times New Roman" w:hAnsi="Times New Roman" w:cs="Times New Roman"/>
          <w:i/>
          <w:iCs/>
          <w:sz w:val="24"/>
          <w:szCs w:val="24"/>
        </w:rPr>
        <w:t xml:space="preserve">. A fortiori </w:t>
      </w:r>
      <w:r w:rsidRPr="00BE407E">
        <w:rPr>
          <w:rFonts w:ascii="Times New Roman" w:eastAsia="Times New Roman" w:hAnsi="Times New Roman" w:cs="Times New Roman"/>
          <w:sz w:val="24"/>
          <w:szCs w:val="24"/>
        </w:rPr>
        <w:t>in my view these soldiers were subject to a duty when, as I have found, there was no relevant aggressive action directed against the authorities at all.</w:t>
      </w:r>
      <w:r w:rsidRPr="00BE407E">
        <w:rPr>
          <w:rFonts w:ascii="Times New Roman" w:eastAsia="Times New Roman" w:hAnsi="Times New Roman" w:cs="Times New Roman"/>
          <w:sz w:val="24"/>
          <w:szCs w:val="24"/>
        </w:rPr>
        <w:br/>
        <w:t>106. It follows that in my view the defences on which the defendant seeks to rely are not available to them.</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Contributory Fault.</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107. Finally I turn to consider the issue of contributory fault. Mr Miller contends that the claimants are contributorily negligent. He submits that by agreeing to travel in a vehicle with someone who, to their knowledge, was firing a gun in a potentially provocative manner, they were acting recklessly and contributing to their own injury. Moreover, he submits, and I accept, that they must have known that there was an embargo on the use of guns.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108. It is well established that in assessing whether or not to apportion liability under the Law Reform (Contributory Negligence) Act 1945 it is necessary to have regard both to causation and to blameworthiness.</w:t>
      </w:r>
      <w:r w:rsidRPr="00BE407E">
        <w:rPr>
          <w:rFonts w:ascii="Times New Roman" w:eastAsia="Times New Roman" w:hAnsi="Times New Roman" w:cs="Times New Roman"/>
          <w:sz w:val="24"/>
          <w:szCs w:val="24"/>
        </w:rPr>
        <w:br/>
        <w:t>109. In my judgment it cannot sensibly be said that the claimants by their conduct shared in the responsibility for their injuries. Any imprudence on their part was dwarfed by the acts of the soldiers. The latter deliberately and without justification caused these injuries, and in my view it would not be just or equitable to reduce the damages on grounds of contributory fault.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Conclusion.</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112. In my judgment the claimants succeed in establishing that the defendant is liable to them in negligence and also, in the case of Mohamet Bici, in trespass to the person. The amount of damages will have to be assessed at a separate hearing.</w:t>
      </w:r>
      <w:r w:rsidRPr="00BE407E">
        <w:rPr>
          <w:rFonts w:ascii="Times New Roman" w:eastAsia="Times New Roman" w:hAnsi="Times New Roman" w:cs="Times New Roman"/>
          <w:sz w:val="24"/>
          <w:szCs w:val="24"/>
        </w:rPr>
        <w:br/>
        <w:t>113. It would, however, be wrong to leave this judgment without putting this incident in context. The British Army can justifiably be proud of the operation it carried out in Kosovo. It helped to bring peace to a scarred and deeply divided community, and will have saved countless lives. It displayed professionalism and discipline of the highest quality. The soldiers on the ground had to carry out difficult and highly responsible tasks which required a combination of courage and sensitivity. In general, they discharged their duties with considerable credit. But soldiers are human; from time to time mistakes are inevitable, and even the most rigorous discipline will crack. In this case the fall from the Army’s usual high standards led to tragic consequences for the victims and their families. The Queen’s uniform is not a licence to commit wrongdoing, and it has never been suggested that it should be. The Army should be held accountable for such shortcomings, even where the victims are from the very community which has benefited so much from the Army’s assistance. A proper system of justice requires no less.</w:t>
      </w:r>
      <w:r>
        <w:rPr>
          <w:rFonts w:ascii="Times New Roman" w:eastAsia="Times New Roman" w:hAnsi="Times New Roman" w:cs="Times New Roman"/>
          <w:noProof/>
          <w:sz w:val="24"/>
          <w:szCs w:val="24"/>
        </w:rPr>
        <w:drawing>
          <wp:inline distT="0" distB="0" distL="0" distR="0">
            <wp:extent cx="151130" cy="142875"/>
            <wp:effectExtent l="19050" t="0" r="1270" b="0"/>
            <wp:docPr id="3076" name="Imagen 30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Goldstar case</w:t>
      </w:r>
      <w:r w:rsidRPr="00BE407E">
        <w:rPr>
          <w:rFonts w:ascii="Times New Roman" w:eastAsia="Times New Roman" w:hAnsi="Times New Roman" w:cs="Times New Roman"/>
          <w:sz w:val="24"/>
          <w:szCs w:val="24"/>
        </w:rPr>
        <w:t xml:space="preserve"> in 1992, a US Court of Appeals rejected a claim brought against the US government by Panamanian nationals whose business establishments had been looted during the US intervention in Panama. The plaintiffs argued,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that Article 3 of 1907 Hague Convention (IV) provided them with a remedy which could be enforced before the US courts and that the United States had waived its sovereign immunity under this self-executing provision. The Court rejected this argument, holding that the Hague Convention was not self-executing and stating:</w:t>
      </w:r>
      <w:r w:rsidRPr="00BE407E">
        <w:rPr>
          <w:rFonts w:ascii="Times New Roman" w:eastAsia="Times New Roman" w:hAnsi="Times New Roman" w:cs="Times New Roman"/>
          <w:sz w:val="24"/>
          <w:szCs w:val="24"/>
        </w:rPr>
        <w:br/>
        <w:t>International treaties are not presumed to be self-executing … Courts will only find a treaty to be self-executing if the document, as a whole, evidences an intent to provide a private right of action … The Hague Convention does not explicitly provide for a privately enforceable cause of action. Moreover, we find that a reasonable reading as a whole does not lead to the conclusion that the signatories intended to provide such a right.</w:t>
      </w:r>
      <w:r>
        <w:rPr>
          <w:rFonts w:ascii="Times New Roman" w:eastAsia="Times New Roman" w:hAnsi="Times New Roman" w:cs="Times New Roman"/>
          <w:noProof/>
          <w:sz w:val="24"/>
          <w:szCs w:val="24"/>
        </w:rPr>
        <w:drawing>
          <wp:inline distT="0" distB="0" distL="0" distR="0">
            <wp:extent cx="151130" cy="142875"/>
            <wp:effectExtent l="19050" t="0" r="1270" b="0"/>
            <wp:docPr id="3077" name="Imagen 30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Princz case</w:t>
      </w:r>
      <w:r w:rsidRPr="00BE407E">
        <w:rPr>
          <w:rFonts w:ascii="Times New Roman" w:eastAsia="Times New Roman" w:hAnsi="Times New Roman" w:cs="Times New Roman"/>
          <w:sz w:val="24"/>
          <w:szCs w:val="24"/>
        </w:rPr>
        <w:t xml:space="preserve"> in 1992 in which the plaintiff had brought an action for damages against Germany based on his internment by the Nazi regime during the Second World War, a US District Court affirmed its subject matter jurisdiction and rejected the claim of sovereign immunity by Germany. It held that Germany was stopped from relying on State immunity and that:</w:t>
      </w:r>
      <w:r w:rsidRPr="00BE407E">
        <w:rPr>
          <w:rFonts w:ascii="Times New Roman" w:eastAsia="Times New Roman" w:hAnsi="Times New Roman" w:cs="Times New Roman"/>
          <w:sz w:val="24"/>
          <w:szCs w:val="24"/>
        </w:rPr>
        <w:br/>
        <w:t xml:space="preserve">Under the circumstances of this case, a nation that does not respect the civil and human rights of an American citizen is barred from invoking United States law [i.e. immunity under the Foreign Sovereign Immunities Act of 1976] to block the citizen in his effort to vindicate his rights. In such a case, Plaintiff has a right to have his claim heard by a U.S. </w:t>
      </w:r>
      <w:r w:rsidRPr="00BE407E">
        <w:rPr>
          <w:rFonts w:ascii="Times New Roman" w:eastAsia="Times New Roman" w:hAnsi="Times New Roman" w:cs="Times New Roman"/>
          <w:sz w:val="24"/>
          <w:szCs w:val="24"/>
        </w:rPr>
        <w:lastRenderedPageBreak/>
        <w:t>court.</w:t>
      </w:r>
      <w:r>
        <w:rPr>
          <w:rFonts w:ascii="Times New Roman" w:eastAsia="Times New Roman" w:hAnsi="Times New Roman" w:cs="Times New Roman"/>
          <w:noProof/>
          <w:sz w:val="24"/>
          <w:szCs w:val="24"/>
        </w:rPr>
        <w:drawing>
          <wp:inline distT="0" distB="0" distL="0" distR="0">
            <wp:extent cx="151130" cy="142875"/>
            <wp:effectExtent l="19050" t="0" r="1270" b="0"/>
            <wp:docPr id="3078" name="Imagen 30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Mochizuki case</w:t>
      </w:r>
      <w:r w:rsidRPr="00BE407E">
        <w:rPr>
          <w:rFonts w:ascii="Times New Roman" w:eastAsia="Times New Roman" w:hAnsi="Times New Roman" w:cs="Times New Roman"/>
          <w:sz w:val="24"/>
          <w:szCs w:val="24"/>
        </w:rPr>
        <w:t xml:space="preserve"> in 1998, a class action brought by Latin American nationals of Japanese ancestry who had been arrested in various Latin American countries during the Second World War and who had been brought to the United States and interned, and who were not entitled to benefit from the terms of the 1988 Law on Restitution for WWII Internment of Japanese-Americans and Aleuts (as amended) because they were not US nationals, the US Court of Federal Claims preliminarily approved the settlement agreement entered into by the parties shortly before, which grants each member of the group of plaintiffs US$ 5,000 in compensation to be paid by the United States.</w:t>
      </w:r>
      <w:r>
        <w:rPr>
          <w:rFonts w:ascii="Times New Roman" w:eastAsia="Times New Roman" w:hAnsi="Times New Roman" w:cs="Times New Roman"/>
          <w:noProof/>
          <w:sz w:val="24"/>
          <w:szCs w:val="24"/>
        </w:rPr>
        <w:drawing>
          <wp:inline distT="0" distB="0" distL="0" distR="0">
            <wp:extent cx="151130" cy="142875"/>
            <wp:effectExtent l="19050" t="0" r="1270" b="0"/>
            <wp:docPr id="3079" name="Imagen 30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In July 1999, Barclays Bank, having been sued before a US District Court along with various other banks with branches, operations or predecessors in France during the Second World War by families of Jewish customers in France who had lost their assets during the German occupation, agreed to the so-called Barclays French Bank Settlement which provided for the establishment of a US$ 3,612,500 fund to compensate the victims.</w:t>
      </w:r>
      <w:r>
        <w:rPr>
          <w:rFonts w:ascii="Times New Roman" w:eastAsia="Times New Roman" w:hAnsi="Times New Roman" w:cs="Times New Roman"/>
          <w:noProof/>
          <w:sz w:val="24"/>
          <w:szCs w:val="24"/>
        </w:rPr>
        <w:drawing>
          <wp:inline distT="0" distB="0" distL="0" distR="0">
            <wp:extent cx="151130" cy="142875"/>
            <wp:effectExtent l="19050" t="0" r="1270" b="0"/>
            <wp:docPr id="3080" name="Imagen 30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In 2000, J.P. Morgan agreed to settle compensation claims by the so-called J.P. Morgan Settlement Agreement which provided for the establishment of a settlement fund of US$ 2,750,000 to compensate Jewish victims of the Holocaust who had seen their bank accounts seized during the Second World War in France.</w:t>
      </w:r>
      <w:r>
        <w:rPr>
          <w:rFonts w:ascii="Times New Roman" w:eastAsia="Times New Roman" w:hAnsi="Times New Roman" w:cs="Times New Roman"/>
          <w:noProof/>
          <w:sz w:val="24"/>
          <w:szCs w:val="24"/>
        </w:rPr>
        <w:drawing>
          <wp:inline distT="0" distB="0" distL="0" distR="0">
            <wp:extent cx="151130" cy="142875"/>
            <wp:effectExtent l="19050" t="0" r="1270" b="0"/>
            <wp:docPr id="3081" name="Imagen 30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Holocaust Victims Assets case</w:t>
      </w:r>
      <w:r w:rsidRPr="00BE407E">
        <w:rPr>
          <w:rFonts w:ascii="Times New Roman" w:eastAsia="Times New Roman" w:hAnsi="Times New Roman" w:cs="Times New Roman"/>
          <w:sz w:val="24"/>
          <w:szCs w:val="24"/>
        </w:rPr>
        <w:t xml:space="preserve"> in 2000, a US District Court approved a class-action Settlement Agreement between Holocaust victims and Swiss banks agreed in August 1998, finding it fair, reasonable and adequate. The Agreement set up a US $1.25 billion fund to be created in four annual instalments over three years. In addition, it released, with few exceptions, “the Swiss Confederation, the Swiss National Bank, all other Swiss banks, and other members of Swiss industry”.</w:t>
      </w:r>
      <w:r>
        <w:rPr>
          <w:rFonts w:ascii="Times New Roman" w:eastAsia="Times New Roman" w:hAnsi="Times New Roman" w:cs="Times New Roman"/>
          <w:noProof/>
          <w:sz w:val="24"/>
          <w:szCs w:val="24"/>
        </w:rPr>
        <w:drawing>
          <wp:inline distT="0" distB="0" distL="0" distR="0">
            <wp:extent cx="151130" cy="142875"/>
            <wp:effectExtent l="19050" t="0" r="1270" b="0"/>
            <wp:docPr id="3082" name="Imagen 30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 xml:space="preserve">In the </w:t>
      </w:r>
      <w:r w:rsidRPr="00BE407E">
        <w:rPr>
          <w:rFonts w:ascii="Times New Roman" w:eastAsia="Times New Roman" w:hAnsi="Times New Roman" w:cs="Times New Roman"/>
          <w:i/>
          <w:iCs/>
          <w:sz w:val="24"/>
          <w:szCs w:val="24"/>
        </w:rPr>
        <w:t>Comfort Women case</w:t>
      </w:r>
      <w:r w:rsidRPr="00BE407E">
        <w:rPr>
          <w:rFonts w:ascii="Times New Roman" w:eastAsia="Times New Roman" w:hAnsi="Times New Roman" w:cs="Times New Roman"/>
          <w:sz w:val="24"/>
          <w:szCs w:val="24"/>
        </w:rPr>
        <w:t xml:space="preserve"> in 2001 dealing with the claim of 15 Asian women seeking compensation from Japan for having been used, during the Second World War, by Japanese military as so-called “comfort women”, a US District Court dismissed the complaint for lack of subject matter jurisdiction and, additionally, nonjusticiability on the ground of the political question doctrine. It stated, however, that “for [these] reasons, this court is unable to provide plaintiffs the redress they seek and surely deserve”.</w:t>
      </w:r>
      <w:r>
        <w:rPr>
          <w:rFonts w:ascii="Times New Roman" w:eastAsia="Times New Roman" w:hAnsi="Times New Roman" w:cs="Times New Roman"/>
          <w:noProof/>
          <w:sz w:val="24"/>
          <w:szCs w:val="24"/>
        </w:rPr>
        <w:drawing>
          <wp:inline distT="0" distB="0" distL="0" distR="0">
            <wp:extent cx="151130" cy="142875"/>
            <wp:effectExtent l="19050" t="0" r="1270" b="0"/>
            <wp:docPr id="3083" name="Imagen 30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May 2004, the US Secretary of Defense appeared before The House Armed Services Committee, following the public revelations of detainee abuse by US service personnel at Abu Ghraib prison in Iraq. In his testimony, the Secretary of Defense stated that “I am seeking a way to provide appropriate compensation to those detainees who suffered such grievous and brutal abuse and cruelty at the hands of a few members of the U.S. military.”</w:t>
      </w:r>
      <w:r>
        <w:rPr>
          <w:rFonts w:ascii="Times New Roman" w:eastAsia="Times New Roman" w:hAnsi="Times New Roman" w:cs="Times New Roman"/>
          <w:noProof/>
          <w:sz w:val="24"/>
          <w:szCs w:val="24"/>
        </w:rPr>
        <w:drawing>
          <wp:inline distT="0" distB="0" distL="0" distR="0">
            <wp:extent cx="151130" cy="142875"/>
            <wp:effectExtent l="19050" t="0" r="1270" b="0"/>
            <wp:docPr id="3084" name="Imagen 30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Hwang Geum Joo (Comfort Women) case</w:t>
      </w:r>
      <w:r w:rsidRPr="00BE407E">
        <w:rPr>
          <w:rFonts w:ascii="Times New Roman" w:eastAsia="Times New Roman" w:hAnsi="Times New Roman" w:cs="Times New Roman"/>
          <w:sz w:val="24"/>
          <w:szCs w:val="24"/>
        </w:rPr>
        <w:t xml:space="preserve"> in 2005, 15 women from China, Taiwan, the Republic of Korea and the Philippines sued Japan under the Alien Tort Statute “seeking money damages for [allegedly] having been subjected to sexual slavery and torture before and during World War II”, in violation of “both positive and customary international law”. The Court of Appeals for the District of Columbia Circuit affirmed the judgment of the District Court (which had found that, as the alleged activities did not fall within the commercial activity exception in the Foreign Sovereign Immunities Act, Japan had sovereign immunity), on the ground that the case presented a nonjusticiable political question, namely, whether the governments of the appellants’ countries foreclosed the appellants’ claims in the peace treaties they had signed with Japan:</w:t>
      </w:r>
      <w:r w:rsidRPr="00BE407E">
        <w:rPr>
          <w:rFonts w:ascii="Times New Roman" w:eastAsia="Times New Roman" w:hAnsi="Times New Roman" w:cs="Times New Roman"/>
          <w:sz w:val="24"/>
          <w:szCs w:val="24"/>
        </w:rPr>
        <w:br/>
        <w:t xml:space="preserve">Even if we assume, however, as the appellants contend, that the 1951 Treaty [1951 </w:t>
      </w:r>
      <w:r w:rsidRPr="00BE407E">
        <w:rPr>
          <w:rFonts w:ascii="Times New Roman" w:eastAsia="Times New Roman" w:hAnsi="Times New Roman" w:cs="Times New Roman"/>
          <w:sz w:val="24"/>
          <w:szCs w:val="24"/>
        </w:rPr>
        <w:lastRenderedPageBreak/>
        <w:t>Treaty of Peace between Japan and the Allied Powers, 3 U.S.T. 3169] does not of its own force deprive the courts of the United States of jurisdiction over their claims, it is pellucidly clear the Allied Powers intended that all war-related claims against Japan be resolved through government-to-government negotiations rather than through private tort suits. Indeed, Article 26 of the Treaty obligated Japan to enter “bilateral” peace treaties with non-Allied states “on the same or substantially the same terms as are provided for in the present treaty,” which indicates the Allied Powers expected Japan to resolve other states’ claims, like their own, through government-to-government agreement.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The governments of the appellants’ countries apparently had the authority – at least the appellants do not contest the point to bargain away their private claims in negotiating a peace with Japan and, as we noted previously, it appears “in fact [they] did.” </w:t>
      </w:r>
      <w:r w:rsidRPr="00BE407E">
        <w:rPr>
          <w:rFonts w:ascii="Times New Roman" w:eastAsia="Times New Roman" w:hAnsi="Times New Roman" w:cs="Times New Roman"/>
          <w:i/>
          <w:iCs/>
          <w:sz w:val="24"/>
          <w:szCs w:val="24"/>
        </w:rPr>
        <w:t>332 F.3d at 685</w:t>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The question whether the war-related claims of foreign nationals were extinguished when the governments of their countries entered into peace treaties with Japan is one that concerns the United States only with respect to her foreign relations, the authority for which is demonstrably committed by our Constitution not to the courts but to the political branches, with “the President [having] the ‘lead role.’” </w:t>
      </w:r>
      <w:r w:rsidRPr="00BE407E">
        <w:rPr>
          <w:rFonts w:ascii="Times New Roman" w:eastAsia="Times New Roman" w:hAnsi="Times New Roman" w:cs="Times New Roman"/>
          <w:i/>
          <w:iCs/>
          <w:sz w:val="24"/>
          <w:szCs w:val="24"/>
        </w:rPr>
        <w:t>Garamendi, 539 U.S. at 423 n.12</w:t>
      </w:r>
      <w:r w:rsidRPr="00BE407E">
        <w:rPr>
          <w:rFonts w:ascii="Times New Roman" w:eastAsia="Times New Roman" w:hAnsi="Times New Roman" w:cs="Times New Roman"/>
          <w:sz w:val="24"/>
          <w:szCs w:val="24"/>
        </w:rPr>
        <w:t xml:space="preserve">. And with respect to that question, the history of management by the political branches, </w:t>
      </w:r>
      <w:r w:rsidRPr="00BE407E">
        <w:rPr>
          <w:rFonts w:ascii="Times New Roman" w:eastAsia="Times New Roman" w:hAnsi="Times New Roman" w:cs="Times New Roman"/>
          <w:i/>
          <w:iCs/>
          <w:sz w:val="24"/>
          <w:szCs w:val="24"/>
        </w:rPr>
        <w:t>Baker, 369 U.S. at 211</w:t>
      </w:r>
      <w:r w:rsidRPr="00BE407E">
        <w:rPr>
          <w:rFonts w:ascii="Times New Roman" w:eastAsia="Times New Roman" w:hAnsi="Times New Roman" w:cs="Times New Roman"/>
          <w:sz w:val="24"/>
          <w:szCs w:val="24"/>
        </w:rPr>
        <w:t>, is clear and consistent: Since the conclusion of World War II, it has been the foreign policy of the United States “to effect as complete and lasting a peace with Japan as possible by closing the door on the litigation of war-related claims, and instead effecting the resolution of those claims through political means.”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Here, however, the United States is not a party to the treaties the meaning of which is in dispute, and the Executive does not urge us to adopt a particular interpretation of those treaties. Rather, the Executive has persuasively demonstrated that adjudication by a domestic court not only “would undo” a settled foreign policy of state-to-state negotiation with Japan, but also could disrupt Japan’s “delicate” relations with China and Korea, thereby creating “serious implications for stability in the region.”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Is it the province of a court in the United States to decide whether Korea’s or Japan’s reading of the treaty between them is correct, when the Executive has determined that choosing between the interests of two foreign states in order to adjudicate a private claim against one of them would adversely affect the foreign relations of the United States? Decidedly not. The Executive’s judgment that adjudication by a domestic court would be inimical to the foreign policy interests of the United States is compelling and renders this case nonjusticiable under the political question doctrine.</w:t>
      </w:r>
      <w:r>
        <w:rPr>
          <w:rFonts w:ascii="Times New Roman" w:eastAsia="Times New Roman" w:hAnsi="Times New Roman" w:cs="Times New Roman"/>
          <w:noProof/>
          <w:sz w:val="24"/>
          <w:szCs w:val="24"/>
        </w:rPr>
        <w:drawing>
          <wp:inline distT="0" distB="0" distL="0" distR="0">
            <wp:extent cx="151130" cy="142875"/>
            <wp:effectExtent l="19050" t="0" r="1270" b="0"/>
            <wp:docPr id="3085" name="Imagen 30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2007, in the </w:t>
      </w:r>
      <w:r w:rsidRPr="00BE407E">
        <w:rPr>
          <w:rFonts w:ascii="Times New Roman" w:eastAsia="Times New Roman" w:hAnsi="Times New Roman" w:cs="Times New Roman"/>
          <w:i/>
          <w:iCs/>
          <w:sz w:val="24"/>
          <w:szCs w:val="24"/>
        </w:rPr>
        <w:t>In re</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Iraq and Afghanistan Detainees Litigation cases</w:t>
      </w:r>
      <w:r w:rsidRPr="00BE407E">
        <w:rPr>
          <w:rFonts w:ascii="Times New Roman" w:eastAsia="Times New Roman" w:hAnsi="Times New Roman" w:cs="Times New Roman"/>
          <w:sz w:val="24"/>
          <w:szCs w:val="24"/>
        </w:rPr>
        <w:t>, in which nine plaintiff detainees sought monetary damages and declaratory relief against the defendants, who they claimed were liable for torture and abuse inflicted on them while detained by the United States military during hostilities in Iraq and Afghanistan, the Court granted the defendant’s motion to dismiss. The Court stated:</w:t>
      </w:r>
      <w:r w:rsidRPr="00BE407E">
        <w:rPr>
          <w:rFonts w:ascii="Times New Roman" w:eastAsia="Times New Roman" w:hAnsi="Times New Roman" w:cs="Times New Roman"/>
          <w:sz w:val="24"/>
          <w:szCs w:val="24"/>
        </w:rPr>
        <w:br/>
        <w:t xml:space="preserve">The Court cautions against the myopic approach advocated by the plaintiffs and </w:t>
      </w:r>
      <w:r w:rsidRPr="00BE407E">
        <w:rPr>
          <w:rFonts w:ascii="Times New Roman" w:eastAsia="Times New Roman" w:hAnsi="Times New Roman" w:cs="Times New Roman"/>
          <w:i/>
          <w:iCs/>
          <w:sz w:val="24"/>
          <w:szCs w:val="24"/>
        </w:rPr>
        <w:t>amici,</w:t>
      </w:r>
      <w:r w:rsidRPr="00BE407E">
        <w:rPr>
          <w:rFonts w:ascii="Times New Roman" w:eastAsia="Times New Roman" w:hAnsi="Times New Roman" w:cs="Times New Roman"/>
          <w:sz w:val="24"/>
          <w:szCs w:val="24"/>
        </w:rPr>
        <w:t xml:space="preserve"> which essentially frames the issue as whether torture is universally prohibited and thereby warrants a judicially-created remedy under the circumstances. There is no getting around the fact that authorizing monetary damages remedies against military </w:t>
      </w:r>
      <w:r w:rsidRPr="00BE407E">
        <w:rPr>
          <w:rFonts w:ascii="Times New Roman" w:eastAsia="Times New Roman" w:hAnsi="Times New Roman" w:cs="Times New Roman"/>
          <w:sz w:val="24"/>
          <w:szCs w:val="24"/>
        </w:rPr>
        <w:lastRenderedPageBreak/>
        <w:t xml:space="preserve">officials engaged in an active war would invite enemies to use our own federal courts to obstruct the Armed Forces’ ability to act decisively and without hesitation in defense of our liberty and national interests, a prospect the Supreme Court found intolerable in </w:t>
      </w:r>
      <w:r w:rsidRPr="00BE407E">
        <w:rPr>
          <w:rFonts w:ascii="Times New Roman" w:eastAsia="Times New Roman" w:hAnsi="Times New Roman" w:cs="Times New Roman"/>
          <w:i/>
          <w:iCs/>
          <w:sz w:val="24"/>
          <w:szCs w:val="24"/>
        </w:rPr>
        <w:t>Eisentrager: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Such trials would hamper the war effort and bring aid and comfort to the enemy. They would diminish the prestige of our commanders, not only with enemies but with wavering neutrals. It would be difficult to devise more effective fettering of a field commander than to allow the very enemies he is ordered to reduce to submission to call him to account in his own civil courts and divert his efforts and attention from the military offensive abroad to the legal defensive at home. Nor is it unlikely that the result of such enemy litigiousness would be a conflict between judicial and military opinion highly comforting to enemies of the United States.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Although the Supreme Court’s concern was voiced in the context of granting writs of habeas corpus to enemy aliens, the same reasoning is equally applicable here. The discovery process alone risks aiding our enemies by affording them a mechanism to obtain what information they could about military affairs and disrupt command missions by wresting officials from the battlefield to answer compelled deposition and other discovery inquiries about the military’s interrogation and detention policies, practices, and procedures. Military discipline and morale surely would be eroded by the spectacle of high-ranking military officials being ha[u]led into our own courts to defend against our enemies’ legal challenges, which might leave subordinate personnel questioning the authority by which they are being commanded and further encumber the military’s ability to act decisively. Commanders likely would hesitate to act for fear of being held personally liable for any injuries resulting from their conduct. These are only some of the many reasons why “[e]xecutive power over enemy aliens, undelayed and unhampered by litigation, has been deemed, throughout our history, essential to war-time security.” </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It is established beyond peradventure that military affairs, foreign relations, and national security are constitutionally committed to the political branches of our government and “the propriety of what may be done in the exercise of this political power is not subject to judicial inquiry or decision.” </w:t>
      </w:r>
      <w:r w:rsidRPr="00BE407E">
        <w:rPr>
          <w:rFonts w:ascii="Times New Roman" w:eastAsia="Times New Roman" w:hAnsi="Times New Roman" w:cs="Times New Roman"/>
          <w:i/>
          <w:iCs/>
          <w:sz w:val="24"/>
          <w:szCs w:val="24"/>
        </w:rPr>
        <w:t>Oetjen v. Central Leather Co., 246 U.S. 297, 302, 38 S. Ct. 309, 62 L. Ed. 726 (1918)</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Schneider v. Kissinger, 366 U.S. App. D.C. 408, 412 F.3d 190, 194 (D.C. Cir. 2005)</w:t>
      </w:r>
      <w:r w:rsidRPr="00BE407E">
        <w:rPr>
          <w:rFonts w:ascii="Times New Roman" w:eastAsia="Times New Roman" w:hAnsi="Times New Roman" w:cs="Times New Roman"/>
          <w:sz w:val="24"/>
          <w:szCs w:val="24"/>
        </w:rPr>
        <w:t xml:space="preserve"> (“Absent precedent, there could still be no doubt that decision-making in the fields of foreign policy and national security is textually committed to the political branches of government.”). Although it may be the case that standards appropriate for judicial application are available to resolve whether certain acts constitute torture, in the unique factual circumstances presented here that legal determination invariably would place the Court in the position of inquiring into the propriety of specific interrogation techniques and detention practices employed by the military while prosecuting wars. Some methods undoubtedly might be deemed improper and unlawful, but others might not – and still others might occupy a place on the periphery between the two. Military, executive, and congressional officials might arrive at a different conclusion from the judiciary about where on the spectrum a particular interrogation technique falls and whether it was, or is, properly used to obtain information about our enemies while conducting a war. It is at this point of divergence that the judiciary most risks intruding into military and foreign affairs. The hazard of such multifarious pronouncements – combined with the constitutional commitment of military and foreign affairs to the political branches and the Court’s previously expressed concerns about hindering our military’s ability to act unhesitatingly and </w:t>
      </w:r>
      <w:r w:rsidRPr="00BE407E">
        <w:rPr>
          <w:rFonts w:ascii="Times New Roman" w:eastAsia="Times New Roman" w:hAnsi="Times New Roman" w:cs="Times New Roman"/>
          <w:sz w:val="24"/>
          <w:szCs w:val="24"/>
        </w:rPr>
        <w:lastRenderedPageBreak/>
        <w:t>decisively – warrant leaving to Congress the determination whether a damages remedy should be available under the circumstances presented here.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In addition to invoking the Alien Tort Statue as authority for a cause of action for money damages to remedy alleged violations of Geneva Convention IV, the plaintiffs also assert that the treaty itself provides a private right to sue … The plaintiffs point to Articles 3, 27, 31, 32, 118 and 119 of Geneva Convention IV as self-executing provisions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The Court is not convinced that Geneva Convention IV is self-executing and establishes individual rights that may be judicially enforced via private lawsuits in federal courts. “Absent authorizing legislation, an individual has access to courts for enforcement of a treaty’s provisions only when the treaty is self-executing, that is, when it expressly or impliedly provides a private right of action.” </w:t>
      </w:r>
      <w:r w:rsidRPr="00BE407E">
        <w:rPr>
          <w:rFonts w:ascii="Times New Roman" w:eastAsia="Times New Roman" w:hAnsi="Times New Roman" w:cs="Times New Roman"/>
          <w:i/>
          <w:iCs/>
          <w:sz w:val="24"/>
          <w:szCs w:val="24"/>
        </w:rPr>
        <w:t>Tel-Oren v. Libyan Arab Republic</w:t>
      </w:r>
      <w:r w:rsidRPr="00BE407E">
        <w:rPr>
          <w:rFonts w:ascii="Times New Roman" w:eastAsia="Times New Roman" w:hAnsi="Times New Roman" w:cs="Times New Roman"/>
          <w:sz w:val="24"/>
          <w:szCs w:val="24"/>
        </w:rPr>
        <w:t>, 233 U.S. App. D.C. 384, 726 F.2d 774, 808 (D.C. Cir. 1984)</w:t>
      </w:r>
      <w:r w:rsidRPr="00BE407E">
        <w:rPr>
          <w:rFonts w:ascii="Times New Roman" w:eastAsia="Times New Roman" w:hAnsi="Times New Roman" w:cs="Times New Roman"/>
          <w:i/>
          <w:iCs/>
          <w:sz w:val="24"/>
          <w:szCs w:val="24"/>
        </w:rPr>
        <w:t>.</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[I]t is the law of this circuit that a treaty is not self-executing when the rights of individuals are intended to be vindicated through diplomatic recourse. </w:t>
      </w:r>
      <w:r w:rsidRPr="00BE407E">
        <w:rPr>
          <w:rFonts w:ascii="Times New Roman" w:eastAsia="Times New Roman" w:hAnsi="Times New Roman" w:cs="Times New Roman"/>
          <w:i/>
          <w:iCs/>
          <w:sz w:val="24"/>
          <w:szCs w:val="24"/>
        </w:rPr>
        <w:t>Holmes v. Laird</w:t>
      </w:r>
      <w:r w:rsidRPr="00BE407E">
        <w:rPr>
          <w:rFonts w:ascii="Times New Roman" w:eastAsia="Times New Roman" w:hAnsi="Times New Roman" w:cs="Times New Roman"/>
          <w:sz w:val="24"/>
          <w:szCs w:val="24"/>
        </w:rPr>
        <w:t xml:space="preserve">, 148 U.S. App. D.C. 187, 459 F.2d 1211, 1222 (D.C. Cir. 1972). Article 149 provides that any alleged violation of the treaty shall be subject to an “enquiry” at the request of a party to the conflict, which enquiry shall be undertaken according to procedures negotiated by the parties or determined by an agreed-upon umpire. </w:t>
      </w:r>
      <w:r w:rsidRPr="00BE407E">
        <w:rPr>
          <w:rFonts w:ascii="Times New Roman" w:eastAsia="Times New Roman" w:hAnsi="Times New Roman" w:cs="Times New Roman"/>
          <w:i/>
          <w:iCs/>
          <w:sz w:val="24"/>
          <w:szCs w:val="24"/>
        </w:rPr>
        <w:t>Id.</w:t>
      </w:r>
      <w:r w:rsidRPr="00BE407E">
        <w:rPr>
          <w:rFonts w:ascii="Times New Roman" w:eastAsia="Times New Roman" w:hAnsi="Times New Roman" w:cs="Times New Roman"/>
          <w:sz w:val="24"/>
          <w:szCs w:val="24"/>
        </w:rPr>
        <w:t xml:space="preserve"> at art. 149. If a violation of the treaty is established, “the Parties to the conflict shall put an end to it and shall repress it with the least possible delay.” </w:t>
      </w:r>
      <w:r w:rsidRPr="00BE407E">
        <w:rPr>
          <w:rFonts w:ascii="Times New Roman" w:eastAsia="Times New Roman" w:hAnsi="Times New Roman" w:cs="Times New Roman"/>
          <w:i/>
          <w:iCs/>
          <w:sz w:val="24"/>
          <w:szCs w:val="24"/>
        </w:rPr>
        <w:t>Id.</w:t>
      </w:r>
      <w:r w:rsidRPr="00BE407E">
        <w:rPr>
          <w:rFonts w:ascii="Times New Roman" w:eastAsia="Times New Roman" w:hAnsi="Times New Roman" w:cs="Times New Roman"/>
          <w:sz w:val="24"/>
          <w:szCs w:val="24"/>
        </w:rPr>
        <w:t xml:space="preserve"> When considered as a whole, it is apparent from these provisions – which make clear that enforcement of Geneva Convention IV is to be left to the legislation and laws of the parties or to diplomatic enquiry – that the treaty is not intended to be self-executing, in which case the plaintiffs are not entitled to pursue private lawsuits against the defendants for alleged violations.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[T]he recently-enacted Military Commissions Act of 2006, 109 P.L. 366, 120 Stat. 2600, confirms the Court’s view that Geneva Convention IV is not self-executing. Section 5 of the Act states that “[n]o person may invoke the Geneva Conventions or any protocols thereto in any habeas corpus or other civil action or proceeding to which the United States, or a current or former officer, employee, member of the Armed Forces, or other agent of the United States is a party as a source of rights in any court of the United States or its States or territories.” However, given that the other stated grounds support the Court’s conclusion that Geneva Convention IV is not self-executing, it is not necessary to address at this time whether the Military Commissions Act of 2006 has retroactive application to the plaintiffs’ lawsuit.</w:t>
      </w:r>
      <w:r w:rsidRPr="00BE407E">
        <w:rPr>
          <w:rFonts w:ascii="Times New Roman" w:eastAsia="Times New Roman" w:hAnsi="Times New Roman" w:cs="Times New Roman"/>
          <w:sz w:val="24"/>
          <w:szCs w:val="24"/>
        </w:rPr>
        <w:br/>
        <w:t>Because Geneva Convention IV manifests an intent to be enforced through legislation or diplomacy, it is not a self-executing treaty that provides a private right for the plaintiffs to sue the defendants for money damages. The plaintiffs’ cause of action for violations of Geneva Convention IV therefore fails to state a claim for relief and will be dismissed.</w:t>
      </w:r>
      <w:r>
        <w:rPr>
          <w:rFonts w:ascii="Times New Roman" w:eastAsia="Times New Roman" w:hAnsi="Times New Roman" w:cs="Times New Roman"/>
          <w:noProof/>
          <w:sz w:val="24"/>
          <w:szCs w:val="24"/>
        </w:rPr>
        <w:drawing>
          <wp:inline distT="0" distB="0" distL="0" distR="0">
            <wp:extent cx="151130" cy="142875"/>
            <wp:effectExtent l="19050" t="0" r="1270" b="0"/>
            <wp:docPr id="3086" name="Imagen 30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2" w:history="1">
        <w:r w:rsidRPr="00BE407E">
          <w:rPr>
            <w:rFonts w:ascii="Times New Roman" w:eastAsia="Times New Roman" w:hAnsi="Times New Roman" w:cs="Times New Roman"/>
            <w:color w:val="0000FF"/>
            <w:sz w:val="24"/>
            <w:szCs w:val="24"/>
            <w:u w:val="single"/>
          </w:rPr>
          <w:t>VI. Other National Practice</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Bosnia and Herzegovina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1993, in the Application of the Convention on the Prevention and Punishment of the Crime of Genocide case (Bosnia and Herzegovina v. Serbia and Montenegro), Bosnia and Herzegovina initiated proceedings, claiming</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that reparations must be paid by Yugoslavia (Serbia and Montenegro) to the Applicant for all the death, destruction, physical and mental injury, property damage and environmental harm that have been inflicted upon It and its People by the Respondent and its agents and surrogates in violation of all the sources of international law specified above and in particular for grossly violating the Genocide Convention, the United Nations Charter, the four Geneva Conventions of 1949 and their Additional Protocol I of 1977, the Hague Regulations on Land Warfare of 1907, the Universal Declaration of Human Rights of 1948, and numerous other international treaties and agreements, principles of customary international law, the laws of war, international humanitarian law, international criminal law, and </w:t>
      </w:r>
      <w:r w:rsidRPr="00BE407E">
        <w:rPr>
          <w:rFonts w:ascii="Times New Roman" w:eastAsia="Times New Roman" w:hAnsi="Times New Roman" w:cs="Times New Roman"/>
          <w:i/>
          <w:iCs/>
          <w:sz w:val="24"/>
          <w:szCs w:val="24"/>
        </w:rPr>
        <w:t xml:space="preserve">jus cogens </w:t>
      </w:r>
      <w:r w:rsidRPr="00BE407E">
        <w:rPr>
          <w:rFonts w:ascii="Times New Roman" w:eastAsia="Times New Roman" w:hAnsi="Times New Roman" w:cs="Times New Roman"/>
          <w:sz w:val="24"/>
          <w:szCs w:val="24"/>
        </w:rPr>
        <w:t>that will be specified in further submissions by Bosnia and Herzegovina.</w:t>
      </w:r>
      <w:r>
        <w:rPr>
          <w:rFonts w:ascii="Times New Roman" w:eastAsia="Times New Roman" w:hAnsi="Times New Roman" w:cs="Times New Roman"/>
          <w:noProof/>
          <w:sz w:val="24"/>
          <w:szCs w:val="24"/>
        </w:rPr>
        <w:drawing>
          <wp:inline distT="0" distB="0" distL="0" distR="0">
            <wp:extent cx="151130" cy="142875"/>
            <wp:effectExtent l="19050" t="0" r="1270" b="0"/>
            <wp:docPr id="3087" name="Imagen 30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that Yugoslavia (Serbia and Montenegro) ha[d] an obligation to pay Bosnia and Herzegovina, in its own right and as </w:t>
      </w:r>
      <w:r w:rsidRPr="00BE407E">
        <w:rPr>
          <w:rFonts w:ascii="Times New Roman" w:eastAsia="Times New Roman" w:hAnsi="Times New Roman" w:cs="Times New Roman"/>
          <w:i/>
          <w:iCs/>
          <w:sz w:val="24"/>
          <w:szCs w:val="24"/>
        </w:rPr>
        <w:t xml:space="preserve">parens patriae </w:t>
      </w:r>
      <w:r w:rsidRPr="00BE407E">
        <w:rPr>
          <w:rFonts w:ascii="Times New Roman" w:eastAsia="Times New Roman" w:hAnsi="Times New Roman" w:cs="Times New Roman"/>
          <w:sz w:val="24"/>
          <w:szCs w:val="24"/>
        </w:rPr>
        <w:t>for its citizens, reparations for damages to persons and property as well as to the Bosnian economy and environment caused by the foregoing violations of international law in a sum to be determined by the Court. Bosnia and Herzegovina reserve[d] the right to introduce to the Court a precise evaluation of the damages caused by Yugoslavia (Serbia and Montenegro).</w:t>
      </w:r>
      <w:r>
        <w:rPr>
          <w:rFonts w:ascii="Times New Roman" w:eastAsia="Times New Roman" w:hAnsi="Times New Roman" w:cs="Times New Roman"/>
          <w:noProof/>
          <w:sz w:val="24"/>
          <w:szCs w:val="24"/>
        </w:rPr>
        <w:drawing>
          <wp:inline distT="0" distB="0" distL="0" distR="0">
            <wp:extent cx="151130" cy="142875"/>
            <wp:effectExtent l="19050" t="0" r="1270" b="0"/>
            <wp:docPr id="3088" name="Imagen 30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6. That the Federal Republic of Yugoslavia (Serbia and Montenegro) must wipe out the consequences of its international wrongful acts and must restore the situation existing before the violations of the Convention on the Prevention and Punishment of the Crime of Genocide were committed;</w:t>
      </w:r>
      <w:r w:rsidRPr="00BE407E">
        <w:rPr>
          <w:rFonts w:ascii="Times New Roman" w:eastAsia="Times New Roman" w:hAnsi="Times New Roman" w:cs="Times New Roman"/>
          <w:sz w:val="24"/>
          <w:szCs w:val="24"/>
        </w:rPr>
        <w:br/>
        <w:t xml:space="preserve">7. That, as a result of the international responsibility incurred for the above violations of the Convention on the Prevention and Punishment of the Crime of Genocide, the Federal Republic of Yugoslavia (Serbia and Montenegro) is required to pay, and the Republic of Bosnia and Herzegovina is entitled to receive, in its own right and as </w:t>
      </w:r>
      <w:r w:rsidRPr="00BE407E">
        <w:rPr>
          <w:rFonts w:ascii="Times New Roman" w:eastAsia="Times New Roman" w:hAnsi="Times New Roman" w:cs="Times New Roman"/>
          <w:i/>
          <w:iCs/>
          <w:sz w:val="24"/>
          <w:szCs w:val="24"/>
        </w:rPr>
        <w:t>parens patriae</w:t>
      </w:r>
      <w:r w:rsidRPr="00BE407E">
        <w:rPr>
          <w:rFonts w:ascii="Times New Roman" w:eastAsia="Times New Roman" w:hAnsi="Times New Roman" w:cs="Times New Roman"/>
          <w:sz w:val="24"/>
          <w:szCs w:val="24"/>
        </w:rPr>
        <w:t xml:space="preserve"> for its citizens, full compensation for the damages and losses caused, in the amount to be determined by the Court in a subsequent phase of the proceedings in this case.</w:t>
      </w:r>
      <w:r>
        <w:rPr>
          <w:rFonts w:ascii="Times New Roman" w:eastAsia="Times New Roman" w:hAnsi="Times New Roman" w:cs="Times New Roman"/>
          <w:noProof/>
          <w:sz w:val="24"/>
          <w:szCs w:val="24"/>
        </w:rPr>
        <w:drawing>
          <wp:inline distT="0" distB="0" distL="0" distR="0">
            <wp:extent cx="151130" cy="142875"/>
            <wp:effectExtent l="19050" t="0" r="1270" b="0"/>
            <wp:docPr id="3089" name="Imagen 30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8. It is doubtless unnecessary, Madam President, to dwell on the general principles applicable – especially since, let me repeat, the Respondent did not challenge them when they were set out in some detail in the written pleadings of Bosnia and Herzegovina. Besides, they are well known and uncontroversial. It is therefore sufficient to recall that: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basic principle, enunciated by the PCIJ in the </w:t>
      </w:r>
      <w:r w:rsidRPr="00BE407E">
        <w:rPr>
          <w:rFonts w:ascii="Times New Roman" w:eastAsia="Times New Roman" w:hAnsi="Times New Roman" w:cs="Times New Roman"/>
          <w:i/>
          <w:iCs/>
          <w:sz w:val="24"/>
          <w:szCs w:val="24"/>
        </w:rPr>
        <w:t>Factory at Chorzów</w:t>
      </w:r>
      <w:r w:rsidRPr="00BE407E">
        <w:rPr>
          <w:rFonts w:ascii="Times New Roman" w:eastAsia="Times New Roman" w:hAnsi="Times New Roman" w:cs="Times New Roman"/>
          <w:sz w:val="24"/>
          <w:szCs w:val="24"/>
        </w:rPr>
        <w:t xml:space="preserve"> case, “is that reparation must, as far as possible, wipe out all the consequences of the illegal act and re-establish the situation which would, in all probability, have existed if that act has not been committed”;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this basic principle is incorporated in Article 31 of the 2001 Articles of the International Law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 pursuant to the provisions of Article 34 of those same Articles, “[f]ull reparation for the injury caused by the internationally wrongful act shall take the form of restitution, compensation and satisfaction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inasmuch as making restitution means “to re-establish the situation which existed before the wrongful act was committed” - this being a quotation from the ILC [International Law Commission] - it constitutes a prime means of reparation, since it is, by definition, the one best suited to effectively ensuring full redress for the injury sustained;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3. however, to the extent that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proves materially impossible or “out of all proportion to the benefit deriving from restitution instead of compensation”, </w:t>
      </w:r>
      <w:r w:rsidRPr="00BE407E">
        <w:rPr>
          <w:rFonts w:ascii="Times New Roman" w:eastAsia="Times New Roman" w:hAnsi="Times New Roman" w:cs="Times New Roman"/>
          <w:sz w:val="24"/>
          <w:szCs w:val="24"/>
        </w:rPr>
        <w:lastRenderedPageBreak/>
        <w:t>reparation may take the form of compensation involving “payment of a sum corresponding to the value which a restitution in kind would bear”;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4. and lastly, “[t]he State responsible for an internationally wrongful act is under an obligation to give satisfaction for the injury caused by that act insofar as it cannot be made good by restitution or compensation”.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Compensation</w:t>
      </w:r>
      <w:r w:rsidRPr="00BE407E">
        <w:rPr>
          <w:rFonts w:ascii="Times New Roman" w:eastAsia="Times New Roman" w:hAnsi="Times New Roman" w:cs="Times New Roman"/>
          <w:sz w:val="24"/>
          <w:szCs w:val="24"/>
        </w:rPr>
        <w:br/>
        <w:t>13. As I said earlier, Bosnia and Herzegovina is not asking the Court to set the amount of compensation. Indeed, neither this august body, Members of the Court, nor we ourselves have the necessary information for that purpose, not even for the purpose of putting forward some idea of the amount. Bosnia and Herzegovina is convinced that this task lends itself more readily to diplomatic negotiation in good faith, rather than judicial debate, if only because this is undoubtedly a matter for experts rather than jurists – provided, however (though these are important conditions), as I also said before, that the negotiation is not too protracted and that it can be based on a judgment which clearly establishes the applicable legal principles.</w:t>
      </w:r>
      <w:r w:rsidRPr="00BE407E">
        <w:rPr>
          <w:rFonts w:ascii="Times New Roman" w:eastAsia="Times New Roman" w:hAnsi="Times New Roman" w:cs="Times New Roman"/>
          <w:sz w:val="24"/>
          <w:szCs w:val="24"/>
        </w:rPr>
        <w:br/>
        <w:t>14. It seems to us that these should consist, on the one hand, of an enumeration of compensable injuries and, on the other, of an indication of the principles applicable to the calculation of compensation. Bosnia and Herzegovina, for its part, considers that, for both purposes, the rules contained in the relevant provisions of the ILC [A]rticles on State Responsibility for Internationally Wrongful Acts, although they have not been incorporated in any formal convention, reflect the generally applicable rules on the subject and certainly constitute a necessary starting point.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16. There is no need to linger over the principles applicable to compensation in the present case … Those principles are known and should not really present any particular problems in this case. It is true that a serious violation of a norm of </w:t>
      </w:r>
      <w:r w:rsidRPr="00BE407E">
        <w:rPr>
          <w:rFonts w:ascii="Times New Roman" w:eastAsia="Times New Roman" w:hAnsi="Times New Roman" w:cs="Times New Roman"/>
          <w:i/>
          <w:iCs/>
          <w:sz w:val="24"/>
          <w:szCs w:val="24"/>
        </w:rPr>
        <w:t xml:space="preserve">jus cogens </w:t>
      </w:r>
      <w:r w:rsidRPr="00BE407E">
        <w:rPr>
          <w:rFonts w:ascii="Times New Roman" w:eastAsia="Times New Roman" w:hAnsi="Times New Roman" w:cs="Times New Roman"/>
          <w:sz w:val="24"/>
          <w:szCs w:val="24"/>
        </w:rPr>
        <w:t>is involved but, after lengthy deliberations, the ILC [International Law Commission] chose not to hold that this could result in an entitlement to punitive damages and no such provision is made in Articles 40 and 41, which deal with violations of this kind. Bosnia and Herzegovina therefore respectfully requests you, Members of the Court, to indicate the classic basic principles applicable for the guidance of the Parties in the implementation of your Judgment.</w:t>
      </w:r>
      <w:r>
        <w:rPr>
          <w:rFonts w:ascii="Times New Roman" w:eastAsia="Times New Roman" w:hAnsi="Times New Roman" w:cs="Times New Roman"/>
          <w:noProof/>
          <w:sz w:val="24"/>
          <w:szCs w:val="24"/>
        </w:rPr>
        <w:drawing>
          <wp:inline distT="0" distB="0" distL="0" distR="0">
            <wp:extent cx="151130" cy="142875"/>
            <wp:effectExtent l="19050" t="0" r="1270" b="0"/>
            <wp:docPr id="3090" name="Imagen 30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6. That the violations of international law set out in submissions 1 to 5 constitute wrongful acts attributable to Serbia and Montenegro which entail its international responsibility, and, accordingly,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 xml:space="preserve">(b) </w:t>
      </w:r>
      <w:r w:rsidRPr="00BE407E">
        <w:rPr>
          <w:rFonts w:ascii="Times New Roman" w:eastAsia="Times New Roman" w:hAnsi="Times New Roman" w:cs="Times New Roman"/>
          <w:sz w:val="24"/>
          <w:szCs w:val="24"/>
        </w:rPr>
        <w:t xml:space="preserve">that Serbia and Montenegro must redress the consequences of its international wrongful acts and, as a result of the international responsibility incurred for the above violations of the Convention on the Prevention and Punishment of the Crime of Genocide, must pay, and Bosnia and Herzegovina is entitled to receive, in its own right and as </w:t>
      </w:r>
      <w:r w:rsidRPr="00BE407E">
        <w:rPr>
          <w:rFonts w:ascii="Times New Roman" w:eastAsia="Times New Roman" w:hAnsi="Times New Roman" w:cs="Times New Roman"/>
          <w:i/>
          <w:iCs/>
          <w:sz w:val="24"/>
          <w:szCs w:val="24"/>
        </w:rPr>
        <w:t xml:space="preserve">parens patriae </w:t>
      </w:r>
      <w:r w:rsidRPr="00BE407E">
        <w:rPr>
          <w:rFonts w:ascii="Times New Roman" w:eastAsia="Times New Roman" w:hAnsi="Times New Roman" w:cs="Times New Roman"/>
          <w:sz w:val="24"/>
          <w:szCs w:val="24"/>
        </w:rPr>
        <w:t>for its citizens, full compensation for the damages and losses caused. That, in particular, the compensation shall cover any financially assessable damage which corresponds to: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 xml:space="preserve">(c) </w:t>
      </w:r>
      <w:r w:rsidRPr="00BE407E">
        <w:rPr>
          <w:rFonts w:ascii="Times New Roman" w:eastAsia="Times New Roman" w:hAnsi="Times New Roman" w:cs="Times New Roman"/>
          <w:sz w:val="24"/>
          <w:szCs w:val="24"/>
        </w:rPr>
        <w:t>that the nature, form and amount of the compensation shall be determined by the Court, failing agreement thereon between the Parties one year after the Judgment of the Court, and that the Court shall reserve the subsequent procedure for that purpose;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 xml:space="preserve">(d) </w:t>
      </w:r>
      <w:r w:rsidRPr="00BE407E">
        <w:rPr>
          <w:rFonts w:ascii="Times New Roman" w:eastAsia="Times New Roman" w:hAnsi="Times New Roman" w:cs="Times New Roman"/>
          <w:sz w:val="24"/>
          <w:szCs w:val="24"/>
        </w:rPr>
        <w:t>that Serbia and Montenegro shall provide specific guarantees and assurances that it will not repeat the wrongful acts complained of, the form of which guarantees and assurances is to be determined by the Court.</w:t>
      </w:r>
      <w:r>
        <w:rPr>
          <w:rFonts w:ascii="Times New Roman" w:eastAsia="Times New Roman" w:hAnsi="Times New Roman" w:cs="Times New Roman"/>
          <w:noProof/>
          <w:sz w:val="24"/>
          <w:szCs w:val="24"/>
        </w:rPr>
        <w:drawing>
          <wp:inline distT="0" distB="0" distL="0" distR="0">
            <wp:extent cx="151130" cy="142875"/>
            <wp:effectExtent l="19050" t="0" r="1270" b="0"/>
            <wp:docPr id="3091" name="Imagen 30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Canada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1988, the Canadian Government concluded an agreement with the National Association of Japanese Canadians, the so-called Japanese-Canadian Redress Agreement, under which the government officially acknowledged that the forced removal and internment of Canadian nationals of Japanese descent during the Second World War was unjust and violated human rights. The Agreement also provided:</w:t>
      </w:r>
      <w:r w:rsidRPr="00BE407E">
        <w:rPr>
          <w:rFonts w:ascii="Times New Roman" w:eastAsia="Times New Roman" w:hAnsi="Times New Roman" w:cs="Times New Roman"/>
          <w:sz w:val="24"/>
          <w:szCs w:val="24"/>
        </w:rPr>
        <w:br/>
        <w:t>As symbolic redress for those injustices, the Government offers:</w:t>
      </w:r>
      <w:r w:rsidRPr="00BE407E">
        <w:rPr>
          <w:rFonts w:ascii="Times New Roman" w:eastAsia="Times New Roman" w:hAnsi="Times New Roman" w:cs="Times New Roman"/>
          <w:sz w:val="24"/>
          <w:szCs w:val="24"/>
        </w:rPr>
        <w:br/>
        <w:t>a) [CAN]$21,000 individual redress, subject to application by eligible persons of Japanese ancestry who, during this period, were subjected to internment, relocation, deportation, loss of property or otherwise deprived of the full enjoyment of fundamental rights and freedoms based solely on the fact that they were of Japanese ancestry; each payment would be made in a tax-free lump sum, as expeditiously as possible;</w:t>
      </w:r>
      <w:r w:rsidRPr="00BE407E">
        <w:rPr>
          <w:rFonts w:ascii="Times New Roman" w:eastAsia="Times New Roman" w:hAnsi="Times New Roman" w:cs="Times New Roman"/>
          <w:sz w:val="24"/>
          <w:szCs w:val="24"/>
        </w:rPr>
        <w:br/>
        <w:t>b) [CAN]$12 million to the Japanese-Canadian community, through the National Association of Japanese Canadians, to undertake educational, social and cultural activities or programmes that contribute to the well-being of the community or that promote human rights;</w:t>
      </w:r>
      <w:r w:rsidRPr="00BE407E">
        <w:rPr>
          <w:rFonts w:ascii="Times New Roman" w:eastAsia="Times New Roman" w:hAnsi="Times New Roman" w:cs="Times New Roman"/>
          <w:sz w:val="24"/>
          <w:szCs w:val="24"/>
        </w:rPr>
        <w:br/>
        <w:t>c) [CAN]$12 million, on behalf of Japanese Canadians and in commemoration of those who suffered these injustices, and matched by a further $12 million from the Government of Canada, for the creation of a Canadian Race Relations Foundation that will foster racial harmony and cross-cultural understanding and help to eliminate racism.</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f) to provide, through contractual arrangements, up to [CAN]$3 million to the National Association of Japanese Canadians for their assistance, including community liaison, in administration of redress over the period of implementation.</w:t>
      </w:r>
      <w:r>
        <w:rPr>
          <w:rFonts w:ascii="Times New Roman" w:eastAsia="Times New Roman" w:hAnsi="Times New Roman" w:cs="Times New Roman"/>
          <w:noProof/>
          <w:sz w:val="24"/>
          <w:szCs w:val="24"/>
        </w:rPr>
        <w:drawing>
          <wp:inline distT="0" distB="0" distL="0" distR="0">
            <wp:extent cx="151130" cy="142875"/>
            <wp:effectExtent l="19050" t="0" r="1270" b="0"/>
            <wp:docPr id="3092" name="Imagen 30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1991, during a debate in the UN General Assembly on the environmental impact of the Gulf War, Canada deduced the illegality of Iraq’s conduct of war from the fact that “a mechanism had been put in place [by the relevant UN Security Council resolutions] to obtain compensation for the damage done and the clean-up involved”.</w:t>
      </w:r>
      <w:r>
        <w:rPr>
          <w:rFonts w:ascii="Times New Roman" w:eastAsia="Times New Roman" w:hAnsi="Times New Roman" w:cs="Times New Roman"/>
          <w:noProof/>
          <w:sz w:val="24"/>
          <w:szCs w:val="24"/>
        </w:rPr>
        <w:drawing>
          <wp:inline distT="0" distB="0" distL="0" distR="0">
            <wp:extent cx="151130" cy="142875"/>
            <wp:effectExtent l="19050" t="0" r="1270" b="0"/>
            <wp:docPr id="3093" name="Imagen 30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Chad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2009, during the consideration of Chad’s initial report to the Committee against Torture, a statement by the delegation of Chad was summarized by the Committee in its records as follows:</w:t>
      </w:r>
      <w:r w:rsidRPr="00BE407E">
        <w:rPr>
          <w:rFonts w:ascii="Times New Roman" w:eastAsia="Times New Roman" w:hAnsi="Times New Roman" w:cs="Times New Roman"/>
          <w:sz w:val="24"/>
          <w:szCs w:val="24"/>
        </w:rPr>
        <w:br/>
        <w:t>16. The government had instructed a commission comprising representatives of civil society, judges and international observes to investigate the unrest of February 2008; the commission had recommended that victims of acts of torture and other cruel, inhuman or degrading treatment during those events should be compensated.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56. With regard to the events of 2 February 2008, for 48 hours N’Djamena had been entirely occupied by rebels who, as they withdrew, had attacked the population.</w:t>
      </w:r>
      <w:r>
        <w:rPr>
          <w:rFonts w:ascii="Times New Roman" w:eastAsia="Times New Roman" w:hAnsi="Times New Roman" w:cs="Times New Roman"/>
          <w:noProof/>
          <w:sz w:val="24"/>
          <w:szCs w:val="24"/>
        </w:rPr>
        <w:drawing>
          <wp:inline distT="0" distB="0" distL="0" distR="0">
            <wp:extent cx="151130" cy="142875"/>
            <wp:effectExtent l="19050" t="0" r="1270" b="0"/>
            <wp:docPr id="3094" name="Imagen 30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Chile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1991, in its official report on violation of human rights during the military regime, Chile’s National Commission for Truth and Reconciliation recommended that reparations be paid by the State in respect of disappearances, and concluded that Chile should grant the families of disappeared persons a pension for life as material recompense.</w:t>
      </w:r>
      <w:r>
        <w:rPr>
          <w:rFonts w:ascii="Times New Roman" w:eastAsia="Times New Roman" w:hAnsi="Times New Roman" w:cs="Times New Roman"/>
          <w:noProof/>
          <w:sz w:val="24"/>
          <w:szCs w:val="24"/>
        </w:rPr>
        <w:drawing>
          <wp:inline distT="0" distB="0" distL="0" distR="0">
            <wp:extent cx="151130" cy="142875"/>
            <wp:effectExtent l="19050" t="0" r="1270" b="0"/>
            <wp:docPr id="3095" name="Imagen 30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1994, in its second periodic report to the Committee against Torture, Chile stated:</w:t>
      </w:r>
      <w:r w:rsidRPr="00BE407E">
        <w:rPr>
          <w:rFonts w:ascii="Times New Roman" w:eastAsia="Times New Roman" w:hAnsi="Times New Roman" w:cs="Times New Roman"/>
          <w:sz w:val="24"/>
          <w:szCs w:val="24"/>
        </w:rPr>
        <w:br/>
        <w:t xml:space="preserve">In response to the recommendations made by the National Commission for the Truth and Reconciliation in regard to compensation for victims of human rights violations during the military regime, and as a contribution of the State to this endeavour and a </w:t>
      </w:r>
      <w:r w:rsidRPr="00BE407E">
        <w:rPr>
          <w:rFonts w:ascii="Times New Roman" w:eastAsia="Times New Roman" w:hAnsi="Times New Roman" w:cs="Times New Roman"/>
          <w:sz w:val="24"/>
          <w:szCs w:val="24"/>
        </w:rPr>
        <w:lastRenderedPageBreak/>
        <w:t>specific form of reparation designed to confer legal recognition on a problem experienced in Chile by a significant segment of the population, the Programme of Compensation and Full Health Care for Victims of Human Rights Violations (PRAIS) was introduced in 1991. At present, seven PRAIS teams are functioning as part of state health services in different areas of the country, financed by contributions from those services and international cooperation. Apart from torture victims, beneficiaries of PRAIS include family members of missing detainees, persons executed for political reasons and exiles.</w:t>
      </w:r>
      <w:r>
        <w:rPr>
          <w:rFonts w:ascii="Times New Roman" w:eastAsia="Times New Roman" w:hAnsi="Times New Roman" w:cs="Times New Roman"/>
          <w:noProof/>
          <w:sz w:val="24"/>
          <w:szCs w:val="24"/>
        </w:rPr>
        <w:drawing>
          <wp:inline distT="0" distB="0" distL="0" distR="0">
            <wp:extent cx="151130" cy="142875"/>
            <wp:effectExtent l="19050" t="0" r="1270" b="0"/>
            <wp:docPr id="3096" name="Imagen 30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views and comments on the 1997 Draft Basic Principles and Guidelines on the Right to Reparation for Victims of [Gross] Violations of Human Rights and International Humanitarian Law – as they were then called – Chile stated: </w:t>
      </w:r>
      <w:r w:rsidRPr="00BE407E">
        <w:rPr>
          <w:rFonts w:ascii="Times New Roman" w:eastAsia="Times New Roman" w:hAnsi="Times New Roman" w:cs="Times New Roman"/>
          <w:sz w:val="24"/>
          <w:szCs w:val="24"/>
        </w:rPr>
        <w:br/>
        <w:t>It seems appropriate to include in the set of basic principles and guidelines a specific provision establishing the State’s immediate, direct liability for compensation, without prejudice to its right to attempt to recover from the offenders the amount paid.</w:t>
      </w:r>
      <w:r>
        <w:rPr>
          <w:rFonts w:ascii="Times New Roman" w:eastAsia="Times New Roman" w:hAnsi="Times New Roman" w:cs="Times New Roman"/>
          <w:noProof/>
          <w:sz w:val="24"/>
          <w:szCs w:val="24"/>
        </w:rPr>
        <w:drawing>
          <wp:inline distT="0" distB="0" distL="0" distR="0">
            <wp:extent cx="151130" cy="142875"/>
            <wp:effectExtent l="19050" t="0" r="1270" b="0"/>
            <wp:docPr id="3097" name="Imagen 30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China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1955, the Chinese Minister of Foreign Affairs stated:</w:t>
      </w:r>
      <w:r w:rsidRPr="00BE407E">
        <w:rPr>
          <w:rFonts w:ascii="Times New Roman" w:eastAsia="Times New Roman" w:hAnsi="Times New Roman" w:cs="Times New Roman"/>
          <w:sz w:val="24"/>
          <w:szCs w:val="24"/>
        </w:rPr>
        <w:br/>
        <w:t>During the war in which Japanese militarists invaded China, millions of Chinese people were killed, Chinese public and private property worth billions of dollars was damaged, thousands of Chinese people were forcibly moved to Japan and were enslaved and killed. The Japanese Government should understand that the Chinese people have the right to ask the Japanese Government to compensate for all the damages suffered by the Chinese people.</w:t>
      </w:r>
      <w:r>
        <w:rPr>
          <w:rFonts w:ascii="Times New Roman" w:eastAsia="Times New Roman" w:hAnsi="Times New Roman" w:cs="Times New Roman"/>
          <w:noProof/>
          <w:sz w:val="24"/>
          <w:szCs w:val="24"/>
        </w:rPr>
        <w:drawing>
          <wp:inline distT="0" distB="0" distL="0" distR="0">
            <wp:extent cx="151130" cy="142875"/>
            <wp:effectExtent l="19050" t="0" r="1270" b="0"/>
            <wp:docPr id="3098" name="Imagen 30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Côte d’Ivoire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2009, in its report to the UN Human Rights Council, Côte d’Ivoire stated: “[T]he political and military crises faced by Côte d’Ivoire since 1999, exacerbated by the war which broke out in September 2002, have had many grave consequences in the political, economic and social spheres.”</w:t>
      </w:r>
      <w:r>
        <w:rPr>
          <w:rFonts w:ascii="Times New Roman" w:eastAsia="Times New Roman" w:hAnsi="Times New Roman" w:cs="Times New Roman"/>
          <w:noProof/>
          <w:sz w:val="24"/>
          <w:szCs w:val="24"/>
        </w:rPr>
        <w:drawing>
          <wp:inline distT="0" distB="0" distL="0" distR="0">
            <wp:extent cx="151130" cy="142875"/>
            <wp:effectExtent l="19050" t="0" r="1270" b="0"/>
            <wp:docPr id="3099" name="Imagen 30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Djibouti</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2010, in its initial report to the Committee against Torture, Djibouti stated:</w:t>
      </w:r>
      <w:r w:rsidRPr="00BE407E">
        <w:rPr>
          <w:rFonts w:ascii="Times New Roman" w:eastAsia="Times New Roman" w:hAnsi="Times New Roman" w:cs="Times New Roman"/>
          <w:sz w:val="24"/>
          <w:szCs w:val="24"/>
        </w:rPr>
        <w:br/>
        <w:t>46. Following independence in 1977, Djibouti experienced a difficult period of internal tension, which led to a visible, steady rise in violations of human rights and individual freedoms. This state of affairs reached its height during the civil war between government forces and the armed opposition of the Front pour la restauration de l’unité et de la démocratie [Front for the restoration of unity and democracy] (FRUD).</w:t>
      </w:r>
      <w:r w:rsidRPr="00BE407E">
        <w:rPr>
          <w:rFonts w:ascii="Times New Roman" w:eastAsia="Times New Roman" w:hAnsi="Times New Roman" w:cs="Times New Roman"/>
          <w:sz w:val="24"/>
          <w:szCs w:val="24"/>
        </w:rPr>
        <w:br/>
        <w:t xml:space="preserve">47. With the signing of [the] peace agreement between the warring parties in 1994 and again in 2001, the human rights situation improved dramatically.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49. … The special commission was … entrusted with compiling a list of victims of torture and other acts of war and setting compensation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55. The 199[5] law declaring an amnesty for acts other than </w:t>
      </w:r>
      <w:r w:rsidRPr="00BE407E">
        <w:rPr>
          <w:rFonts w:ascii="Times New Roman" w:eastAsia="Times New Roman" w:hAnsi="Times New Roman" w:cs="Times New Roman"/>
          <w:i/>
          <w:iCs/>
          <w:sz w:val="24"/>
          <w:szCs w:val="24"/>
        </w:rPr>
        <w:t>droit commun</w:t>
      </w:r>
      <w:r w:rsidRPr="00BE407E">
        <w:rPr>
          <w:rFonts w:ascii="Times New Roman" w:eastAsia="Times New Roman" w:hAnsi="Times New Roman" w:cs="Times New Roman"/>
          <w:sz w:val="24"/>
          <w:szCs w:val="24"/>
        </w:rPr>
        <w:t xml:space="preserve"> offences was promulgated at the end of the civil war, following the signing of the peace agreement between the Government and the FRUD armed opposition. The law permitted the release of many detainees from both sides who had been victims of torture or ill[-]treatment. Regulations were issued that established the law’s implementing procedures and listed its beneficiaries. … Financial compensation or compensation in kind was awarded to those who applied for it through the courts free of charge to those who were entitled to it.</w:t>
      </w:r>
      <w:r>
        <w:rPr>
          <w:rFonts w:ascii="Times New Roman" w:eastAsia="Times New Roman" w:hAnsi="Times New Roman" w:cs="Times New Roman"/>
          <w:noProof/>
          <w:sz w:val="24"/>
          <w:szCs w:val="24"/>
        </w:rPr>
        <w:drawing>
          <wp:inline distT="0" distB="0" distL="0" distR="0">
            <wp:extent cx="151130" cy="142875"/>
            <wp:effectExtent l="19050" t="0" r="1270" b="0"/>
            <wp:docPr id="3100" name="Imagen 31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191. From studying … reports [prepared by international human rights organizations] and observing victims, it can be seen that, to this day, many victims are still suffering </w:t>
      </w:r>
      <w:r w:rsidRPr="00BE407E">
        <w:rPr>
          <w:rFonts w:ascii="Times New Roman" w:eastAsia="Times New Roman" w:hAnsi="Times New Roman" w:cs="Times New Roman"/>
          <w:sz w:val="24"/>
          <w:szCs w:val="24"/>
        </w:rPr>
        <w:lastRenderedPageBreak/>
        <w:t>the consequences of the torture inflicted on them during the periods of heightened political tension and civil war between 1977 and 1993, in other words, before the signing of the 1994 peace agreement and Djibouti’s ratification of the [1984] Convention against Torture and Other Cruel, Inhuman or Degrading Treatment of Punishment[.]</w:t>
      </w:r>
      <w:r w:rsidRPr="00BE407E">
        <w:rPr>
          <w:rFonts w:ascii="Times New Roman" w:eastAsia="Times New Roman" w:hAnsi="Times New Roman" w:cs="Times New Roman"/>
          <w:sz w:val="24"/>
          <w:szCs w:val="24"/>
        </w:rPr>
        <w:br/>
        <w:t>192. Some victims still suffer from physical disability, deafness, impaired vision, impotence as a result of trauma to the genitals, psychological and sleep disorders, traces of injuries on the body, ulcers, nervous [system] problems, memory loss, permanent back and shoulder pain, etc.</w:t>
      </w:r>
      <w:r w:rsidRPr="00BE407E">
        <w:rPr>
          <w:rFonts w:ascii="Times New Roman" w:eastAsia="Times New Roman" w:hAnsi="Times New Roman" w:cs="Times New Roman"/>
          <w:sz w:val="24"/>
          <w:szCs w:val="24"/>
        </w:rPr>
        <w:br/>
        <w:t>193. No trace of or statement about any compensation … of the injury sustained by victims has been found for any of the alleged consequences of torture reported by victims. Despite the range of complaints lodged by victims from that period, calling for … the compensation of victims for physical, material and moral injury … to this day no solution or even the beginning of a response has been proposed.</w:t>
      </w:r>
      <w:r w:rsidRPr="00BE407E">
        <w:rPr>
          <w:rFonts w:ascii="Times New Roman" w:eastAsia="Times New Roman" w:hAnsi="Times New Roman" w:cs="Times New Roman"/>
          <w:sz w:val="24"/>
          <w:szCs w:val="24"/>
        </w:rPr>
        <w:br/>
        <w:t>194. Despite these demands, to our knowledge no programme of compensation … has thus far been put in place formally for victims of torture in Djibouti.</w:t>
      </w:r>
      <w:r>
        <w:rPr>
          <w:rFonts w:ascii="Times New Roman" w:eastAsia="Times New Roman" w:hAnsi="Times New Roman" w:cs="Times New Roman"/>
          <w:noProof/>
          <w:sz w:val="24"/>
          <w:szCs w:val="24"/>
        </w:rPr>
        <w:drawing>
          <wp:inline distT="0" distB="0" distL="0" distR="0">
            <wp:extent cx="151130" cy="142875"/>
            <wp:effectExtent l="19050" t="0" r="1270" b="0"/>
            <wp:docPr id="3101" name="Imagen 31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El Salvador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1979, a special committee set up by the government of El Salvador to investigate the whereabouts of missing persons recommended that action be taken to compensate the families of missing political prisoners whose deaths could be either confirmed or presumed. The Ministry of the Presidency consequently announced that the families would be compensated.</w:t>
      </w:r>
      <w:r>
        <w:rPr>
          <w:rFonts w:ascii="Times New Roman" w:eastAsia="Times New Roman" w:hAnsi="Times New Roman" w:cs="Times New Roman"/>
          <w:noProof/>
          <w:sz w:val="24"/>
          <w:szCs w:val="24"/>
        </w:rPr>
        <w:drawing>
          <wp:inline distT="0" distB="0" distL="0" distR="0">
            <wp:extent cx="151130" cy="142875"/>
            <wp:effectExtent l="19050" t="0" r="1270" b="0"/>
            <wp:docPr id="3102" name="Imagen 31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1999, the French Government created by a decree a “Commission for the Compensation of Victims of Spoliation Resulting from Anti-Semitic Legislation in Force During the Occupation” (also known as “Commission Drai”).</w:t>
      </w:r>
      <w:r>
        <w:rPr>
          <w:rFonts w:ascii="Times New Roman" w:eastAsia="Times New Roman" w:hAnsi="Times New Roman" w:cs="Times New Roman"/>
          <w:noProof/>
          <w:sz w:val="24"/>
          <w:szCs w:val="24"/>
        </w:rPr>
        <w:drawing>
          <wp:inline distT="0" distB="0" distL="0" distR="0">
            <wp:extent cx="151130" cy="142875"/>
            <wp:effectExtent l="19050" t="0" r="1270" b="0"/>
            <wp:docPr id="3103" name="Imagen 31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written statement submitted to the ICJ in Legal Consequences of the Construction of a Wall in the Occupied Palestinian Territory in 2004, France stated:</w:t>
      </w:r>
      <w:r w:rsidRPr="00BE407E">
        <w:rPr>
          <w:rFonts w:ascii="Times New Roman" w:eastAsia="Times New Roman" w:hAnsi="Times New Roman" w:cs="Times New Roman"/>
          <w:sz w:val="24"/>
          <w:szCs w:val="24"/>
        </w:rPr>
        <w:br/>
        <w:t xml:space="preserve">40. … [O]ne of the most serious breaches of the rules of international humanitarian law resulting from the construction of the wall along the chosen route no doubt concerns, </w:t>
      </w:r>
      <w:r w:rsidRPr="00BE407E">
        <w:rPr>
          <w:rFonts w:ascii="Times New Roman" w:eastAsia="Times New Roman" w:hAnsi="Times New Roman" w:cs="Times New Roman"/>
          <w:i/>
          <w:iCs/>
          <w:sz w:val="24"/>
          <w:szCs w:val="24"/>
        </w:rPr>
        <w:t>prima facie</w:t>
      </w:r>
      <w:r w:rsidRPr="00BE407E">
        <w:rPr>
          <w:rFonts w:ascii="Times New Roman" w:eastAsia="Times New Roman" w:hAnsi="Times New Roman" w:cs="Times New Roman"/>
          <w:sz w:val="24"/>
          <w:szCs w:val="24"/>
        </w:rPr>
        <w:t>, the property destruction caused by it, which is referred to in the Secretary-General’s Report.</w:t>
      </w:r>
      <w:r w:rsidRPr="00BE407E">
        <w:rPr>
          <w:rFonts w:ascii="Times New Roman" w:eastAsia="Times New Roman" w:hAnsi="Times New Roman" w:cs="Times New Roman"/>
          <w:sz w:val="24"/>
          <w:szCs w:val="24"/>
        </w:rPr>
        <w:br/>
        <w:t>41. On this subject international law calls for account to be taken of two considerations. First, it requires compensation which effectively makes good the entire injury suffered by the owners of the property in question. Second, it allows for account to be taken of “necessities of war”.</w:t>
      </w:r>
      <w:r>
        <w:rPr>
          <w:rFonts w:ascii="Times New Roman" w:eastAsia="Times New Roman" w:hAnsi="Times New Roman" w:cs="Times New Roman"/>
          <w:noProof/>
          <w:sz w:val="24"/>
          <w:szCs w:val="24"/>
        </w:rPr>
        <w:drawing>
          <wp:inline distT="0" distB="0" distL="0" distR="0">
            <wp:extent cx="151130" cy="142875"/>
            <wp:effectExtent l="19050" t="0" r="1270" b="0"/>
            <wp:docPr id="3104" name="Imagen 31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1951, the German Chancellor made a declaration before the German Bundestag (Lower House of Parliament), which was then endorsed by this body. The declaration stated:</w:t>
      </w:r>
      <w:r w:rsidRPr="00BE407E">
        <w:rPr>
          <w:rFonts w:ascii="Times New Roman" w:eastAsia="Times New Roman" w:hAnsi="Times New Roman" w:cs="Times New Roman"/>
          <w:sz w:val="24"/>
          <w:szCs w:val="24"/>
        </w:rPr>
        <w:br/>
        <w:t>However, unspeakable crimes have been committed in the name of the German people, crimes that impose a duty to make moral and material amends, both as regards the individual damage that Jews have suffered and as regards Jewish property for which individual claimants no longer exist … The Federal Government is prepared to work with representatives of Jews and the State of Israel, which has received so many homeless Jewish refugees, to find a solution to the problem of making amends in a material sense.</w:t>
      </w:r>
      <w:r>
        <w:rPr>
          <w:rFonts w:ascii="Times New Roman" w:eastAsia="Times New Roman" w:hAnsi="Times New Roman" w:cs="Times New Roman"/>
          <w:noProof/>
          <w:sz w:val="24"/>
          <w:szCs w:val="24"/>
        </w:rPr>
        <w:drawing>
          <wp:inline distT="0" distB="0" distL="0" distR="0">
            <wp:extent cx="151130" cy="142875"/>
            <wp:effectExtent l="19050" t="0" r="1270" b="0"/>
            <wp:docPr id="3105" name="Imagen 31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Germany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diplomatic note relative to the 1995 US-Germany Agreement concerning Final Benefits to Certain US Nationals Who Were Victims of National Socialist Measures of </w:t>
      </w:r>
      <w:r w:rsidRPr="00BE407E">
        <w:rPr>
          <w:rFonts w:ascii="Times New Roman" w:eastAsia="Times New Roman" w:hAnsi="Times New Roman" w:cs="Times New Roman"/>
          <w:sz w:val="24"/>
          <w:szCs w:val="24"/>
        </w:rPr>
        <w:lastRenderedPageBreak/>
        <w:t>Persecution, the government of Germany stated: “Any payment by the Government of the Federal Republic of Germany under this Agreement will be only for the benefit of United States nationals who were victims of national socialist measures of persecution by reason of their race, their faith or their ideology.” In its response, the US government acknowledged receipt of the diplomatic note.</w:t>
      </w:r>
      <w:r>
        <w:rPr>
          <w:rFonts w:ascii="Times New Roman" w:eastAsia="Times New Roman" w:hAnsi="Times New Roman" w:cs="Times New Roman"/>
          <w:noProof/>
          <w:sz w:val="24"/>
          <w:szCs w:val="24"/>
        </w:rPr>
        <w:drawing>
          <wp:inline distT="0" distB="0" distL="0" distR="0">
            <wp:extent cx="151130" cy="142875"/>
            <wp:effectExtent l="19050" t="0" r="1270" b="0"/>
            <wp:docPr id="3106" name="Imagen 31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1995, the German Government, in reply to a question from members of the Lower House of Parliament with regard to payments in reparation for Greek victims of the German National Socialist regime, stated:</w:t>
      </w:r>
      <w:r w:rsidRPr="00BE407E">
        <w:rPr>
          <w:rFonts w:ascii="Times New Roman" w:eastAsia="Times New Roman" w:hAnsi="Times New Roman" w:cs="Times New Roman"/>
          <w:sz w:val="24"/>
          <w:szCs w:val="24"/>
        </w:rPr>
        <w:br/>
        <w:t>With regard to a concluding settlement of the claims of Greece resulting from National Socialist measures of persecution against Greek nationals who have suffered damages to their freedom and health, the Federal Republic of Germany has paid, on the basis of the treaty of 18 March 1960 “concerning obligations in favour of Greek nationals who were concerned by national socialist measures of persecution”, DM 115 million.</w:t>
      </w:r>
      <w:r>
        <w:rPr>
          <w:rFonts w:ascii="Times New Roman" w:eastAsia="Times New Roman" w:hAnsi="Times New Roman" w:cs="Times New Roman"/>
          <w:noProof/>
          <w:sz w:val="24"/>
          <w:szCs w:val="24"/>
        </w:rPr>
        <w:drawing>
          <wp:inline distT="0" distB="0" distL="0" distR="0">
            <wp:extent cx="151130" cy="142875"/>
            <wp:effectExtent l="19050" t="0" r="1270" b="0"/>
            <wp:docPr id="3107" name="Imagen 31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1995, the German Government, in reply to a question from members of the Lower House of Parliament regarding the amount of payments made by the Federal Republic of Germany in compensation to former East and West European inmates of concentration camps, stated: “Including … payments in the field of reparations through the social insurance, the total amount of payments up to now are significantly more than DM100 billion.”</w:t>
      </w:r>
      <w:r>
        <w:rPr>
          <w:rFonts w:ascii="Times New Roman" w:eastAsia="Times New Roman" w:hAnsi="Times New Roman" w:cs="Times New Roman"/>
          <w:noProof/>
          <w:sz w:val="24"/>
          <w:szCs w:val="24"/>
        </w:rPr>
        <w:drawing>
          <wp:inline distT="0" distB="0" distL="0" distR="0">
            <wp:extent cx="151130" cy="142875"/>
            <wp:effectExtent l="19050" t="0" r="1270" b="0"/>
            <wp:docPr id="3108" name="Imagen 31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in reply to a minor interpellation in the Bundestag (Lower House of Parliament) entitled “Criminal prosecution of persons responsible for war crimes in Italy and compensation for Italian military internees”, Germany’s Federal Government wrote: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 Does the Federal Government share the view of the authors of the Minor Interpellation that the Hague [Convention], while not making individual compensations for violations of the Convention compulsory, nevertheless allows them, and if not, why not?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humanitarian law only envisages inter-State claims in compensation of war damages, not however individual compensation claims. Also Article 3 of the 1907 Hague Convention IV accordingly only codifies a liability to pay compensation between contracting States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According to the view of the Federal Government, did the German Reich actually grant the status of prisoners of war including the rights related to that status to the Italian military internees, and what is the basis of the Federal Government’s view?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 According to the view of the Federal Government, as regards the question whether the Italian detainees are to be regarded as prisoners of war, is it necessary to take into consideration not only their formal legal situation but also their actual material situation, and what is the basis of the Federal Government’s position?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4. Does the Federal Government share the view of the authors of the Minor Interpellation that the Italian military internees were de facto not treated as prisoners of war, and if not, why not?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5. Does the Federal Government share the view that the treatment of the Italian military internees was a grave wrong, and if yes, why has it so far refused to compensate them?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Federal Government concurs with the expert opinion by Prof. Dr. Dr. h.c. Christian Tomuschat, according to which the so-called Italian military internees, from the time of their capture until the end of the war, had the legal status of prisoners of war according to the provisions of the 1899/1907 Hague Regulations and the Geneva Convention relative to the Treatment of Prisoners of War of 27 July 1929. The expert opinion finds that a transferral into civilian status, effective under international law, had not taken </w:t>
      </w:r>
      <w:r w:rsidRPr="00BE407E">
        <w:rPr>
          <w:rFonts w:ascii="Times New Roman" w:eastAsia="Times New Roman" w:hAnsi="Times New Roman" w:cs="Times New Roman"/>
          <w:sz w:val="24"/>
          <w:szCs w:val="24"/>
        </w:rPr>
        <w:lastRenderedPageBreak/>
        <w:t>place.</w:t>
      </w:r>
      <w:r w:rsidRPr="00BE407E">
        <w:rPr>
          <w:rFonts w:ascii="Times New Roman" w:eastAsia="Times New Roman" w:hAnsi="Times New Roman" w:cs="Times New Roman"/>
          <w:sz w:val="24"/>
          <w:szCs w:val="24"/>
        </w:rPr>
        <w:br/>
        <w:t>The Federal Government expressly regrets that many of the military internees had to live and work under conditions which were harsh and inconsistent with human dignity and that protective provisions of the international law of war were not respected. This, however, does not change the legal classification of the military internees as prisoners of war. The Law on the Creation of a Foundation “Remembrance, Responsibility and Future” has settled in a final manner the question of compensation for forced labour; according to Section 11, paragraph 3 of the Law prisoners of war are not eligible for payments.</w:t>
      </w:r>
      <w:r w:rsidRPr="00BE407E">
        <w:rPr>
          <w:rFonts w:ascii="Times New Roman" w:eastAsia="Times New Roman" w:hAnsi="Times New Roman" w:cs="Times New Roman"/>
          <w:sz w:val="24"/>
          <w:szCs w:val="24"/>
        </w:rPr>
        <w:b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7. Is the information received by the authors of the minor appellation … correct that of the 110.000 applications submitted by Italian forced labourers to the International Organization for Migration 100.000 have been rejected?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Italian military internees and other prisoners of war have a legal entitlement to payments only if they were deported to a concentration camp. In these exceptional cases a special persecution, marked by national socialist ideology, was present; prisoner-of-war status recedes into the background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8. How many actions for compensation by former Italian military internees are currently filed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 with German courts,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Federal Government has no reliable total numbers on actions by former Italian military internees pending in German courts, since these actions are not separately registered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with foreign courts (please list by country),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Italy, currently pending are 40 individual actions and 6 class-actions (overall 113 applicants) for compensation for material/immaterial damages, filed by survivors of German war crimes or other national socialist crimes committed during World War II, or by their relatives or surviving dependants. There is no information on actions of Italian victims in other foreign courts.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with international courts?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Federal Government is aware that an association of former military internees has lodged an individual application against the Federal Republic of Germany with the European Court of Human Rights in Strasbourg. So far, however, the Court has not communicated this application to the Federal Republic of Germany. The Federal Government is not aware of further proceedings in international courts.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9. From the point of view of the Federal Government, how have these court proceedings developed and what position does the Federal Government take in these proceedings?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Federal Government is of the view that these proceedings contravene the principle of State immunity. Since the Federal Government has so far not been involved in proceedings in international courts – see reply to question 8c – it cannot make a statement on that.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10. From the point of view of the Federal Government, what is the development of a case in the Supreme Court of Cassation in Rome, which,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dealt with the question of State immunity?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What is the Federal Government’s assessment of that decision?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From the point of view of the Federal Government, what are the consequences of that decision?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Federal Government is of the view that the judgement of the Italian Supreme Court of Cassation in the </w:t>
      </w:r>
      <w:r w:rsidRPr="00BE407E">
        <w:rPr>
          <w:rFonts w:ascii="Times New Roman" w:eastAsia="Times New Roman" w:hAnsi="Times New Roman" w:cs="Times New Roman"/>
          <w:i/>
          <w:iCs/>
          <w:sz w:val="24"/>
          <w:szCs w:val="24"/>
        </w:rPr>
        <w:t>Ferrini case</w:t>
      </w:r>
      <w:r w:rsidRPr="00BE407E">
        <w:rPr>
          <w:rFonts w:ascii="Times New Roman" w:eastAsia="Times New Roman" w:hAnsi="Times New Roman" w:cs="Times New Roman"/>
          <w:sz w:val="24"/>
          <w:szCs w:val="24"/>
        </w:rPr>
        <w:t xml:space="preserve"> contravenes the principle of State immunity.</w:t>
      </w:r>
      <w:r w:rsidRPr="00BE407E">
        <w:rPr>
          <w:rFonts w:ascii="Times New Roman" w:eastAsia="Times New Roman" w:hAnsi="Times New Roman" w:cs="Times New Roman"/>
          <w:sz w:val="24"/>
          <w:szCs w:val="24"/>
        </w:rPr>
        <w:b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14. Is it correct that contributions to social security were paid for the Italian military internees forced to do forced labour, that, however, until today those have not been paid out to the entitled persons, and if yes, what consequences does the Federal Government draw from this?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For prisoners of war of all nationalities who during World War II, at the instigation of the former German Wehrmacht, worked for German employers, no contributions to German pension insurance institutions were paid. Neither for the prisoner of war nor for the German employer was there an obligation to pay contributions to pension funds, since the work was not done in the context of an employment or work relationship and the prisoner of war did not receive a salary for his work from the employer. Who is to be regarded as prisoner of war in this context does not follow from German laws but from the international law provisions of the 1929 Geneva Prisoners of War Convention, which allows military authorities to employ prisoners of war as workmen.</w:t>
      </w:r>
      <w:r>
        <w:rPr>
          <w:rFonts w:ascii="Times New Roman" w:eastAsia="Times New Roman" w:hAnsi="Times New Roman" w:cs="Times New Roman"/>
          <w:noProof/>
          <w:sz w:val="24"/>
          <w:szCs w:val="24"/>
        </w:rPr>
        <w:drawing>
          <wp:inline distT="0" distB="0" distL="0" distR="0">
            <wp:extent cx="151130" cy="142875"/>
            <wp:effectExtent l="19050" t="0" r="1270" b="0"/>
            <wp:docPr id="3109" name="Imagen 31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2010, in reply to a Minor Interpellation in the Bundestag (Lower House of Parliament) titled “Victims of the war in Afghanistan”, Germany’s Federal Government wrote: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11. Since 2002, in how many cases have victims, their relatives or others been refused compensation payments and based on what assessment of the circumstances (please identify the legal bases and specific cases)?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Payments were not made in three cases. </w:t>
      </w:r>
      <w:r w:rsidRPr="00BE407E">
        <w:rPr>
          <w:rFonts w:ascii="Times New Roman" w:eastAsia="Times New Roman" w:hAnsi="Times New Roman" w:cs="Times New Roman"/>
          <w:sz w:val="24"/>
          <w:szCs w:val="24"/>
        </w:rPr>
        <w:br/>
        <w:t>In one case compensation for the repair costs of a damaged vehicle was rejected because the Afghan claimant had himself caused the accident by a reckless overtaking manoeuvre. Concerning another vehicle accident, compensation was also rejected because there was no evidence that the German ISAF-vehicle was involved. In a third case compensation for injuries to civilians was rejected because the German soldiers involved had used lawful enforcement measures and the Afghan citizens had not reacted to the clear warning signals.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12. Based on what grounds in international law or constitutional law does the Federal Government determine compensation payments and their amount?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payments are made for humanitarian reasons.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Which legal criteria are used to determine whether compensation is paid?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See response to question 12.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13. Are there cases in which there is a legal obligation to pay compensation?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payments are made for humanitarian reasons.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If so, which are they (please include the legal bases and specific cases)?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If not, please provide the reasons why nonetheless compensation has been paid/is being paid?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See response to question 13.</w:t>
      </w:r>
      <w:r>
        <w:rPr>
          <w:rFonts w:ascii="Times New Roman" w:eastAsia="Times New Roman" w:hAnsi="Times New Roman" w:cs="Times New Roman"/>
          <w:noProof/>
          <w:sz w:val="24"/>
          <w:szCs w:val="24"/>
        </w:rPr>
        <w:drawing>
          <wp:inline distT="0" distB="0" distL="0" distR="0">
            <wp:extent cx="151130" cy="142875"/>
            <wp:effectExtent l="19050" t="0" r="1270" b="0"/>
            <wp:docPr id="3110" name="Imagen 31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2010, in reply to a Minor Interpellation in the Bundestag (Lower House of Parliament) titled “Agreements with the Italian government to avoid the payment of compensation to victims of the National Socialists and state of the dispute on compensation matters”, Germany’s Federal Government wrote: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g) Did the Federal Government enter into contact with the claimants to settle their compensation claims out of court or does it plan to do so, for example in case of a guilty verdict?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Federal Government did not enter into contact with the claimants and does not plan to do so. International humanitarian law provides for inter-State compensation for damage caused, but not an individual right to compensation.</w:t>
      </w:r>
      <w:r w:rsidRPr="00BE407E">
        <w:rPr>
          <w:rFonts w:ascii="Times New Roman" w:eastAsia="Times New Roman" w:hAnsi="Times New Roman" w:cs="Times New Roman"/>
          <w:sz w:val="24"/>
          <w:szCs w:val="24"/>
        </w:rPr>
        <w:br/>
        <w:t xml:space="preserve">For the purposes of reparation, the Allies had agreed after the Second World War to confiscate or seize German assets abroad and German copyrights as well as to carry out </w:t>
      </w:r>
      <w:r w:rsidRPr="00BE407E">
        <w:rPr>
          <w:rFonts w:ascii="Times New Roman" w:eastAsia="Times New Roman" w:hAnsi="Times New Roman" w:cs="Times New Roman"/>
          <w:sz w:val="24"/>
          <w:szCs w:val="24"/>
        </w:rPr>
        <w:lastRenderedPageBreak/>
        <w:t>dismantling and deliveries from the on-going production etc. in the respective occupation zones. Other former war opponents were also involved through the international reparation commission in Paris. However, in its peace treaty of 1947 Italy had renounced its claims against Germany resulting from the Second World War. In addition, in the early 1960s the Federal Republic of Germany concluded so-called comprehensive compensation agreements with twelve Western States to compensate for specific wrongs by the National Socialists and made payments.</w:t>
      </w:r>
      <w:r>
        <w:rPr>
          <w:rFonts w:ascii="Times New Roman" w:eastAsia="Times New Roman" w:hAnsi="Times New Roman" w:cs="Times New Roman"/>
          <w:noProof/>
          <w:sz w:val="24"/>
          <w:szCs w:val="24"/>
        </w:rPr>
        <w:drawing>
          <wp:inline distT="0" distB="0" distL="0" distR="0">
            <wp:extent cx="151130" cy="142875"/>
            <wp:effectExtent l="19050" t="0" r="1270" b="0"/>
            <wp:docPr id="3111" name="Imagen 31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Iraq</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1996, in a letter to the UN Secretary-General, Iraq reported that “a number of United States warplanes dropped 10 heat flares in the Saddam Dam area of Ninawa Governorate in northern Iraq” and affirmed “the legally established right of the Republic of Iraq to seek compensation for the damage caused by these unwarranted actions by the United States, in accordance with the principle of international responsibility”.</w:t>
      </w:r>
      <w:r>
        <w:rPr>
          <w:rFonts w:ascii="Times New Roman" w:eastAsia="Times New Roman" w:hAnsi="Times New Roman" w:cs="Times New Roman"/>
          <w:noProof/>
          <w:sz w:val="24"/>
          <w:szCs w:val="24"/>
        </w:rPr>
        <w:drawing>
          <wp:inline distT="0" distB="0" distL="0" distR="0">
            <wp:extent cx="151130" cy="142875"/>
            <wp:effectExtent l="19050" t="0" r="1270" b="0"/>
            <wp:docPr id="3112" name="Imagen 31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Israel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1998, during a debate in the Fifth Committee of the UN General Assembly in which several States had referred to a resolution of the General Assembly and stated that Israel was obliged to pay the costs resulting from its attack on the UNIFIL compound at Qana, Israel replied: “Defensive military operations against terrorists who had shamelessly used a UNIFIL outpost as cover for their provocative attacks had been, and continued to be, justified and necessary.”</w:t>
      </w:r>
      <w:r>
        <w:rPr>
          <w:rFonts w:ascii="Times New Roman" w:eastAsia="Times New Roman" w:hAnsi="Times New Roman" w:cs="Times New Roman"/>
          <w:noProof/>
          <w:sz w:val="24"/>
          <w:szCs w:val="24"/>
        </w:rPr>
        <w:drawing>
          <wp:inline distT="0" distB="0" distL="0" distR="0">
            <wp:extent cx="151130" cy="142875"/>
            <wp:effectExtent l="19050" t="0" r="1270" b="0"/>
            <wp:docPr id="3113" name="Imagen 31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Kuwait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memorandum issued in 1994 on “practical means to fully support international humanitarian law and apply its rules”, the Kuwaiti Ministry of Justice stated that a belligerent was “responsible for the acts committed by its armed forces’ personnel, and [obliged] to make up for these damages, and pay compensation for wrongful acts”.</w:t>
      </w:r>
      <w:r>
        <w:rPr>
          <w:rFonts w:ascii="Times New Roman" w:eastAsia="Times New Roman" w:hAnsi="Times New Roman" w:cs="Times New Roman"/>
          <w:noProof/>
          <w:sz w:val="24"/>
          <w:szCs w:val="24"/>
        </w:rPr>
        <w:drawing>
          <wp:inline distT="0" distB="0" distL="0" distR="0">
            <wp:extent cx="151130" cy="142875"/>
            <wp:effectExtent l="19050" t="0" r="1270" b="0"/>
            <wp:docPr id="3114" name="Imagen 31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According to the Report on the Practice of Kuwait, Kuwait has demanded compensation for the damage to its environment during the Gulf War. The report further states that it is Kuwait’s </w:t>
      </w:r>
      <w:r w:rsidRPr="00BE407E">
        <w:rPr>
          <w:rFonts w:ascii="Times New Roman" w:eastAsia="Times New Roman" w:hAnsi="Times New Roman" w:cs="Times New Roman"/>
          <w:i/>
          <w:iCs/>
          <w:sz w:val="24"/>
          <w:szCs w:val="24"/>
        </w:rPr>
        <w:t>opinio juris</w:t>
      </w:r>
      <w:r w:rsidRPr="00BE407E">
        <w:rPr>
          <w:rFonts w:ascii="Times New Roman" w:eastAsia="Times New Roman" w:hAnsi="Times New Roman" w:cs="Times New Roman"/>
          <w:sz w:val="24"/>
          <w:szCs w:val="24"/>
        </w:rPr>
        <w:t xml:space="preserve"> that States which cause damage to the environment are under a duty to remedy such damage.</w:t>
      </w:r>
      <w:r>
        <w:rPr>
          <w:rFonts w:ascii="Times New Roman" w:eastAsia="Times New Roman" w:hAnsi="Times New Roman" w:cs="Times New Roman"/>
          <w:noProof/>
          <w:sz w:val="24"/>
          <w:szCs w:val="24"/>
        </w:rPr>
        <w:drawing>
          <wp:inline distT="0" distB="0" distL="0" distR="0">
            <wp:extent cx="151130" cy="142875"/>
            <wp:effectExtent l="19050" t="0" r="1270" b="0"/>
            <wp:docPr id="3115" name="Imagen 31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Lebanon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1998, during a debate in the Fifth Committee of the UN General Assembly, Lebanon, speaking on behalf of the Group of Arab States, stated:</w:t>
      </w:r>
      <w:r w:rsidRPr="00BE407E">
        <w:rPr>
          <w:rFonts w:ascii="Times New Roman" w:eastAsia="Times New Roman" w:hAnsi="Times New Roman" w:cs="Times New Roman"/>
          <w:sz w:val="24"/>
          <w:szCs w:val="24"/>
        </w:rPr>
        <w:br/>
        <w:t>[The Group of Arab States] wished to convey their regret and displeasure at the fact that Israel had failed to meet its obligation, under paragraph 8 of General Assembly resolution 51/233, to pay the sum of US$ 1,773,618 to cover the costs resulting from its attack on the UNIFIL compound at Qana in 1996. The international community, as represented in the General Assembly, should compel Israel to pay the costs in question.</w:t>
      </w:r>
      <w:r>
        <w:rPr>
          <w:rFonts w:ascii="Times New Roman" w:eastAsia="Times New Roman" w:hAnsi="Times New Roman" w:cs="Times New Roman"/>
          <w:noProof/>
          <w:sz w:val="24"/>
          <w:szCs w:val="24"/>
        </w:rPr>
        <w:drawing>
          <wp:inline distT="0" distB="0" distL="0" distR="0">
            <wp:extent cx="151130" cy="142875"/>
            <wp:effectExtent l="19050" t="0" r="1270" b="0"/>
            <wp:docPr id="3116" name="Imagen 31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Mexico</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At the CDDH, Mexico, with respect to Article 91 of the 1977 Additional Protocol I, stated: </w:t>
      </w:r>
      <w:r w:rsidRPr="00BE407E">
        <w:rPr>
          <w:rFonts w:ascii="Times New Roman" w:eastAsia="Times New Roman" w:hAnsi="Times New Roman" w:cs="Times New Roman"/>
          <w:sz w:val="24"/>
          <w:szCs w:val="24"/>
        </w:rPr>
        <w:br/>
        <w:t>The article did not rule out the possibility of a State incurring liability, and consequently being required to pay compensation, if it had not taken steps to prevent its nationals from committing the offences covered by the [1949] Geneva Conventions, [the 1977 Additional] Protocol I and its domestic legislation.</w:t>
      </w:r>
      <w:r>
        <w:rPr>
          <w:rFonts w:ascii="Times New Roman" w:eastAsia="Times New Roman" w:hAnsi="Times New Roman" w:cs="Times New Roman"/>
          <w:noProof/>
          <w:sz w:val="24"/>
          <w:szCs w:val="24"/>
        </w:rPr>
        <w:drawing>
          <wp:inline distT="0" distB="0" distL="0" distR="0">
            <wp:extent cx="151130" cy="142875"/>
            <wp:effectExtent l="19050" t="0" r="1270" b="0"/>
            <wp:docPr id="3117" name="Imagen 31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Nepal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a declaration of commitment on the implementation of human rights and international humanitarian law, the Prime Minister of Nepal stated: </w:t>
      </w:r>
      <w:r w:rsidRPr="00BE407E">
        <w:rPr>
          <w:rFonts w:ascii="Times New Roman" w:eastAsia="Times New Roman" w:hAnsi="Times New Roman" w:cs="Times New Roman"/>
          <w:sz w:val="24"/>
          <w:szCs w:val="24"/>
        </w:rPr>
        <w:br/>
        <w:t xml:space="preserve">The accused held in detention shall not be subject to torture or to cruel, inhuman or </w:t>
      </w:r>
      <w:r w:rsidRPr="00BE407E">
        <w:rPr>
          <w:rFonts w:ascii="Times New Roman" w:eastAsia="Times New Roman" w:hAnsi="Times New Roman" w:cs="Times New Roman"/>
          <w:sz w:val="24"/>
          <w:szCs w:val="24"/>
        </w:rPr>
        <w:lastRenderedPageBreak/>
        <w:t>degrading treatment or punishment. Any person so treated shall be provided with the compensation stipulated by the law and any person responsible for such treatment shall be prosecuted and punished according to the law.</w:t>
      </w:r>
      <w:r>
        <w:rPr>
          <w:rFonts w:ascii="Times New Roman" w:eastAsia="Times New Roman" w:hAnsi="Times New Roman" w:cs="Times New Roman"/>
          <w:noProof/>
          <w:sz w:val="24"/>
          <w:szCs w:val="24"/>
        </w:rPr>
        <w:drawing>
          <wp:inline distT="0" distB="0" distL="0" distR="0">
            <wp:extent cx="151130" cy="142875"/>
            <wp:effectExtent l="19050" t="0" r="1270" b="0"/>
            <wp:docPr id="3118" name="Imagen 31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Netherlands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When in 1996 the question of whether victims of violations of IHL could seek compensation from Japan was raised in the Dutch parliament, the government of the Netherlands stated that it could not claim financial compensation from Japan for damage incurred during the occupation of the former Dutch East Indies because of the 1951 Peace Treaty for Japan and the 1956 Yoshida-Stikker Protocol. The government added that its position would be the same even in the event of an individual invoking the international law rules regulating compensation for damage caused by war.</w:t>
      </w:r>
      <w:r>
        <w:rPr>
          <w:rFonts w:ascii="Times New Roman" w:eastAsia="Times New Roman" w:hAnsi="Times New Roman" w:cs="Times New Roman"/>
          <w:noProof/>
          <w:sz w:val="24"/>
          <w:szCs w:val="24"/>
        </w:rPr>
        <w:drawing>
          <wp:inline distT="0" distB="0" distL="0" distR="0">
            <wp:extent cx="151130" cy="142875"/>
            <wp:effectExtent l="19050" t="0" r="1270" b="0"/>
            <wp:docPr id="3119" name="Imagen 31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Norway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1998, the Norwegian Ministry of Justice drafted a White Paper for parliament with the conclusion that in addition to an official apology to Norwegian Jewry, the government should pay out 450 million Norwegian Kroner in settlement of anti-Jewish measures such as confiscation of Jewish property taken by the Nazi occupation authorities and the Quisling regime during the Second World War. This amount reflected the share of the total loss that was confiscated by the Norwegian treasury during the Second World War. On 11 March 1999, the White Paper was unanimously adopted by all political parties in parliament. The compensation was divided into two main categories: individual compensation, the fixed sum of 200,000 Norwegian Kroner (US$ 28,000) to be given to those persons in Norway who suffered from anti-Jewish measures during the war; and collective compensation of 250 million Norwegian Kroner (US$ 35 million) to be divided among Jewish communities in Norway. Under the White Paper, contributions were also to be made to establish a research centre for Holocaust studies and minority research in Norway.</w:t>
      </w:r>
      <w:r>
        <w:rPr>
          <w:rFonts w:ascii="Times New Roman" w:eastAsia="Times New Roman" w:hAnsi="Times New Roman" w:cs="Times New Roman"/>
          <w:noProof/>
          <w:sz w:val="24"/>
          <w:szCs w:val="24"/>
        </w:rPr>
        <w:drawing>
          <wp:inline distT="0" distB="0" distL="0" distR="0">
            <wp:extent cx="151130" cy="142875"/>
            <wp:effectExtent l="19050" t="0" r="1270" b="0"/>
            <wp:docPr id="3120" name="Imagen 31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during the consideration of the fourth periodic report of Peru before the Committee against Torture, a representative of Peru stated: “With regard to the programme of reparations recommended by the Truth and Reconciliation Commission, measures … [are] in preparation for the payment of the equivalent of some US$ 8 million under the Comprehensive Plan for Reparations.”</w:t>
      </w:r>
      <w:r>
        <w:rPr>
          <w:rFonts w:ascii="Times New Roman" w:eastAsia="Times New Roman" w:hAnsi="Times New Roman" w:cs="Times New Roman"/>
          <w:noProof/>
          <w:sz w:val="24"/>
          <w:szCs w:val="24"/>
        </w:rPr>
        <w:drawing>
          <wp:inline distT="0" distB="0" distL="0" distR="0">
            <wp:extent cx="151130" cy="142875"/>
            <wp:effectExtent l="19050" t="0" r="1270" b="0"/>
            <wp:docPr id="3121" name="Imagen 31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Poland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1970, during a debate in the Special Political Committee of the UN General Assembly on measures carried out by Israel in the occupied territories, Poland stated:</w:t>
      </w:r>
      <w:r w:rsidRPr="00BE407E">
        <w:rPr>
          <w:rFonts w:ascii="Times New Roman" w:eastAsia="Times New Roman" w:hAnsi="Times New Roman" w:cs="Times New Roman"/>
          <w:sz w:val="24"/>
          <w:szCs w:val="24"/>
        </w:rPr>
        <w:br/>
        <w:t>The destruction of houses and the confiscation of property, which were designed to demoralize the inhabitants of certain areas and to force them to abandon their homes, were in violation of the basic principles of international law and contrary to the provisions of article 46 of the [1907 Hague Regulations] and article 53 of the fourth Geneva Convention. Since such acts were illegal, the Government of Israel was liable for full compensation for destroyed property.</w:t>
      </w:r>
      <w:r>
        <w:rPr>
          <w:rFonts w:ascii="Times New Roman" w:eastAsia="Times New Roman" w:hAnsi="Times New Roman" w:cs="Times New Roman"/>
          <w:noProof/>
          <w:sz w:val="24"/>
          <w:szCs w:val="24"/>
        </w:rPr>
        <w:drawing>
          <wp:inline distT="0" distB="0" distL="0" distR="0">
            <wp:extent cx="151130" cy="142875"/>
            <wp:effectExtent l="19050" t="0" r="1270" b="0"/>
            <wp:docPr id="3122" name="Imagen 31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Republic of Korea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Upon ratification of the 1977 Additional Protocol I, the Republic of Korea declared:</w:t>
      </w:r>
      <w:r w:rsidRPr="00BE407E">
        <w:rPr>
          <w:rFonts w:ascii="Times New Roman" w:eastAsia="Times New Roman" w:hAnsi="Times New Roman" w:cs="Times New Roman"/>
          <w:sz w:val="24"/>
          <w:szCs w:val="24"/>
        </w:rPr>
        <w:br/>
        <w:t>In relation to Article 91 of Protocol I, a party to the conflict which violates the provisions of the [1949 Geneva] Conventions or of this Protocol shall take the responsibility for paying compensation to the party damaged from the acts of violation, whether the damaged party is a legal party to the conflict or not.</w:t>
      </w:r>
      <w:r>
        <w:rPr>
          <w:rFonts w:ascii="Times New Roman" w:eastAsia="Times New Roman" w:hAnsi="Times New Roman" w:cs="Times New Roman"/>
          <w:noProof/>
          <w:sz w:val="24"/>
          <w:szCs w:val="24"/>
        </w:rPr>
        <w:drawing>
          <wp:inline distT="0" distB="0" distL="0" distR="0">
            <wp:extent cx="151130" cy="142875"/>
            <wp:effectExtent l="19050" t="0" r="1270" b="0"/>
            <wp:docPr id="3123" name="Imagen 31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Republic of Korea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1998, the government of the Republic of Korea established a trust fund to provide compensation to 155 women used as sex slaves by the former Japanese Imperial Army. </w:t>
      </w:r>
      <w:r w:rsidRPr="00BE407E">
        <w:rPr>
          <w:rFonts w:ascii="Times New Roman" w:eastAsia="Times New Roman" w:hAnsi="Times New Roman" w:cs="Times New Roman"/>
          <w:sz w:val="24"/>
          <w:szCs w:val="24"/>
        </w:rPr>
        <w:lastRenderedPageBreak/>
        <w:t>The government of the Republic of Korea indicated that it planned to collect the value of the fund (5 million yen) as compensation from the Japanese government.</w:t>
      </w:r>
      <w:r>
        <w:rPr>
          <w:rFonts w:ascii="Times New Roman" w:eastAsia="Times New Roman" w:hAnsi="Times New Roman" w:cs="Times New Roman"/>
          <w:noProof/>
          <w:sz w:val="24"/>
          <w:szCs w:val="24"/>
        </w:rPr>
        <w:drawing>
          <wp:inline distT="0" distB="0" distL="0" distR="0">
            <wp:extent cx="151130" cy="142875"/>
            <wp:effectExtent l="19050" t="0" r="1270" b="0"/>
            <wp:docPr id="3124" name="Imagen 31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Russian Federation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Report on the Practice of the Russian Federation notes that a number of victims of the conflict in Chechnya have filed claims and “are entitled to get a reimbursement for their homes demolished by federal troops, </w:t>
      </w:r>
      <w:r w:rsidRPr="00BE407E">
        <w:rPr>
          <w:rFonts w:ascii="Times New Roman" w:eastAsia="Times New Roman" w:hAnsi="Times New Roman" w:cs="Times New Roman"/>
          <w:i/>
          <w:iCs/>
          <w:sz w:val="24"/>
          <w:szCs w:val="24"/>
        </w:rPr>
        <w:t>i.e.</w:t>
      </w:r>
      <w:r w:rsidRPr="00BE407E">
        <w:rPr>
          <w:rFonts w:ascii="Times New Roman" w:eastAsia="Times New Roman" w:hAnsi="Times New Roman" w:cs="Times New Roman"/>
          <w:sz w:val="24"/>
          <w:szCs w:val="24"/>
        </w:rPr>
        <w:t>, for the lost property”.</w:t>
      </w:r>
      <w:r>
        <w:rPr>
          <w:rFonts w:ascii="Times New Roman" w:eastAsia="Times New Roman" w:hAnsi="Times New Roman" w:cs="Times New Roman"/>
          <w:noProof/>
          <w:sz w:val="24"/>
          <w:szCs w:val="24"/>
        </w:rPr>
        <w:drawing>
          <wp:inline distT="0" distB="0" distL="0" distR="0">
            <wp:extent cx="151130" cy="142875"/>
            <wp:effectExtent l="19050" t="0" r="1270" b="0"/>
            <wp:docPr id="3125" name="Imagen 31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Rwanda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1996, during the preparatory work in the Rwandan parliament on a law for the punishment of acts of genocide and crimes against humanity in 1996, the issue of the responsibility of the State and the duty to compensate victims was raised. The government spokesman declared that the Rwandan State recognized its responsibility and that a compensation scheme had been adopted.</w:t>
      </w:r>
      <w:r>
        <w:rPr>
          <w:rFonts w:ascii="Times New Roman" w:eastAsia="Times New Roman" w:hAnsi="Times New Roman" w:cs="Times New Roman"/>
          <w:noProof/>
          <w:sz w:val="24"/>
          <w:szCs w:val="24"/>
        </w:rPr>
        <w:drawing>
          <wp:inline distT="0" distB="0" distL="0" distR="0">
            <wp:extent cx="151130" cy="142875"/>
            <wp:effectExtent l="19050" t="0" r="1270" b="0"/>
            <wp:docPr id="3126" name="Imagen 31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2008, in its written replies to the Human Rights Committee concerning its fifth periodic report, Spain stated with regard to the reparation measures that have been granted to victims of torture:</w:t>
      </w:r>
      <w:r w:rsidRPr="00BE407E">
        <w:rPr>
          <w:rFonts w:ascii="Times New Roman" w:eastAsia="Times New Roman" w:hAnsi="Times New Roman" w:cs="Times New Roman"/>
          <w:sz w:val="24"/>
          <w:szCs w:val="24"/>
        </w:rPr>
        <w:br/>
        <w:t>[N]ote should be taken of the recent adoption of Act. No. 52/2007 of 26 December 2007, which recognizes and extends rights and introduces measures in favour of victims of persecution or violence during the civil war and the dictatorship … [including] compensation for victims of the Franco period (including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3127" name="Imagen 31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Sri Lanka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final report in 1997, the Commission of Inquiry into Involuntary Removal or Disappearance of Persons in the Western, Southern and Sabaragamuwa Provinces, established by the Sri Lankan government, recommended that:</w:t>
      </w:r>
      <w:r w:rsidRPr="00BE407E">
        <w:rPr>
          <w:rFonts w:ascii="Times New Roman" w:eastAsia="Times New Roman" w:hAnsi="Times New Roman" w:cs="Times New Roman"/>
          <w:sz w:val="24"/>
          <w:szCs w:val="24"/>
        </w:rPr>
        <w:br/>
        <w:t>(i) Expeditious payment of fair and adequate compensation be made to dependants of disappeared persons within a time-frame in all the districts. Such payment should cover dependants of employees of the public sector, corporations and other state-owned institutions. The idea of introducing a new tax similar to the Defence Levy may be considered in order to generate funds for this purpose.</w:t>
      </w:r>
      <w:r w:rsidRPr="00BE407E">
        <w:rPr>
          <w:rFonts w:ascii="Times New Roman" w:eastAsia="Times New Roman" w:hAnsi="Times New Roman" w:cs="Times New Roman"/>
          <w:sz w:val="24"/>
          <w:szCs w:val="24"/>
        </w:rPr>
        <w:br/>
        <w:t>(ii) A scheme to provide monetary assistance to affected families who had suffered loss and damage to property be initiated. A forum be created to receive complaints of successors of disappeared persons.</w:t>
      </w:r>
      <w:r w:rsidRPr="00BE407E">
        <w:rPr>
          <w:rFonts w:ascii="Times New Roman" w:eastAsia="Times New Roman" w:hAnsi="Times New Roman" w:cs="Times New Roman"/>
          <w:sz w:val="24"/>
          <w:szCs w:val="24"/>
        </w:rPr>
        <w:br/>
        <w:t>(iii) Legislative provision be made exempting whatever amount paid as compensation for being made the subject matter of a civil claim and seizure.</w:t>
      </w:r>
      <w:r>
        <w:rPr>
          <w:rFonts w:ascii="Times New Roman" w:eastAsia="Times New Roman" w:hAnsi="Times New Roman" w:cs="Times New Roman"/>
          <w:noProof/>
          <w:sz w:val="24"/>
          <w:szCs w:val="24"/>
        </w:rPr>
        <w:drawing>
          <wp:inline distT="0" distB="0" distL="0" distR="0">
            <wp:extent cx="151130" cy="142875"/>
            <wp:effectExtent l="19050" t="0" r="1270" b="0"/>
            <wp:docPr id="3128" name="Imagen 31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its final report in 1997, the Commission of Inquiry into Involuntary Removal or Disappearance of Persons in the Northern and Eastern Provinces, established by the Sri Lankan government, noted:</w:t>
      </w:r>
      <w:r w:rsidRPr="00BE407E">
        <w:rPr>
          <w:rFonts w:ascii="Times New Roman" w:eastAsia="Times New Roman" w:hAnsi="Times New Roman" w:cs="Times New Roman"/>
          <w:sz w:val="24"/>
          <w:szCs w:val="24"/>
        </w:rPr>
        <w:br/>
        <w:t>The Commission has worked out a Compensation Scheme in accordance with the circular issued by the Ministry of Public Administration No. 21/88 of 13th July, 1988 and this is only a token of the concern of the Government for deprivation suffered by the affected families. Money in any quantity will not compensate the absence of the bread-winner, the love of the father, the duty of the son for the family. But money helps in some way to cushion the blow.</w:t>
      </w:r>
      <w:r>
        <w:rPr>
          <w:rFonts w:ascii="Times New Roman" w:eastAsia="Times New Roman" w:hAnsi="Times New Roman" w:cs="Times New Roman"/>
          <w:noProof/>
          <w:sz w:val="24"/>
          <w:szCs w:val="24"/>
        </w:rPr>
        <w:drawing>
          <wp:inline distT="0" distB="0" distL="0" distR="0">
            <wp:extent cx="151130" cy="142875"/>
            <wp:effectExtent l="19050" t="0" r="1270" b="0"/>
            <wp:docPr id="3129" name="Imagen 31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Syrian Arab Republic</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1998, during a debate in the Fifth Committee of the UN General Assembly, the Syrian Arab Republic stated:</w:t>
      </w:r>
      <w:r w:rsidRPr="00BE407E">
        <w:rPr>
          <w:rFonts w:ascii="Times New Roman" w:eastAsia="Times New Roman" w:hAnsi="Times New Roman" w:cs="Times New Roman"/>
          <w:sz w:val="24"/>
          <w:szCs w:val="24"/>
        </w:rPr>
        <w:br/>
        <w:t xml:space="preserve">Israel’s financial obligations under General Assembly resolution 51/233 represented only a minute part of the consequences of the Israeli attack on the UNIFIL compound at Qana, and were nothing compared with the lives of the victims, namely the United Nations soldiers and the Lebanese civilians seeking protection at the compound. In </w:t>
      </w:r>
      <w:r w:rsidRPr="00BE407E">
        <w:rPr>
          <w:rFonts w:ascii="Times New Roman" w:eastAsia="Times New Roman" w:hAnsi="Times New Roman" w:cs="Times New Roman"/>
          <w:sz w:val="24"/>
          <w:szCs w:val="24"/>
        </w:rPr>
        <w:lastRenderedPageBreak/>
        <w:t>accordance with the principles of international law, Israel … must be forced to comply with resolution 51/233 so as to avoid establishing a precedent.</w:t>
      </w:r>
      <w:r>
        <w:rPr>
          <w:rFonts w:ascii="Times New Roman" w:eastAsia="Times New Roman" w:hAnsi="Times New Roman" w:cs="Times New Roman"/>
          <w:noProof/>
          <w:sz w:val="24"/>
          <w:szCs w:val="24"/>
        </w:rPr>
        <w:drawing>
          <wp:inline distT="0" distB="0" distL="0" distR="0">
            <wp:extent cx="151130" cy="142875"/>
            <wp:effectExtent l="19050" t="0" r="1270" b="0"/>
            <wp:docPr id="3130" name="Imagen 31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Report on the Practice of the Syrian Arab Republic asserts that the Syrian Arab Republic considers Article 91 of the 1977 Additional Protocol I to be part of customary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131" name="Imagen 31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Kingdom of Great Britain and Northern Ireland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1991, during a debate in the House of Commons on the subject of compensation for Allied prisoners of war in the hands of Japan during the Second World War, the UK Parliamentary Under-Secretary of State for Foreign and Commonwealth Affairs, referring to Articles 14 and 16 of the 1951 Peace Treaty for Japan, stated:</w:t>
      </w:r>
      <w:r w:rsidRPr="00BE407E">
        <w:rPr>
          <w:rFonts w:ascii="Times New Roman" w:eastAsia="Times New Roman" w:hAnsi="Times New Roman" w:cs="Times New Roman"/>
          <w:sz w:val="24"/>
          <w:szCs w:val="24"/>
        </w:rPr>
        <w:br/>
        <w:t>The [1951 Peace Treaty for Japan] contained a specific provision for compensation for prisoners of war. We had insisted on that provision, which had not been included in the original treaty, because we thought it important that the treaty should recognise the cruel and barbaric treatment to which allied service men in the far east had been subjected … No one could dispute that the issue of compensation was crucial … From the disposal of Japanese property within its jurisdiction, the United Kingdom received ju st over £3 million. The United Kingdom’s share of the £4.5 million that the Japanese Government placed at the disposal of the International Red Cross in accordance with article 16 of the treaty was just over £1.6 million.</w:t>
      </w:r>
      <w:r w:rsidRPr="00BE407E">
        <w:rPr>
          <w:rFonts w:ascii="Times New Roman" w:eastAsia="Times New Roman" w:hAnsi="Times New Roman" w:cs="Times New Roman"/>
          <w:sz w:val="24"/>
          <w:szCs w:val="24"/>
        </w:rPr>
        <w:br/>
        <w:t>It was agreed in a minute between the Japanese and the allied powers that the payment of the £4.5 million would be recognised as a full discharge by the Japanese Government of their obligations under article 16 of the peace treaty … I sympathise with my right hon. friend’s contention that the settlement was unsatisfactory but … the provisions of the treaty remove any possibility of the British Government claiming further compensation or reparations from the Japanese Government.</w:t>
      </w:r>
      <w:r>
        <w:rPr>
          <w:rFonts w:ascii="Times New Roman" w:eastAsia="Times New Roman" w:hAnsi="Times New Roman" w:cs="Times New Roman"/>
          <w:noProof/>
          <w:sz w:val="24"/>
          <w:szCs w:val="24"/>
        </w:rPr>
        <w:drawing>
          <wp:inline distT="0" distB="0" distL="0" distR="0">
            <wp:extent cx="151130" cy="142875"/>
            <wp:effectExtent l="19050" t="0" r="1270" b="0"/>
            <wp:docPr id="3132" name="Imagen 31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2003, in a written reply to a question in the House of Commons asking “what compensation will be paid to the estates of Iraqi civilians who died as a result of British military action in Iraq”, the UK Minister of State for the Armed Forces, Ministry of Defence, stated:</w:t>
      </w:r>
      <w:r w:rsidRPr="00BE407E">
        <w:rPr>
          <w:rFonts w:ascii="Times New Roman" w:eastAsia="Times New Roman" w:hAnsi="Times New Roman" w:cs="Times New Roman"/>
          <w:sz w:val="24"/>
          <w:szCs w:val="24"/>
        </w:rPr>
        <w:br/>
        <w:t>There are no plans to pay compensation to Iraqi civilians killed during combat operations in Iraq.</w:t>
      </w:r>
      <w:r w:rsidRPr="00BE407E">
        <w:rPr>
          <w:rFonts w:ascii="Times New Roman" w:eastAsia="Times New Roman" w:hAnsi="Times New Roman" w:cs="Times New Roman"/>
          <w:sz w:val="24"/>
          <w:szCs w:val="24"/>
        </w:rPr>
        <w:br/>
        <w:t>The handling of claims made by Iraqis for losses which do not arise in connection with combat operations are governed by section 6 of the Coalition Provisional Authority Order Number 17. This provides that any such claims shall be submitted to and dealt with by the parent state of the person whose activities are alleged to have caused the loss. The claims will then be dealt with in a manner consistent with the national laws of that parent state.</w:t>
      </w:r>
      <w:r w:rsidRPr="00BE407E">
        <w:rPr>
          <w:rFonts w:ascii="Times New Roman" w:eastAsia="Times New Roman" w:hAnsi="Times New Roman" w:cs="Times New Roman"/>
          <w:sz w:val="24"/>
          <w:szCs w:val="24"/>
        </w:rPr>
        <w:br/>
        <w:t>Where a claim against British troops arises from activity which would not give rise to a legal liability to pay compensation under English law, there may nevertheless be an ex gratia payment made to the injured person or to the family of the deceased where this would be in accordance with local custom or directed to meet a particular urgent humanitarian need.</w:t>
      </w:r>
      <w:r>
        <w:rPr>
          <w:rFonts w:ascii="Times New Roman" w:eastAsia="Times New Roman" w:hAnsi="Times New Roman" w:cs="Times New Roman"/>
          <w:noProof/>
          <w:sz w:val="24"/>
          <w:szCs w:val="24"/>
        </w:rPr>
        <w:drawing>
          <wp:inline distT="0" distB="0" distL="0" distR="0">
            <wp:extent cx="151130" cy="142875"/>
            <wp:effectExtent l="19050" t="0" r="1270" b="0"/>
            <wp:docPr id="3133" name="Imagen 31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2003, in a written reply to a question in the House of Lords, the UK Minister of State, Foreign and Commonwealth Office, stated:</w:t>
      </w:r>
      <w:r w:rsidRPr="00BE407E">
        <w:rPr>
          <w:rFonts w:ascii="Times New Roman" w:eastAsia="Times New Roman" w:hAnsi="Times New Roman" w:cs="Times New Roman"/>
          <w:sz w:val="24"/>
          <w:szCs w:val="24"/>
        </w:rPr>
        <w:br/>
        <w:t>The Government deplore the war crimes committed during the Balkans conflict in the early 1990s, including the rape of women and girls in Bosnia.</w:t>
      </w:r>
      <w:r w:rsidRPr="00BE407E">
        <w:rPr>
          <w:rFonts w:ascii="Times New Roman" w:eastAsia="Times New Roman" w:hAnsi="Times New Roman" w:cs="Times New Roman"/>
          <w:sz w:val="24"/>
          <w:szCs w:val="24"/>
        </w:rPr>
        <w:br/>
        <w:t xml:space="preserve">We are sympathetic to any proposal to improve the situation of the victims of these crimes, but it is not clear that awarding civilian war victim status would be the most effective means of ensuring support for these women. What is required is recognition of their suffering as victims of rape, conviction of the perpetrators and provision of </w:t>
      </w:r>
      <w:r w:rsidRPr="00BE407E">
        <w:rPr>
          <w:rFonts w:ascii="Times New Roman" w:eastAsia="Times New Roman" w:hAnsi="Times New Roman" w:cs="Times New Roman"/>
          <w:sz w:val="24"/>
          <w:szCs w:val="24"/>
        </w:rPr>
        <w:lastRenderedPageBreak/>
        <w:t>appropriate support for these women and their children.</w:t>
      </w:r>
      <w:r w:rsidRPr="00BE407E">
        <w:rPr>
          <w:rFonts w:ascii="Times New Roman" w:eastAsia="Times New Roman" w:hAnsi="Times New Roman" w:cs="Times New Roman"/>
          <w:sz w:val="24"/>
          <w:szCs w:val="24"/>
        </w:rPr>
        <w:br/>
        <w:t>Through the work of the Department for International Development, and support for UNICEF and local NGOs, the Government support projects to raise awareness of rape as a war crime. We strongly support the work of the International Criminal Tribunal for former Yugoslavia, which is tasked with bringing to trial those suspected of war crimes and crimes against humanity during the Balkans conflict, including rape. It has convicted a number of individuals of this crime. With our partners in the EU, we apply concerted pressure to all governments in the region for greater co-operation with ICTY, particularly in the handover and prosecution of indictees.</w:t>
      </w:r>
      <w:r w:rsidRPr="00BE407E">
        <w:rPr>
          <w:rFonts w:ascii="Times New Roman" w:eastAsia="Times New Roman" w:hAnsi="Times New Roman" w:cs="Times New Roman"/>
          <w:sz w:val="24"/>
          <w:szCs w:val="24"/>
        </w:rPr>
        <w:br/>
        <w:t>The best way to secure financial support for these women and their children is through successful convictions in the Bosnian courts, which can award compensation to the victims of rape. Together with our EU partners, we are working hard to strengthen the capacity of the Bosnian judicial system, so that it can prosecute the perpetrators of these crimes more effectively and efficiently, and provide sustainable support to the victims.</w:t>
      </w:r>
      <w:r>
        <w:rPr>
          <w:rFonts w:ascii="Times New Roman" w:eastAsia="Times New Roman" w:hAnsi="Times New Roman" w:cs="Times New Roman"/>
          <w:noProof/>
          <w:sz w:val="24"/>
          <w:szCs w:val="24"/>
        </w:rPr>
        <w:drawing>
          <wp:inline distT="0" distB="0" distL="0" distR="0">
            <wp:extent cx="151130" cy="142875"/>
            <wp:effectExtent l="19050" t="0" r="1270" b="0"/>
            <wp:docPr id="3134" name="Imagen 31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2003, during a debate in the House of Lords, the UK Parliamentary Under-Secretary of State for Defence stated:</w:t>
      </w:r>
      <w:r w:rsidRPr="00BE407E">
        <w:rPr>
          <w:rFonts w:ascii="Times New Roman" w:eastAsia="Times New Roman" w:hAnsi="Times New Roman" w:cs="Times New Roman"/>
          <w:sz w:val="24"/>
          <w:szCs w:val="24"/>
        </w:rPr>
        <w:br/>
        <w:t>My Lords, every effort is made to minimise the impact of military operations on the Iraqi civilian population, and we deeply regret all civilian casualties. Since 1st May 2003, we have investigated every civilian fatality allegedly caused by UK military personnel, sometimes resulting in a formal investigation by the Special Investigation Branch.</w:t>
      </w:r>
      <w:r w:rsidRPr="00BE407E">
        <w:rPr>
          <w:rFonts w:ascii="Times New Roman" w:eastAsia="Times New Roman" w:hAnsi="Times New Roman" w:cs="Times New Roman"/>
          <w:sz w:val="24"/>
          <w:szCs w:val="24"/>
        </w:rPr>
        <w:br/>
        <w:t>We treat claims for compensation in respect of civilians who have allegedly been killed or injured by UK forces since 1st May on their merits, in accordance with English law. We have no liability to pay compensation in respect of Iraqis killed or injured during combat operations.</w:t>
      </w:r>
      <w:r>
        <w:rPr>
          <w:rFonts w:ascii="Times New Roman" w:eastAsia="Times New Roman" w:hAnsi="Times New Roman" w:cs="Times New Roman"/>
          <w:noProof/>
          <w:sz w:val="24"/>
          <w:szCs w:val="24"/>
        </w:rPr>
        <w:drawing>
          <wp:inline distT="0" distB="0" distL="0" distR="0">
            <wp:extent cx="151130" cy="142875"/>
            <wp:effectExtent l="19050" t="0" r="1270" b="0"/>
            <wp:docPr id="3135" name="Imagen 31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a written answer to a question concerning,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economic assistance to Iraqi families for loss or long-term disablement of a main income earner, the UK Secretary of State for Defence stated:</w:t>
      </w:r>
      <w:r w:rsidRPr="00BE407E">
        <w:rPr>
          <w:rFonts w:ascii="Times New Roman" w:eastAsia="Times New Roman" w:hAnsi="Times New Roman" w:cs="Times New Roman"/>
          <w:sz w:val="24"/>
          <w:szCs w:val="24"/>
        </w:rPr>
        <w:br/>
        <w:t>Iraqi civilians alleging negligence against the Ministry of Defence may submit a compensation claim to the Department’s Area Claims Officer based at Basra. When such claims are submitted, they are considered on the basis of whether or not the Ministry of Defence has a legal liability to pay compensation. Where there is a legal liability to pay compensation, we do so. Any amount payable is determined case by case, taking into account the specific circumstances of the injured party.</w:t>
      </w:r>
      <w:r>
        <w:rPr>
          <w:rFonts w:ascii="Times New Roman" w:eastAsia="Times New Roman" w:hAnsi="Times New Roman" w:cs="Times New Roman"/>
          <w:noProof/>
          <w:sz w:val="24"/>
          <w:szCs w:val="24"/>
        </w:rPr>
        <w:drawing>
          <wp:inline distT="0" distB="0" distL="0" distR="0">
            <wp:extent cx="151130" cy="142875"/>
            <wp:effectExtent l="19050" t="0" r="1270" b="0"/>
            <wp:docPr id="3136" name="Imagen 31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in a written answer to a question in the House of Commons concerning “what provisions are in place for compensation for Afghan civilians (a) killed, (b) wounded and (c) otherwise harmed during International Security Assistance Force operations”, the UK Minister of State for Armed Forces, Ministry of Defence, stated:</w:t>
      </w:r>
      <w:r w:rsidRPr="00BE407E">
        <w:rPr>
          <w:rFonts w:ascii="Times New Roman" w:eastAsia="Times New Roman" w:hAnsi="Times New Roman" w:cs="Times New Roman"/>
          <w:sz w:val="24"/>
          <w:szCs w:val="24"/>
        </w:rPr>
        <w:br/>
        <w:t>When compensation claims are received they are considered on the basis of whether or not the UK Ministry of Defence has a legal liability to pay compensation. Where there is a proven legal liability, compensation is paid.</w:t>
      </w:r>
      <w:r w:rsidRPr="00BE407E">
        <w:rPr>
          <w:rFonts w:ascii="Times New Roman" w:eastAsia="Times New Roman" w:hAnsi="Times New Roman" w:cs="Times New Roman"/>
          <w:sz w:val="24"/>
          <w:szCs w:val="24"/>
        </w:rPr>
        <w:br/>
        <w:t>From the outset of operations in Afghanistan we have recognised our duty to provide compensation to Afghan civilians where this is required by the law. The procedures for handling compensation claims are straightforward and have been tested in other operational theatres. An area claims officer based in Helmand Province handles routine claims, but to ensure a consistent approach those cases involving death or serious injury of Afghan civilians are handled by claims staff in UK.</w:t>
      </w:r>
      <w:r>
        <w:rPr>
          <w:rFonts w:ascii="Times New Roman" w:eastAsia="Times New Roman" w:hAnsi="Times New Roman" w:cs="Times New Roman"/>
          <w:noProof/>
          <w:sz w:val="24"/>
          <w:szCs w:val="24"/>
        </w:rPr>
        <w:drawing>
          <wp:inline distT="0" distB="0" distL="0" distR="0">
            <wp:extent cx="151130" cy="142875"/>
            <wp:effectExtent l="19050" t="0" r="1270" b="0"/>
            <wp:docPr id="3137" name="Imagen 31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2007, in the information provided to the Human Rights Committee on the implementation of the Committee’s concluding observations concerning the UK’s sixth </w:t>
      </w:r>
      <w:r w:rsidRPr="00BE407E">
        <w:rPr>
          <w:rFonts w:ascii="Times New Roman" w:eastAsia="Times New Roman" w:hAnsi="Times New Roman" w:cs="Times New Roman"/>
          <w:sz w:val="24"/>
          <w:szCs w:val="24"/>
        </w:rPr>
        <w:lastRenderedPageBreak/>
        <w:t>periodic report, the United Kingdom stated:</w:t>
      </w:r>
      <w:r w:rsidRPr="00BE407E">
        <w:rPr>
          <w:rFonts w:ascii="Times New Roman" w:eastAsia="Times New Roman" w:hAnsi="Times New Roman" w:cs="Times New Roman"/>
          <w:sz w:val="24"/>
          <w:szCs w:val="24"/>
        </w:rPr>
        <w:br/>
        <w:t>26. The Armed Forces are fully aware of their obligations under international law. …</w:t>
      </w:r>
      <w:r w:rsidRPr="00BE407E">
        <w:rPr>
          <w:rFonts w:ascii="Times New Roman" w:eastAsia="Times New Roman" w:hAnsi="Times New Roman" w:cs="Times New Roman"/>
          <w:sz w:val="24"/>
          <w:szCs w:val="24"/>
        </w:rPr>
        <w:br/>
        <w:t>27. Reparation will be paid to victims or their families where there is a legal liability to do so resulting from the unlawful activities of any member of the UK armed forces. Claims for death and personal injury can be brought under UK common law and compensation may be payable for human right breaches under the Human Rights Act where that applies. Compensation may also be payable under UK criminal injuries compensation provisions where applicable.</w:t>
      </w:r>
      <w:r>
        <w:rPr>
          <w:rFonts w:ascii="Times New Roman" w:eastAsia="Times New Roman" w:hAnsi="Times New Roman" w:cs="Times New Roman"/>
          <w:noProof/>
          <w:sz w:val="24"/>
          <w:szCs w:val="24"/>
        </w:rPr>
        <w:drawing>
          <wp:inline distT="0" distB="0" distL="0" distR="0">
            <wp:extent cx="151130" cy="142875"/>
            <wp:effectExtent l="19050" t="0" r="1270" b="0"/>
            <wp:docPr id="3138" name="Imagen 31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1991, during a debate in the UN General Assembly on the environmental impact of the Gulf War, the United States maintained that:</w:t>
      </w:r>
      <w:r w:rsidRPr="00BE407E">
        <w:rPr>
          <w:rFonts w:ascii="Times New Roman" w:eastAsia="Times New Roman" w:hAnsi="Times New Roman" w:cs="Times New Roman"/>
          <w:sz w:val="24"/>
          <w:szCs w:val="24"/>
        </w:rPr>
        <w:br/>
        <w:t>Under Security Council resolution 687 (1991), Iraq was financially liable for the environmental damage it had caused. Thus, existing international law not only prohibited the type of acts committed by Iraq, but also provided important remedies to address and deter such acts, in particular with respect to … official financial liability.</w:t>
      </w:r>
      <w:r>
        <w:rPr>
          <w:rFonts w:ascii="Times New Roman" w:eastAsia="Times New Roman" w:hAnsi="Times New Roman" w:cs="Times New Roman"/>
          <w:noProof/>
          <w:sz w:val="24"/>
          <w:szCs w:val="24"/>
        </w:rPr>
        <w:drawing>
          <wp:inline distT="0" distB="0" distL="0" distR="0">
            <wp:extent cx="151130" cy="142875"/>
            <wp:effectExtent l="19050" t="0" r="1270" b="0"/>
            <wp:docPr id="3139" name="Imagen 31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1996, the United States, with regard to funding provided by the US Agency for International Development (USAID) for the construction of a new hospital and satisfactory compensation in favour of petitioners before the Inter-American Commission on Human Rights who had allegedly suffered a US military aircraft attack on an asylum in Grenada, formally noted</w:t>
      </w:r>
      <w:r w:rsidRPr="00BE407E">
        <w:rPr>
          <w:rFonts w:ascii="Times New Roman" w:eastAsia="Times New Roman" w:hAnsi="Times New Roman" w:cs="Times New Roman"/>
          <w:sz w:val="24"/>
          <w:szCs w:val="24"/>
        </w:rPr>
        <w:br/>
        <w:t>its long-standing position that its actions were entirely in conformance with the law of armed conflict, and that therefore the US had no legal liability for any damages claimed. For these reasons, the US categorically rejects as inaccurate and misleading the petitioners’ statement as an alleged settlement of this case and compensation paid in this matter.</w:t>
      </w:r>
      <w:r>
        <w:rPr>
          <w:rFonts w:ascii="Times New Roman" w:eastAsia="Times New Roman" w:hAnsi="Times New Roman" w:cs="Times New Roman"/>
          <w:noProof/>
          <w:sz w:val="24"/>
          <w:szCs w:val="24"/>
        </w:rPr>
        <w:drawing>
          <wp:inline distT="0" distB="0" distL="0" distR="0">
            <wp:extent cx="151130" cy="142875"/>
            <wp:effectExtent l="19050" t="0" r="1270" b="0"/>
            <wp:docPr id="3140" name="Imagen 31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concurrent resolution adopted in 2000 concerning the war crimes committed by the Japanese military during the Second World War, the US Congress expressed its sense that:</w:t>
      </w:r>
      <w:r w:rsidRPr="00BE407E">
        <w:rPr>
          <w:rFonts w:ascii="Times New Roman" w:eastAsia="Times New Roman" w:hAnsi="Times New Roman" w:cs="Times New Roman"/>
          <w:sz w:val="24"/>
          <w:szCs w:val="24"/>
        </w:rPr>
        <w:br/>
        <w:t>the Government of Japan should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immediately pay reparations to the victims of those crimes, including United States military and civilian prisoners of war, survivors of the “Rape of Nanjing” from December, 1937, until February, 1938, and the women who were forced into sexual slavery and known by the Japanese military as “comfort women”.</w:t>
      </w:r>
      <w:r>
        <w:rPr>
          <w:rFonts w:ascii="Times New Roman" w:eastAsia="Times New Roman" w:hAnsi="Times New Roman" w:cs="Times New Roman"/>
          <w:noProof/>
          <w:sz w:val="24"/>
          <w:szCs w:val="24"/>
        </w:rPr>
        <w:drawing>
          <wp:inline distT="0" distB="0" distL="0" distR="0">
            <wp:extent cx="151130" cy="142875"/>
            <wp:effectExtent l="19050" t="0" r="1270" b="0"/>
            <wp:docPr id="3141" name="Imagen 31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2005, in its second periodic report to the Committee Against Torture, the United States stated:</w:t>
      </w:r>
      <w:r w:rsidRPr="00BE407E">
        <w:rPr>
          <w:rFonts w:ascii="Times New Roman" w:eastAsia="Times New Roman" w:hAnsi="Times New Roman" w:cs="Times New Roman"/>
          <w:sz w:val="24"/>
          <w:szCs w:val="24"/>
        </w:rPr>
        <w:br/>
        <w:t>120. The United States is committed to adequately compensating the victims of abuse and mistreatment by U.S. military personnel in Iraq. The U.S. Army is responsible for handling all claims in Iraq. Several claims statutes allow the United States to compensate victims of misconduct by U.S. military personnel. The primary mechanism for paying claims for allegations of abuse and mistreatment by U.S. personnel in Iraq is through the Foreign Claims Act (FCA), 10 U.S.C. § 2734. Under the FCA, Foreign Claims Commissions are tasked with investigating, adjudicating, and settling meritorious claims arising out of an individual’s detention. …</w:t>
      </w:r>
      <w:r w:rsidRPr="00BE407E">
        <w:rPr>
          <w:rFonts w:ascii="Times New Roman" w:eastAsia="Times New Roman" w:hAnsi="Times New Roman" w:cs="Times New Roman"/>
          <w:sz w:val="24"/>
          <w:szCs w:val="24"/>
        </w:rPr>
        <w:br/>
        <w:t xml:space="preserve">121. In addition, the Secretary of Defense has directed the Secretary of the Army to review all claims for compensation based on allegations of abuse in Iraq and to act on them in his discretion. In instances where meritorious claims are not payable under the FCA or the MCA [Military Claims Act], the Secretary of the Army is responsible for identifying alternative authorities to provide compensation and either to take such action </w:t>
      </w:r>
      <w:r w:rsidRPr="00BE407E">
        <w:rPr>
          <w:rFonts w:ascii="Times New Roman" w:eastAsia="Times New Roman" w:hAnsi="Times New Roman" w:cs="Times New Roman"/>
          <w:sz w:val="24"/>
          <w:szCs w:val="24"/>
        </w:rPr>
        <w:lastRenderedPageBreak/>
        <w:t>or forward the claim to the Deputy Secretary of Defense with a recommendation for action.</w:t>
      </w:r>
      <w:r>
        <w:rPr>
          <w:rFonts w:ascii="Times New Roman" w:eastAsia="Times New Roman" w:hAnsi="Times New Roman" w:cs="Times New Roman"/>
          <w:noProof/>
          <w:sz w:val="24"/>
          <w:szCs w:val="24"/>
        </w:rPr>
        <w:drawing>
          <wp:inline distT="0" distB="0" distL="0" distR="0">
            <wp:extent cx="151130" cy="142875"/>
            <wp:effectExtent l="19050" t="0" r="1270" b="0"/>
            <wp:docPr id="3142" name="Imagen 31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May 2006, in his opening remarks to the Committee against Torture prior to its consideration of the United States’ second periodic report, the head of the US delegation stated:</w:t>
      </w:r>
      <w:r w:rsidRPr="00BE407E">
        <w:rPr>
          <w:rFonts w:ascii="Times New Roman" w:eastAsia="Times New Roman" w:hAnsi="Times New Roman" w:cs="Times New Roman"/>
          <w:sz w:val="24"/>
          <w:szCs w:val="24"/>
        </w:rPr>
        <w:br/>
        <w:t>Our focus on eradicating torture and punishing its perpetrators would be incomplete without a parallel effort to help its victims recover from abuses. The United States has comprehensive legislation that enables citizens and non-citizens of the United States who are victims of torture to bring claims for damages against foreign government officials in U.S. federal courts.</w:t>
      </w:r>
      <w:r>
        <w:rPr>
          <w:rFonts w:ascii="Times New Roman" w:eastAsia="Times New Roman" w:hAnsi="Times New Roman" w:cs="Times New Roman"/>
          <w:noProof/>
          <w:sz w:val="24"/>
          <w:szCs w:val="24"/>
        </w:rPr>
        <w:drawing>
          <wp:inline distT="0" distB="0" distL="0" distR="0">
            <wp:extent cx="151130" cy="142875"/>
            <wp:effectExtent l="19050" t="0" r="1270" b="0"/>
            <wp:docPr id="3143" name="Imagen 31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Zimbabwe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1995, in its initial report to the Committee on the Rights of the Child, Zimbabwe stated:</w:t>
      </w:r>
      <w:r w:rsidRPr="00BE407E">
        <w:rPr>
          <w:rFonts w:ascii="Times New Roman" w:eastAsia="Times New Roman" w:hAnsi="Times New Roman" w:cs="Times New Roman"/>
          <w:sz w:val="24"/>
          <w:szCs w:val="24"/>
        </w:rPr>
        <w:br/>
        <w:t>243. The War Victims Compensation Act of Zimbabwe provides financial assistance to children of war victims. Those who are not covered by this Act are assisted through the Public Assistance Programme.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245. … The War Victim Act does not cover victims of civil wars.</w:t>
      </w:r>
      <w:r>
        <w:rPr>
          <w:rFonts w:ascii="Times New Roman" w:eastAsia="Times New Roman" w:hAnsi="Times New Roman" w:cs="Times New Roman"/>
          <w:noProof/>
          <w:sz w:val="24"/>
          <w:szCs w:val="24"/>
        </w:rPr>
        <w:drawing>
          <wp:inline distT="0" distB="0" distL="0" distR="0">
            <wp:extent cx="151130" cy="142875"/>
            <wp:effectExtent l="19050" t="0" r="1270" b="0"/>
            <wp:docPr id="3144" name="Imagen 31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According to media reports, in October 1999, the President of Zimbabwe apologised for the atrocities committed by the Five Brigade army unit which killed an estimated 25,000 people in an opposition stronghold during the civil war in the early 1980s and announced that the government was ready to compensate the families of the victims.</w:t>
      </w:r>
      <w:r>
        <w:rPr>
          <w:rFonts w:ascii="Times New Roman" w:eastAsia="Times New Roman" w:hAnsi="Times New Roman" w:cs="Times New Roman"/>
          <w:noProof/>
          <w:sz w:val="24"/>
          <w:szCs w:val="24"/>
        </w:rPr>
        <w:drawing>
          <wp:inline distT="0" distB="0" distL="0" distR="0">
            <wp:extent cx="151130" cy="142875"/>
            <wp:effectExtent l="19050" t="0" r="1270" b="0"/>
            <wp:docPr id="3145" name="Imagen 31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2014, in an oral answer to a question without notice in the Senate, Zimbabwe’s Minister of Defence stated:</w:t>
      </w:r>
      <w:r w:rsidRPr="00BE407E">
        <w:rPr>
          <w:rFonts w:ascii="Times New Roman" w:eastAsia="Times New Roman" w:hAnsi="Times New Roman" w:cs="Times New Roman"/>
          <w:sz w:val="24"/>
          <w:szCs w:val="24"/>
        </w:rPr>
        <w:br/>
        <w:t>[I]t is true as we all know that during the liberation war, the Rhodesians planted a lot of landmines along our borders with Zambia, Mozambique and South Africa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There are people who have lost limbs; they have been amputated by these landmines and have undergone medical treatment. Some of them have got prostheses, that is artificial limbs and that process is going on. </w:t>
      </w:r>
      <w:r w:rsidRPr="00BE407E">
        <w:rPr>
          <w:rFonts w:ascii="Times New Roman" w:eastAsia="Times New Roman" w:hAnsi="Times New Roman" w:cs="Times New Roman"/>
          <w:sz w:val="24"/>
          <w:szCs w:val="24"/>
        </w:rPr>
        <w:br/>
        <w:t>With regards to compensation in monetary terms, that is for the time being not under way but we think everything that is possible should be done to rehabilitate all those that have been injured or maimed by these landmines. In terms of monetary compensation Madam President, for now we are not yet in a position to do so. It will have to be a policy decision as to how much compensation is paid. If one has a lost a limb or the lower leg, how much do we compensate? If one has lost a forearm, how much do you pay? If one has lost two fingers, what do you do? Those are intricate issues that we will obviously look into but for the time being, the resources available are mainly earmarked for clearing the landmines around the country.</w:t>
      </w:r>
      <w:r>
        <w:rPr>
          <w:rFonts w:ascii="Times New Roman" w:eastAsia="Times New Roman" w:hAnsi="Times New Roman" w:cs="Times New Roman"/>
          <w:noProof/>
          <w:sz w:val="24"/>
          <w:szCs w:val="24"/>
        </w:rPr>
        <w:drawing>
          <wp:inline distT="0" distB="0" distL="0" distR="0">
            <wp:extent cx="151130" cy="142875"/>
            <wp:effectExtent l="19050" t="0" r="1270" b="0"/>
            <wp:docPr id="3146" name="Imagen 31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3" w:history="1">
        <w:r w:rsidRPr="00BE407E">
          <w:rPr>
            <w:rFonts w:ascii="Times New Roman" w:eastAsia="Times New Roman" w:hAnsi="Times New Roman" w:cs="Times New Roman"/>
            <w:color w:val="0000FF"/>
            <w:sz w:val="24"/>
            <w:szCs w:val="24"/>
            <w:u w:val="single"/>
          </w:rPr>
          <w:t>VII. United Nations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UN Security Council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1976 on South Africa’s military activities against Angola, the UN Security Council called upon the Government of South Africa “to meet the just claims of the People’s Republic of Angola for a full compensation for the damage and destruction inflicted on its State”.</w:t>
      </w:r>
      <w:r>
        <w:rPr>
          <w:rFonts w:ascii="Times New Roman" w:eastAsia="Times New Roman" w:hAnsi="Times New Roman" w:cs="Times New Roman"/>
          <w:noProof/>
          <w:sz w:val="24"/>
          <w:szCs w:val="24"/>
        </w:rPr>
        <w:drawing>
          <wp:inline distT="0" distB="0" distL="0" distR="0">
            <wp:extent cx="151130" cy="142875"/>
            <wp:effectExtent l="19050" t="0" r="1270" b="0"/>
            <wp:docPr id="3147" name="Imagen 31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1979 following an incursion into Zambia of troops from southern Rhodesia, the UN Security Council called for “the payment of full and adequate compensation to the Republic of Zambia by the responsible authorities for the damage to life and property resulting from the acts of aggression”.</w:t>
      </w:r>
      <w:r>
        <w:rPr>
          <w:rFonts w:ascii="Times New Roman" w:eastAsia="Times New Roman" w:hAnsi="Times New Roman" w:cs="Times New Roman"/>
          <w:noProof/>
          <w:sz w:val="24"/>
          <w:szCs w:val="24"/>
        </w:rPr>
        <w:drawing>
          <wp:inline distT="0" distB="0" distL="0" distR="0">
            <wp:extent cx="151130" cy="142875"/>
            <wp:effectExtent l="19050" t="0" r="1270" b="0"/>
            <wp:docPr id="3148" name="Imagen 31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In a resolution adopted in 1980, the UN Security Council: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Recalling once again</w:t>
      </w:r>
      <w:r w:rsidRPr="00BE407E">
        <w:rPr>
          <w:rFonts w:ascii="Times New Roman" w:eastAsia="Times New Roman" w:hAnsi="Times New Roman" w:cs="Times New Roman"/>
          <w:sz w:val="24"/>
          <w:szCs w:val="24"/>
        </w:rPr>
        <w:t xml:space="preserve"> the Geneva Convention relative to the Protection of Civilian Persons in Time of War, of 12 August 1949, and in particular article 27, which reads,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“Protected persons are entitled, in all circumstances, to respect for their persons… They shall at all times be humanely treated, and shall be protected especially against all acts of violence or threats thereof …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Reaffirming</w:t>
      </w:r>
      <w:r w:rsidRPr="00BE407E">
        <w:rPr>
          <w:rFonts w:ascii="Times New Roman" w:eastAsia="Times New Roman" w:hAnsi="Times New Roman" w:cs="Times New Roman"/>
          <w:sz w:val="24"/>
          <w:szCs w:val="24"/>
        </w:rPr>
        <w:t xml:space="preserve"> the applicability of the Geneva Convention relative to the Protection of Civilian Persons in Time of War to the Arab territories occupied by Israel since 1967, including Jerusalem,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1. </w:t>
      </w:r>
      <w:r w:rsidRPr="00BE407E">
        <w:rPr>
          <w:rFonts w:ascii="Times New Roman" w:eastAsia="Times New Roman" w:hAnsi="Times New Roman" w:cs="Times New Roman"/>
          <w:i/>
          <w:iCs/>
          <w:sz w:val="24"/>
          <w:szCs w:val="24"/>
        </w:rPr>
        <w:t>Condemns</w:t>
      </w:r>
      <w:r w:rsidRPr="00BE407E">
        <w:rPr>
          <w:rFonts w:ascii="Times New Roman" w:eastAsia="Times New Roman" w:hAnsi="Times New Roman" w:cs="Times New Roman"/>
          <w:sz w:val="24"/>
          <w:szCs w:val="24"/>
        </w:rPr>
        <w:t xml:space="preserve"> the assassination attempts on the lives of the Mayors of Nablus, Ramallah and Al Bireh and calls for the immediate apprehension and prosecution of the perpetrators of these crimes;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Expresses deep concern</w:t>
      </w:r>
      <w:r w:rsidRPr="00BE407E">
        <w:rPr>
          <w:rFonts w:ascii="Times New Roman" w:eastAsia="Times New Roman" w:hAnsi="Times New Roman" w:cs="Times New Roman"/>
          <w:sz w:val="24"/>
          <w:szCs w:val="24"/>
        </w:rPr>
        <w:t xml:space="preserve"> that Israel, as the occupying Power, has failed to provide adequate protection to the civilian population in the occupied territories in conformity with the provisions of the Geneva Convention relative to the Protection of Civilian Persons in Time of War;</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Calls upon</w:t>
      </w:r>
      <w:r w:rsidRPr="00BE407E">
        <w:rPr>
          <w:rFonts w:ascii="Times New Roman" w:eastAsia="Times New Roman" w:hAnsi="Times New Roman" w:cs="Times New Roman"/>
          <w:sz w:val="24"/>
          <w:szCs w:val="24"/>
        </w:rPr>
        <w:t xml:space="preserve"> the Government of Israel to provide the victims with adequate compensation for the damages suffered as a result of these crimes.</w:t>
      </w:r>
      <w:r>
        <w:rPr>
          <w:rFonts w:ascii="Times New Roman" w:eastAsia="Times New Roman" w:hAnsi="Times New Roman" w:cs="Times New Roman"/>
          <w:noProof/>
          <w:sz w:val="24"/>
          <w:szCs w:val="24"/>
        </w:rPr>
        <w:drawing>
          <wp:inline distT="0" distB="0" distL="0" distR="0">
            <wp:extent cx="151130" cy="142875"/>
            <wp:effectExtent l="19050" t="0" r="1270" b="0"/>
            <wp:docPr id="3149" name="Imagen 31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1982 on South Africa’s military actions against Lesotho, the UN Security Council demanded “the payment by South Africa of full and adequate compensation to the Kingdom of Lesotho for the damage to life and property resulting from [its] aggressive act”.</w:t>
      </w:r>
      <w:r>
        <w:rPr>
          <w:rFonts w:ascii="Times New Roman" w:eastAsia="Times New Roman" w:hAnsi="Times New Roman" w:cs="Times New Roman"/>
          <w:noProof/>
          <w:sz w:val="24"/>
          <w:szCs w:val="24"/>
        </w:rPr>
        <w:drawing>
          <wp:inline distT="0" distB="0" distL="0" distR="0">
            <wp:extent cx="151130" cy="142875"/>
            <wp:effectExtent l="19050" t="0" r="1270" b="0"/>
            <wp:docPr id="3150" name="Imagen 31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1985 on South Africa’s military activities against Angola, the UN Security Council stated that Angola should be entirely and adequately compensated for the loss of human life and the material damages resulting from the acts of aggression of South Africa. It decided to appoint a Commission of Investigation comprised of three members of the Security Council to evaluate the damage resulting from the invasion of Angola by South African forces.</w:t>
      </w:r>
      <w:r>
        <w:rPr>
          <w:rFonts w:ascii="Times New Roman" w:eastAsia="Times New Roman" w:hAnsi="Times New Roman" w:cs="Times New Roman"/>
          <w:noProof/>
          <w:sz w:val="24"/>
          <w:szCs w:val="24"/>
        </w:rPr>
        <w:drawing>
          <wp:inline distT="0" distB="0" distL="0" distR="0">
            <wp:extent cx="151130" cy="142875"/>
            <wp:effectExtent l="19050" t="0" r="1270" b="0"/>
            <wp:docPr id="3151" name="Imagen 31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Resolution 687 adopted in 1991 in the context of the Iraqi invasion and occupation of Kuwait, the UN Security Council decided</w:t>
      </w:r>
      <w:r w:rsidRPr="00BE407E">
        <w:rPr>
          <w:rFonts w:ascii="Times New Roman" w:eastAsia="Times New Roman" w:hAnsi="Times New Roman" w:cs="Times New Roman"/>
          <w:sz w:val="24"/>
          <w:szCs w:val="24"/>
        </w:rPr>
        <w:br/>
        <w:t>to create a fund to pay compensation for claims [resulting from Iraq’s liability “under international law for any direct loss, damage – including environmental damage and the depletion of natural resources – or injury to foreign Governments, nationals and corporations as a result of Iraq’s unlawful invasion and occupation of Kuwait”] and to establish a Commission that will administer the fund.</w:t>
      </w:r>
      <w:r>
        <w:rPr>
          <w:rFonts w:ascii="Times New Roman" w:eastAsia="Times New Roman" w:hAnsi="Times New Roman" w:cs="Times New Roman"/>
          <w:noProof/>
          <w:sz w:val="24"/>
          <w:szCs w:val="24"/>
        </w:rPr>
        <w:drawing>
          <wp:inline distT="0" distB="0" distL="0" distR="0">
            <wp:extent cx="151130" cy="142875"/>
            <wp:effectExtent l="19050" t="0" r="1270" b="0"/>
            <wp:docPr id="3152" name="Imagen 31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By Resolution 692 adopted in 1991, the UN Security Council, “acting under Chapter VII of the Charter of the United Nations”, decided “to establish the Fund and Commission referred to in paragraph 18 of resolution 687 (1991) in accordance with Part I of the Secretary-General’s report”, i.e. the United Nations Compensation Fund and the United Nations Compensation Commission (UNCC).</w:t>
      </w:r>
      <w:r>
        <w:rPr>
          <w:rFonts w:ascii="Times New Roman" w:eastAsia="Times New Roman" w:hAnsi="Times New Roman" w:cs="Times New Roman"/>
          <w:noProof/>
          <w:sz w:val="24"/>
          <w:szCs w:val="24"/>
        </w:rPr>
        <w:drawing>
          <wp:inline distT="0" distB="0" distL="0" distR="0">
            <wp:extent cx="151130" cy="142875"/>
            <wp:effectExtent l="19050" t="0" r="1270" b="0"/>
            <wp:docPr id="3153" name="Imagen 31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In Resolution 827 of May 1993 establishing the ICTY, the UN Security Council decided that “the work of the International Tribunal shall be carried out without prejudice to the right of the victims to seek, through appropriate means, compensation for damages incurred as a result of violations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3154" name="Imagen 31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General Assembly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resolution adopted in 1996, the UN General Assembly condemned “the Israeli military attacks against the civilian population in Lebanon, especially against the United Nations base at Qana, which violate the rules of international humanitarian law </w:t>
      </w:r>
      <w:r w:rsidRPr="00BE407E">
        <w:rPr>
          <w:rFonts w:ascii="Times New Roman" w:eastAsia="Times New Roman" w:hAnsi="Times New Roman" w:cs="Times New Roman"/>
          <w:sz w:val="24"/>
          <w:szCs w:val="24"/>
        </w:rPr>
        <w:lastRenderedPageBreak/>
        <w:t>pertaining to the protection of civilians” and stated that “Lebanon is entitled to appropriate redress for the destruction it has suffered and that Israel is responsible for such compensation”.</w:t>
      </w:r>
      <w:r>
        <w:rPr>
          <w:rFonts w:ascii="Times New Roman" w:eastAsia="Times New Roman" w:hAnsi="Times New Roman" w:cs="Times New Roman"/>
          <w:noProof/>
          <w:sz w:val="24"/>
          <w:szCs w:val="24"/>
        </w:rPr>
        <w:drawing>
          <wp:inline distT="0" distB="0" distL="0" distR="0">
            <wp:extent cx="151130" cy="142875"/>
            <wp:effectExtent l="19050" t="0" r="1270" b="0"/>
            <wp:docPr id="3155" name="Imagen 31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a resolution adopted in 1997 concerning,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the attack by Israel against the UNIFIL compound in Qana, the UN General Assembly decided that “the total amount mentioned … above, namely 1,773,618 dollars [i.e. the amount to cover the costs resulting from the incident at the headquarters of the Force at Qana on 18 April 1996], shall be borne by Israel”.</w:t>
      </w:r>
      <w:r>
        <w:rPr>
          <w:rFonts w:ascii="Times New Roman" w:eastAsia="Times New Roman" w:hAnsi="Times New Roman" w:cs="Times New Roman"/>
          <w:noProof/>
          <w:sz w:val="24"/>
          <w:szCs w:val="24"/>
        </w:rPr>
        <w:drawing>
          <wp:inline distT="0" distB="0" distL="0" distR="0">
            <wp:extent cx="151130" cy="142875"/>
            <wp:effectExtent l="19050" t="0" r="1270" b="0"/>
            <wp:docPr id="3156" name="Imagen 31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2001, the UN General Assembly adopted a resolution entitled “Responsibility of States for internationally wrongful acts”, to which the 2001 ILC Draft Articles on State Responsibility, and thus Article 36 entitled “Compensation”, were annexed. In the resolution, the General Assembly took note of the Draft Articles and commended them to the attention of governments “without prejudice to the question of their future adoption or other appropriate action”.</w:t>
      </w:r>
      <w:r>
        <w:rPr>
          <w:rFonts w:ascii="Times New Roman" w:eastAsia="Times New Roman" w:hAnsi="Times New Roman" w:cs="Times New Roman"/>
          <w:noProof/>
          <w:sz w:val="24"/>
          <w:szCs w:val="24"/>
        </w:rPr>
        <w:drawing>
          <wp:inline distT="0" distB="0" distL="0" distR="0">
            <wp:extent cx="151130" cy="142875"/>
            <wp:effectExtent l="19050" t="0" r="1270" b="0"/>
            <wp:docPr id="3157" name="Imagen 31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UNRWA operations, the UN General Assembly urged the Government of Israel to “speedily compensate the Agency for damage to its property and facilities resulting from actions by the Israeli side”.</w:t>
      </w:r>
      <w:r>
        <w:rPr>
          <w:rFonts w:ascii="Times New Roman" w:eastAsia="Times New Roman" w:hAnsi="Times New Roman" w:cs="Times New Roman"/>
          <w:noProof/>
          <w:sz w:val="24"/>
          <w:szCs w:val="24"/>
        </w:rPr>
        <w:drawing>
          <wp:inline distT="0" distB="0" distL="0" distR="0">
            <wp:extent cx="151130" cy="142875"/>
            <wp:effectExtent l="19050" t="0" r="1270" b="0"/>
            <wp:docPr id="3158" name="Imagen 31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UNRWA operations,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Urges </w:t>
      </w:r>
      <w:r w:rsidRPr="00BE407E">
        <w:rPr>
          <w:rFonts w:ascii="Times New Roman" w:eastAsia="Times New Roman" w:hAnsi="Times New Roman" w:cs="Times New Roman"/>
          <w:sz w:val="24"/>
          <w:szCs w:val="24"/>
        </w:rPr>
        <w:t>the Government of Israel to speedily compensate the Agency for damage to its property and facilities resulting from actions by the Israeli side and to expeditiously reimburse the Agency for port and related charges, including storage, demurrage and transit charges, incurred by the Agency and other financial losses sustained by the Agency as a result of delays and restrictions on movement and access imposed by Israel.</w:t>
      </w:r>
      <w:r>
        <w:rPr>
          <w:rFonts w:ascii="Times New Roman" w:eastAsia="Times New Roman" w:hAnsi="Times New Roman" w:cs="Times New Roman"/>
          <w:noProof/>
          <w:sz w:val="24"/>
          <w:szCs w:val="24"/>
        </w:rPr>
        <w:drawing>
          <wp:inline distT="0" distB="0" distL="0" distR="0">
            <wp:extent cx="151130" cy="142875"/>
            <wp:effectExtent l="19050" t="0" r="1270" b="0"/>
            <wp:docPr id="3159" name="Imagen 31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extrajudicial, summary or arbitrary executions,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Welcoming </w:t>
      </w:r>
      <w:r w:rsidRPr="00BE407E">
        <w:rPr>
          <w:rFonts w:ascii="Times New Roman" w:eastAsia="Times New Roman" w:hAnsi="Times New Roman" w:cs="Times New Roman"/>
          <w:sz w:val="24"/>
          <w:szCs w:val="24"/>
        </w:rPr>
        <w:t>the universal ratification of the Geneva Conventions of 12 August 1949, which alongside human rights law provide an important framework of accountability in relation to extrajudicial, summary or arbitrary executions during armed conflict,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Reiterates </w:t>
      </w:r>
      <w:r w:rsidRPr="00BE407E">
        <w:rPr>
          <w:rFonts w:ascii="Times New Roman" w:eastAsia="Times New Roman" w:hAnsi="Times New Roman" w:cs="Times New Roman"/>
          <w:sz w:val="24"/>
          <w:szCs w:val="24"/>
        </w:rPr>
        <w:t>the obligation of all States to conduct exhaustive and impartial investigations into all suspected cases of extrajudicial, summary or arbitrary executions, to identify and bring to justice those responsible, while ensuring the right of every person to a fair and public hearing by a competent, independent and impartial tribunal established by law, to grant adequate compensation within a reasonable time to the victims or their families, and to adopt all necessary measures, including legal and judicial measures, to put an end to impunity and to prevent the further occurrence of such executions, as recommended in the Principles on the Effective Prevention and Investigation of Extralegal, Arbitrary and Summary Executions.</w:t>
      </w:r>
      <w:r>
        <w:rPr>
          <w:rFonts w:ascii="Times New Roman" w:eastAsia="Times New Roman" w:hAnsi="Times New Roman" w:cs="Times New Roman"/>
          <w:noProof/>
          <w:sz w:val="24"/>
          <w:szCs w:val="24"/>
        </w:rPr>
        <w:drawing>
          <wp:inline distT="0" distB="0" distL="0" distR="0">
            <wp:extent cx="151130" cy="142875"/>
            <wp:effectExtent l="19050" t="0" r="1270" b="0"/>
            <wp:docPr id="3160" name="Imagen 31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an oil slick on Lebanese shores, the UN General Assembly:</w:t>
      </w:r>
      <w:r w:rsidRPr="00BE407E">
        <w:rPr>
          <w:rFonts w:ascii="Times New Roman" w:eastAsia="Times New Roman" w:hAnsi="Times New Roman" w:cs="Times New Roman"/>
          <w:sz w:val="24"/>
          <w:szCs w:val="24"/>
        </w:rPr>
        <w:br/>
        <w:t xml:space="preserve">1. </w:t>
      </w:r>
      <w:r w:rsidRPr="00BE407E">
        <w:rPr>
          <w:rFonts w:ascii="Times New Roman" w:eastAsia="Times New Roman" w:hAnsi="Times New Roman" w:cs="Times New Roman"/>
          <w:i/>
          <w:iCs/>
          <w:sz w:val="24"/>
          <w:szCs w:val="24"/>
        </w:rPr>
        <w:t xml:space="preserve">Expresses its deep concern </w:t>
      </w:r>
      <w:r w:rsidRPr="00BE407E">
        <w:rPr>
          <w:rFonts w:ascii="Times New Roman" w:eastAsia="Times New Roman" w:hAnsi="Times New Roman" w:cs="Times New Roman"/>
          <w:sz w:val="24"/>
          <w:szCs w:val="24"/>
        </w:rPr>
        <w:t>over the adverse implications of the destruction by the Israeli Air Force of the oil storage tanks in the direct vicinity of the Lebanese El-Jiyeh electric power plant for the achievement of sustainable development in Lebanon;</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 xml:space="preserve">Considers </w:t>
      </w:r>
      <w:r w:rsidRPr="00BE407E">
        <w:rPr>
          <w:rFonts w:ascii="Times New Roman" w:eastAsia="Times New Roman" w:hAnsi="Times New Roman" w:cs="Times New Roman"/>
          <w:sz w:val="24"/>
          <w:szCs w:val="24"/>
        </w:rPr>
        <w:t>that the oil slick has heavily polluted the shores of Lebanon and consequently has serious implications for human health, biodiversity, fisheries and tourism, all four of which in turn have serious implications for livelihoods and the economy of Lebanon;</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Calls upon </w:t>
      </w:r>
      <w:r w:rsidRPr="00BE407E">
        <w:rPr>
          <w:rFonts w:ascii="Times New Roman" w:eastAsia="Times New Roman" w:hAnsi="Times New Roman" w:cs="Times New Roman"/>
          <w:sz w:val="24"/>
          <w:szCs w:val="24"/>
        </w:rPr>
        <w:t xml:space="preserve">the Government of Israel to assume responsibility for prompt and adequate compensation to the Government of Lebanon for the costs of repairing the </w:t>
      </w:r>
      <w:r w:rsidRPr="00BE407E">
        <w:rPr>
          <w:rFonts w:ascii="Times New Roman" w:eastAsia="Times New Roman" w:hAnsi="Times New Roman" w:cs="Times New Roman"/>
          <w:sz w:val="24"/>
          <w:szCs w:val="24"/>
        </w:rPr>
        <w:lastRenderedPageBreak/>
        <w:t>environmental damage caused by the destruction, including the restoration of the marine environment.</w:t>
      </w:r>
      <w:r>
        <w:rPr>
          <w:rFonts w:ascii="Times New Roman" w:eastAsia="Times New Roman" w:hAnsi="Times New Roman" w:cs="Times New Roman"/>
          <w:noProof/>
          <w:sz w:val="24"/>
          <w:szCs w:val="24"/>
        </w:rPr>
        <w:drawing>
          <wp:inline distT="0" distB="0" distL="0" distR="0">
            <wp:extent cx="151130" cy="142875"/>
            <wp:effectExtent l="19050" t="0" r="1270" b="0"/>
            <wp:docPr id="3161" name="Imagen 31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2007 on UNRWA operations,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Urges </w:t>
      </w:r>
      <w:r w:rsidRPr="00BE407E">
        <w:rPr>
          <w:rFonts w:ascii="Times New Roman" w:eastAsia="Times New Roman" w:hAnsi="Times New Roman" w:cs="Times New Roman"/>
          <w:sz w:val="24"/>
          <w:szCs w:val="24"/>
        </w:rPr>
        <w:t>the Government of Israel to speedily compensate the Agency for damage to its property and facilities resulting from actions by the Israeli side and to expeditiously reimburse the Agency for all transit charges incurred and other financial losses sustained by the Agency as a result of delays and restrictions on movement and access imposed by Israel.</w:t>
      </w:r>
      <w:r>
        <w:rPr>
          <w:rFonts w:ascii="Times New Roman" w:eastAsia="Times New Roman" w:hAnsi="Times New Roman" w:cs="Times New Roman"/>
          <w:noProof/>
          <w:sz w:val="24"/>
          <w:szCs w:val="24"/>
        </w:rPr>
        <w:drawing>
          <wp:inline distT="0" distB="0" distL="0" distR="0">
            <wp:extent cx="151130" cy="142875"/>
            <wp:effectExtent l="19050" t="0" r="1270" b="0"/>
            <wp:docPr id="3162" name="Imagen 31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2007 on an oil slick on Lebanese shores, the UN General Assembly:</w:t>
      </w:r>
      <w:r w:rsidRPr="00BE407E">
        <w:rPr>
          <w:rFonts w:ascii="Times New Roman" w:eastAsia="Times New Roman" w:hAnsi="Times New Roman" w:cs="Times New Roman"/>
          <w:sz w:val="24"/>
          <w:szCs w:val="24"/>
        </w:rPr>
        <w:br/>
        <w:t xml:space="preserve">2. </w:t>
      </w:r>
      <w:r w:rsidRPr="00BE407E">
        <w:rPr>
          <w:rFonts w:ascii="Times New Roman" w:eastAsia="Times New Roman" w:hAnsi="Times New Roman" w:cs="Times New Roman"/>
          <w:i/>
          <w:iCs/>
          <w:sz w:val="24"/>
          <w:szCs w:val="24"/>
        </w:rPr>
        <w:t xml:space="preserve">Reiterates the expression of its deep concern </w:t>
      </w:r>
      <w:r w:rsidRPr="00BE407E">
        <w:rPr>
          <w:rFonts w:ascii="Times New Roman" w:eastAsia="Times New Roman" w:hAnsi="Times New Roman" w:cs="Times New Roman"/>
          <w:sz w:val="24"/>
          <w:szCs w:val="24"/>
        </w:rPr>
        <w:t>about the adverse implications of the destruction by the Israeli Air Force of the oil storage tanks in the direct vicinity of the Lebanese el Jiyeh electric power plant for the achievement of sustainable development in Lebanon;</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Considers </w:t>
      </w:r>
      <w:r w:rsidRPr="00BE407E">
        <w:rPr>
          <w:rFonts w:ascii="Times New Roman" w:eastAsia="Times New Roman" w:hAnsi="Times New Roman" w:cs="Times New Roman"/>
          <w:sz w:val="24"/>
          <w:szCs w:val="24"/>
        </w:rPr>
        <w:t>that the oil slick has heavily polluted the shores of Lebanon and partially polluted Syrian shores and consequently has had serious implications for livelihoods and the economy of Lebanon, owing to the adverse implications for natural resources, biodiversity, fisheries and tourism, and for human health, in the country;</w:t>
      </w:r>
      <w:r w:rsidRPr="00BE407E">
        <w:rPr>
          <w:rFonts w:ascii="Times New Roman" w:eastAsia="Times New Roman" w:hAnsi="Times New Roman" w:cs="Times New Roman"/>
          <w:sz w:val="24"/>
          <w:szCs w:val="24"/>
        </w:rPr>
        <w:br/>
        <w:t xml:space="preserve">4. </w:t>
      </w:r>
      <w:r w:rsidRPr="00BE407E">
        <w:rPr>
          <w:rFonts w:ascii="Times New Roman" w:eastAsia="Times New Roman" w:hAnsi="Times New Roman" w:cs="Times New Roman"/>
          <w:i/>
          <w:iCs/>
          <w:sz w:val="24"/>
          <w:szCs w:val="24"/>
        </w:rPr>
        <w:t xml:space="preserve">Requests </w:t>
      </w:r>
      <w:r w:rsidRPr="00BE407E">
        <w:rPr>
          <w:rFonts w:ascii="Times New Roman" w:eastAsia="Times New Roman" w:hAnsi="Times New Roman" w:cs="Times New Roman"/>
          <w:sz w:val="24"/>
          <w:szCs w:val="24"/>
        </w:rPr>
        <w:t>the Government of Israel to assume responsibility for prompt and adequate compensation to the Government of Lebanon and other countries directly affected by the oil slick for the costs of repairing the environmental damage caused by the destruction, including the restoration of the marine environment.</w:t>
      </w:r>
      <w:r>
        <w:rPr>
          <w:rFonts w:ascii="Times New Roman" w:eastAsia="Times New Roman" w:hAnsi="Times New Roman" w:cs="Times New Roman"/>
          <w:noProof/>
          <w:sz w:val="24"/>
          <w:szCs w:val="24"/>
        </w:rPr>
        <w:drawing>
          <wp:inline distT="0" distB="0" distL="0" distR="0">
            <wp:extent cx="151130" cy="142875"/>
            <wp:effectExtent l="19050" t="0" r="1270" b="0"/>
            <wp:docPr id="3163" name="Imagen 31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Commission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1995 on the Sudan,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Calls once more</w:t>
      </w:r>
      <w:r w:rsidRPr="00BE407E">
        <w:rPr>
          <w:rFonts w:ascii="Times New Roman" w:eastAsia="Times New Roman" w:hAnsi="Times New Roman" w:cs="Times New Roman"/>
          <w:sz w:val="24"/>
          <w:szCs w:val="24"/>
        </w:rPr>
        <w:t xml:space="preserve"> upon the Government of the Sudan to ensure a full and thorough investigation by the independent judicial inquiry commission of the killings of Sudanese employees of foreign relief organizations, to bring to justice those responsible for the killings and to provide just compensation to the families of the victims.</w:t>
      </w:r>
      <w:r>
        <w:rPr>
          <w:rFonts w:ascii="Times New Roman" w:eastAsia="Times New Roman" w:hAnsi="Times New Roman" w:cs="Times New Roman"/>
          <w:noProof/>
          <w:sz w:val="24"/>
          <w:szCs w:val="24"/>
        </w:rPr>
        <w:drawing>
          <wp:inline distT="0" distB="0" distL="0" distR="0">
            <wp:extent cx="151130" cy="142875"/>
            <wp:effectExtent l="19050" t="0" r="1270" b="0"/>
            <wp:docPr id="3164" name="Imagen 31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2003 on extrajudicial, summary or arbitrary executions, the UN Commission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Reiterates</w:t>
      </w:r>
      <w:r w:rsidRPr="00BE407E">
        <w:rPr>
          <w:rFonts w:ascii="Times New Roman" w:eastAsia="Times New Roman" w:hAnsi="Times New Roman" w:cs="Times New Roman"/>
          <w:sz w:val="24"/>
          <w:szCs w:val="24"/>
        </w:rPr>
        <w:t xml:space="preserve"> the obligation of all States to conduct exhaustive and impartial investigations into all suspected cases of extrajudicial, summary or arbitrary executions, to identify and bring to justice those responsible, while ensuring the right of every person to a fair and public hearing by a competent, independent and impartial tribunal established by law, to grant adequate compensation within a reasonable time to the victims or their families and to adopt all necessary measures, including legal and judicial measures, in order to bring an end to impunity and to prevent the recurrence of such executions, as stated in the Principles on the Effective Prevention and Investigation of Extralegal, Arbitrary and Summary Executions.</w:t>
      </w:r>
      <w:r>
        <w:rPr>
          <w:rFonts w:ascii="Times New Roman" w:eastAsia="Times New Roman" w:hAnsi="Times New Roman" w:cs="Times New Roman"/>
          <w:noProof/>
          <w:sz w:val="24"/>
          <w:szCs w:val="24"/>
        </w:rPr>
        <w:drawing>
          <wp:inline distT="0" distB="0" distL="0" distR="0">
            <wp:extent cx="151130" cy="142875"/>
            <wp:effectExtent l="19050" t="0" r="1270" b="0"/>
            <wp:docPr id="3165" name="Imagen 31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2004 on extrajudicial, summary or arbitrary executions,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Reiterates </w:t>
      </w:r>
      <w:r w:rsidRPr="00BE407E">
        <w:rPr>
          <w:rFonts w:ascii="Times New Roman" w:eastAsia="Times New Roman" w:hAnsi="Times New Roman" w:cs="Times New Roman"/>
          <w:sz w:val="24"/>
          <w:szCs w:val="24"/>
        </w:rPr>
        <w:t>the obligation of all States to conduct exhaustive and impartial investigations into all suspected cases of extrajudicial, summary or arbitrary executions, to identify and bring to justice those responsible, while ensuring the right of every person to a fair and public hearing by a competent, independent and impartial tribunal established by law, to grant adequate compensation within a reasonable time to the victims or their families and to adopt all necessary measures, including legal and judicial measures, in order to bring an end to impunity and to prevent the recurrence of such executions, as stated in the Principles on the Effective Prevention and Investigation of Extra</w:t>
      </w:r>
      <w:r w:rsidRPr="00BE407E">
        <w:rPr>
          <w:rFonts w:ascii="Times New Roman" w:eastAsia="Times New Roman" w:hAnsi="Times New Roman" w:cs="Times New Roman"/>
          <w:sz w:val="24"/>
          <w:szCs w:val="24"/>
        </w:rPr>
        <w:noBreakHyphen/>
        <w:t>legal, Arbitrary and Summary Executions.</w:t>
      </w:r>
      <w:r>
        <w:rPr>
          <w:rFonts w:ascii="Times New Roman" w:eastAsia="Times New Roman" w:hAnsi="Times New Roman" w:cs="Times New Roman"/>
          <w:noProof/>
          <w:sz w:val="24"/>
          <w:szCs w:val="24"/>
        </w:rPr>
        <w:drawing>
          <wp:inline distT="0" distB="0" distL="0" distR="0">
            <wp:extent cx="151130" cy="142875"/>
            <wp:effectExtent l="19050" t="0" r="1270" b="0"/>
            <wp:docPr id="3166" name="Imagen 31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In a resolution adopted in 2005 on extrajudicial, summary or arbitrary executions, the UN Commission on Human Rights: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Reiterates</w:t>
      </w:r>
      <w:r w:rsidRPr="00BE407E">
        <w:rPr>
          <w:rFonts w:ascii="Times New Roman" w:eastAsia="Times New Roman" w:hAnsi="Times New Roman" w:cs="Times New Roman"/>
          <w:sz w:val="24"/>
          <w:szCs w:val="24"/>
        </w:rPr>
        <w:t xml:space="preserve"> the obligation of all States to conduct exhaustive and impartial investigations into all suspected cases of extrajudicial, summary or arbitrary executions, to identify and bring to justice those responsible, while ensuring the right of every person to a fair and public hearing by a competent, independent and impartial tribunal established by law, to grant adequate compensation within a reasonable time to the victims or their families and to adopt all necessary measures, including legal and judicial measures, in order to bring an end to impunity and to prevent the recurrence of such executions, as stated in the Principles on the Effective Prevention and Investigation of Extralegal, Arbitrary and Summary Executions.</w:t>
      </w:r>
      <w:r>
        <w:rPr>
          <w:rFonts w:ascii="Times New Roman" w:eastAsia="Times New Roman" w:hAnsi="Times New Roman" w:cs="Times New Roman"/>
          <w:noProof/>
          <w:sz w:val="24"/>
          <w:szCs w:val="24"/>
        </w:rPr>
        <w:drawing>
          <wp:inline distT="0" distB="0" distL="0" distR="0">
            <wp:extent cx="151130" cy="142875"/>
            <wp:effectExtent l="19050" t="0" r="1270" b="0"/>
            <wp:docPr id="3167" name="Imagen 31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Sub-Commission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1993 on the situation in Peru, the UN Sub-Commission on Human Rights, after condemning the violations of human rights by the Sendero Luminoso (Shining Path) and the Movimiento Revolucionario Tupac Amaru (MRTA), and regretting the violations of human rights “by some members of the forces of law and order”, urged the Peruvian authorities “to compensate the victims of such [human rights] violations”.</w:t>
      </w:r>
      <w:r>
        <w:rPr>
          <w:rFonts w:ascii="Times New Roman" w:eastAsia="Times New Roman" w:hAnsi="Times New Roman" w:cs="Times New Roman"/>
          <w:noProof/>
          <w:sz w:val="24"/>
          <w:szCs w:val="24"/>
        </w:rPr>
        <w:drawing>
          <wp:inline distT="0" distB="0" distL="0" distR="0">
            <wp:extent cx="151130" cy="142875"/>
            <wp:effectExtent l="19050" t="0" r="1270" b="0"/>
            <wp:docPr id="3168" name="Imagen 31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1995, the UN Sub-Commission on Human Rights called “for the individuals implicated in the war crimes, crimes against humanity and genocide in Rwanda who have already been identified to be punished in order to guarantee the victims or their heirs fair compensation in accordance with the principles of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169" name="Imagen 31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1998 on systematic rape, sexual slavery and slavery-like practices during armed conflict, including internal armed conflict, the UN Sub-Commission on Human Rights reiterated that “States must respect their international obligations to … compensate victims of human rights and humanitarian law violations”.</w:t>
      </w:r>
      <w:r>
        <w:rPr>
          <w:rFonts w:ascii="Times New Roman" w:eastAsia="Times New Roman" w:hAnsi="Times New Roman" w:cs="Times New Roman"/>
          <w:noProof/>
          <w:sz w:val="24"/>
          <w:szCs w:val="24"/>
        </w:rPr>
        <w:drawing>
          <wp:inline distT="0" distB="0" distL="0" distR="0">
            <wp:extent cx="151130" cy="142875"/>
            <wp:effectExtent l="19050" t="0" r="1270" b="0"/>
            <wp:docPr id="3170" name="Imagen 31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a resolution adopted in 1999 on systematic rape, sexual slavery and slavery-like practices, the UN Sub-Commission on Human Rights: </w:t>
      </w:r>
      <w:r w:rsidRPr="00BE407E">
        <w:rPr>
          <w:rFonts w:ascii="Times New Roman" w:eastAsia="Times New Roman" w:hAnsi="Times New Roman" w:cs="Times New Roman"/>
          <w:sz w:val="24"/>
          <w:szCs w:val="24"/>
        </w:rPr>
        <w:br/>
        <w:t xml:space="preserve">4. </w:t>
      </w:r>
      <w:r w:rsidRPr="00BE407E">
        <w:rPr>
          <w:rFonts w:ascii="Times New Roman" w:eastAsia="Times New Roman" w:hAnsi="Times New Roman" w:cs="Times New Roman"/>
          <w:i/>
          <w:iCs/>
          <w:sz w:val="24"/>
          <w:szCs w:val="24"/>
        </w:rPr>
        <w:t>Aware</w:t>
      </w:r>
      <w:r w:rsidRPr="00BE407E">
        <w:rPr>
          <w:rFonts w:ascii="Times New Roman" w:eastAsia="Times New Roman" w:hAnsi="Times New Roman" w:cs="Times New Roman"/>
          <w:sz w:val="24"/>
          <w:szCs w:val="24"/>
        </w:rPr>
        <w:t xml:space="preserve"> that the provision of the Hague Convention (IV) of 1907 Respecting the Laws and Customs of War on Land which states that States “shall be responsible for all acts committed by persons forming part of [their] armed forces” and “shall, if the case demands, be liable to pay compensation” for violations of the rules is part of customary international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9. </w:t>
      </w:r>
      <w:r w:rsidRPr="00BE407E">
        <w:rPr>
          <w:rFonts w:ascii="Times New Roman" w:eastAsia="Times New Roman" w:hAnsi="Times New Roman" w:cs="Times New Roman"/>
          <w:i/>
          <w:iCs/>
          <w:sz w:val="24"/>
          <w:szCs w:val="24"/>
        </w:rPr>
        <w:t>Reiterates</w:t>
      </w:r>
      <w:r w:rsidRPr="00BE407E">
        <w:rPr>
          <w:rFonts w:ascii="Times New Roman" w:eastAsia="Times New Roman" w:hAnsi="Times New Roman" w:cs="Times New Roman"/>
          <w:sz w:val="24"/>
          <w:szCs w:val="24"/>
        </w:rPr>
        <w:t xml:space="preserve"> that States must respect their international obligations to … compensate all victims of human rights and humanitarian law violations;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12. </w:t>
      </w:r>
      <w:r w:rsidRPr="00BE407E">
        <w:rPr>
          <w:rFonts w:ascii="Times New Roman" w:eastAsia="Times New Roman" w:hAnsi="Times New Roman" w:cs="Times New Roman"/>
          <w:i/>
          <w:iCs/>
          <w:sz w:val="24"/>
          <w:szCs w:val="24"/>
        </w:rPr>
        <w:t>Calls upon</w:t>
      </w:r>
      <w:r w:rsidRPr="00BE407E">
        <w:rPr>
          <w:rFonts w:ascii="Times New Roman" w:eastAsia="Times New Roman" w:hAnsi="Times New Roman" w:cs="Times New Roman"/>
          <w:sz w:val="24"/>
          <w:szCs w:val="24"/>
        </w:rPr>
        <w:t xml:space="preserve"> States to provide effective … compensation for unremedied violations in order to end the cycle of impunity with regard to sexual violence committed during armed conflicts.</w:t>
      </w:r>
      <w:r>
        <w:rPr>
          <w:rFonts w:ascii="Times New Roman" w:eastAsia="Times New Roman" w:hAnsi="Times New Roman" w:cs="Times New Roman"/>
          <w:noProof/>
          <w:sz w:val="24"/>
          <w:szCs w:val="24"/>
        </w:rPr>
        <w:drawing>
          <wp:inline distT="0" distB="0" distL="0" distR="0">
            <wp:extent cx="151130" cy="142875"/>
            <wp:effectExtent l="19050" t="0" r="1270" b="0"/>
            <wp:docPr id="3171" name="Imagen 31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Secretary-General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1998, in his report on the causes of conflict and the promotion of durable peace and sustainable development in Africa, the UN Secretary-General stated:</w:t>
      </w:r>
      <w:r w:rsidRPr="00BE407E">
        <w:rPr>
          <w:rFonts w:ascii="Times New Roman" w:eastAsia="Times New Roman" w:hAnsi="Times New Roman" w:cs="Times New Roman"/>
          <w:sz w:val="24"/>
          <w:szCs w:val="24"/>
        </w:rPr>
        <w:br/>
        <w:t xml:space="preserve">Adherence to international humanitarian and human rights norms by all parties to a conflict must be insisted upon, and I intend to make this a priority in the work of the United Nations. In order to make warring parties more accountable for their actions, I recommend that combatants be held financially liable to their victims under international law where civilians are made the deliberate target of aggression. I further </w:t>
      </w:r>
      <w:r w:rsidRPr="00BE407E">
        <w:rPr>
          <w:rFonts w:ascii="Times New Roman" w:eastAsia="Times New Roman" w:hAnsi="Times New Roman" w:cs="Times New Roman"/>
          <w:sz w:val="24"/>
          <w:szCs w:val="24"/>
        </w:rPr>
        <w:lastRenderedPageBreak/>
        <w:t>recommend that international legal machinery be developed to facilitate efforts to find, attach and seize the assets of transgressing parties and their leaders.</w:t>
      </w:r>
      <w:r>
        <w:rPr>
          <w:rFonts w:ascii="Times New Roman" w:eastAsia="Times New Roman" w:hAnsi="Times New Roman" w:cs="Times New Roman"/>
          <w:noProof/>
          <w:sz w:val="24"/>
          <w:szCs w:val="24"/>
        </w:rPr>
        <w:drawing>
          <wp:inline distT="0" distB="0" distL="0" distR="0">
            <wp:extent cx="151130" cy="142875"/>
            <wp:effectExtent l="19050" t="0" r="1270" b="0"/>
            <wp:docPr id="3172" name="Imagen 31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Commission on Human Rights (Special Rapporteur)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1996, in a report on a mission to the Democratic People’s Republic of Korea, the Republic of Korea and Japan on the issue of military sexual slavery in wartime, the Special Rapporteur of the UN Commission on Human Rights on Violence against Women, Its Causes and Consequences recommended that:</w:t>
      </w:r>
      <w:r w:rsidRPr="00BE407E">
        <w:rPr>
          <w:rFonts w:ascii="Times New Roman" w:eastAsia="Times New Roman" w:hAnsi="Times New Roman" w:cs="Times New Roman"/>
          <w:sz w:val="24"/>
          <w:szCs w:val="24"/>
        </w:rPr>
        <w:br/>
        <w:t>137. The Government of Japan should:</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Pay compensation to individual victims of Japanese military sexual slavery according to principles outlined by the Special Rapporteur of the Sub-Commission on Prevention of Discrimination and Protection of Minorities on the right to restitution, compensation and rehabilitation for victims of grave violations of human rights and fundamental freedoms. A special administrative tribunal for this purpose should be set up with a limited time-frame since many of the victims are of a very advanced age.</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139. The Governments of the Democratic People’s Republic of Korea and the Republic of Korea may consider requesting the International Court of Justice to help resolve the legal issues concerning Japanese responsibility and payment of compensation for the “comfort women”.</w:t>
      </w:r>
      <w:r>
        <w:rPr>
          <w:rFonts w:ascii="Times New Roman" w:eastAsia="Times New Roman" w:hAnsi="Times New Roman" w:cs="Times New Roman"/>
          <w:noProof/>
          <w:sz w:val="24"/>
          <w:szCs w:val="24"/>
        </w:rPr>
        <w:drawing>
          <wp:inline distT="0" distB="0" distL="0" distR="0">
            <wp:extent cx="151130" cy="142875"/>
            <wp:effectExtent l="19050" t="0" r="1270" b="0"/>
            <wp:docPr id="3173" name="Imagen 31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1998, in a report on systematic rape, sexual slavery and slavery-like practices during armed conflict, the Special Rapporteur of the UN Commission on Human Rights recommended that:</w:t>
      </w:r>
      <w:r w:rsidRPr="00BE407E">
        <w:rPr>
          <w:rFonts w:ascii="Times New Roman" w:eastAsia="Times New Roman" w:hAnsi="Times New Roman" w:cs="Times New Roman"/>
          <w:sz w:val="24"/>
          <w:szCs w:val="24"/>
        </w:rPr>
        <w:br/>
        <w:t>108. … Peace treaties must not seek to extinguish the rights of victims of human rights violations with respect to claims of compensation and other forms of legal redress unless appropriate administrative schemes for compensation and prosecution are incorporated into the substantive peace agreement …</w:t>
      </w:r>
      <w:r w:rsidRPr="00BE407E">
        <w:rPr>
          <w:rFonts w:ascii="Times New Roman" w:eastAsia="Times New Roman" w:hAnsi="Times New Roman" w:cs="Times New Roman"/>
          <w:sz w:val="24"/>
          <w:szCs w:val="24"/>
        </w:rPr>
        <w:br/>
        <w:t>109. … By incorporating an understanding of gender into the legal framework for responding to systematic rape and sexual slavery, the full range of the obligations and legal accountability of all parties to a conflict may be carefully articulated and concrete steps may be outlined to ensure adequate prevention, investigation and criminal and civil redress, including compensation of victims.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112. When the necessary elements exist to establish that sexual violence constitutes an international crime such as slavery, crimes against humanity, genocide, torture or war crimes, it must be charged, prosecuted and redressed as such. Concrete steps must be taken immediately, including in those countries currently experiencing internal armed conflict or violence, to ensure that … (c) victims of such abuses receive full redress under both criminal and civil laws, including compensation where appropriate.</w:t>
      </w:r>
      <w:r>
        <w:rPr>
          <w:rFonts w:ascii="Times New Roman" w:eastAsia="Times New Roman" w:hAnsi="Times New Roman" w:cs="Times New Roman"/>
          <w:noProof/>
          <w:sz w:val="24"/>
          <w:szCs w:val="24"/>
        </w:rPr>
        <w:drawing>
          <wp:inline distT="0" distB="0" distL="0" distR="0">
            <wp:extent cx="151130" cy="142875"/>
            <wp:effectExtent l="19050" t="0" r="1270" b="0"/>
            <wp:docPr id="3174" name="Imagen 31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Nations Environment Programme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conclusions of UNEP’s Working Group of Experts on Liability and Compensation for Environmental Damage Arising from Military Activities presented in a report in 1996 stressed,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that:</w:t>
      </w:r>
      <w:r w:rsidRPr="00BE407E">
        <w:rPr>
          <w:rFonts w:ascii="Times New Roman" w:eastAsia="Times New Roman" w:hAnsi="Times New Roman" w:cs="Times New Roman"/>
          <w:sz w:val="24"/>
          <w:szCs w:val="24"/>
        </w:rPr>
        <w:br/>
        <w:t>(19) thresholds of damage established under instruments relating to the laws of war should not be a defence against claims arising in relation to the illegal use of force …</w:t>
      </w:r>
      <w:r w:rsidRPr="00BE407E">
        <w:rPr>
          <w:rFonts w:ascii="Times New Roman" w:eastAsia="Times New Roman" w:hAnsi="Times New Roman" w:cs="Times New Roman"/>
          <w:sz w:val="24"/>
          <w:szCs w:val="24"/>
        </w:rPr>
        <w:br/>
        <w:t>(21) where compensation is due for damage caused by a wrongful act, the basis for that compensation under international law is reflected in the approach of the Permanent Court of International Justice in the Chorzów Factory (Indemnity) case …</w:t>
      </w:r>
      <w:r w:rsidRPr="00BE407E">
        <w:rPr>
          <w:rFonts w:ascii="Times New Roman" w:eastAsia="Times New Roman" w:hAnsi="Times New Roman" w:cs="Times New Roman"/>
          <w:sz w:val="24"/>
          <w:szCs w:val="24"/>
        </w:rPr>
        <w:br/>
        <w:t>(22) that approach relates to the standard of compensation but does not provide guidance as to how to value the damage which has occurred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(26) the environmental as well as the economic costs of clean-up measures should be considered, in accordance with the basic requirement of mitigation or avoidance of damage …</w:t>
      </w:r>
      <w:r w:rsidRPr="00BE407E">
        <w:rPr>
          <w:rFonts w:ascii="Times New Roman" w:eastAsia="Times New Roman" w:hAnsi="Times New Roman" w:cs="Times New Roman"/>
          <w:sz w:val="24"/>
          <w:szCs w:val="24"/>
        </w:rPr>
        <w:br/>
        <w:t>(27) the basic aim of restoration should be to reinstate the ecologically significant functions of injured resources and the associated public uses and amenities supported by such functions.</w:t>
      </w:r>
      <w:r>
        <w:rPr>
          <w:rFonts w:ascii="Times New Roman" w:eastAsia="Times New Roman" w:hAnsi="Times New Roman" w:cs="Times New Roman"/>
          <w:noProof/>
          <w:sz w:val="24"/>
          <w:szCs w:val="24"/>
        </w:rPr>
        <w:drawing>
          <wp:inline distT="0" distB="0" distL="0" distR="0">
            <wp:extent cx="151130" cy="142875"/>
            <wp:effectExtent l="19050" t="0" r="1270" b="0"/>
            <wp:docPr id="3175" name="Imagen 31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Commission on the Truth for El Salvador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report in 1993, the UN Commission on the Truth for El Salvador stated with respect to an incident which had occurred at El Junquillo that:</w:t>
      </w:r>
      <w:r w:rsidRPr="00BE407E">
        <w:rPr>
          <w:rFonts w:ascii="Times New Roman" w:eastAsia="Times New Roman" w:hAnsi="Times New Roman" w:cs="Times New Roman"/>
          <w:sz w:val="24"/>
          <w:szCs w:val="24"/>
        </w:rPr>
        <w:br/>
        <w:t>On 12 March 1981, soldiers and members of the Cacaopera military defence unit attacked the population, consisting solely of women, young children and old people. They killed the inhabitants and raped a number of women and little girls under the age of 12. They set fire to houses, cornfields and barns.</w:t>
      </w:r>
      <w:r w:rsidRPr="00BE407E">
        <w:rPr>
          <w:rFonts w:ascii="Times New Roman" w:eastAsia="Times New Roman" w:hAnsi="Times New Roman" w:cs="Times New Roman"/>
          <w:sz w:val="24"/>
          <w:szCs w:val="24"/>
        </w:rPr>
        <w:br/>
        <w:t>The Commission finds that: … the Government and the judiciary of El Salvador failed to conduct investigations into the incident. The State thus failed in its duty under international human rights law to … compensate the victims or their families.</w:t>
      </w:r>
      <w:r>
        <w:rPr>
          <w:rFonts w:ascii="Times New Roman" w:eastAsia="Times New Roman" w:hAnsi="Times New Roman" w:cs="Times New Roman"/>
          <w:noProof/>
          <w:sz w:val="24"/>
          <w:szCs w:val="24"/>
        </w:rPr>
        <w:drawing>
          <wp:inline distT="0" distB="0" distL="0" distR="0">
            <wp:extent cx="151130" cy="142875"/>
            <wp:effectExtent l="19050" t="0" r="1270" b="0"/>
            <wp:docPr id="3176" name="Imagen 31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Law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its commentary on Article 36 of the 2001 ILC Draft Articles on State Responsibility, the International Law Commission stated:</w:t>
      </w:r>
      <w:r w:rsidRPr="00BE407E">
        <w:rPr>
          <w:rFonts w:ascii="Times New Roman" w:eastAsia="Times New Roman" w:hAnsi="Times New Roman" w:cs="Times New Roman"/>
          <w:sz w:val="24"/>
          <w:szCs w:val="24"/>
        </w:rPr>
        <w:br/>
        <w:t>Restitution, despite its primacy as a legal principle, is frequently unavailable or inadequate … The role of compensation is to fill gaps so as to ensure full reparation for damage suffered. … As compared with satisfaction, the function of compensation is to address the actual losses incurred as a result of the internationally wrongful act … Monetary compensation is intended to offset, as far as may be, the damage suffered by the injured State as a result of the breach … Within the field of diplomatic protection, a good deal of guidance is available as to appropriate compensation standards and methods of valuation, especially as concerns personal injury and takings of, or damage to, tangible property. It is well-established that a State may seek compensation in respect of personal injuries suffered by its officials or nationals, over and above any direct injury it may itself have suffered in relation to the same event. Compensable personal injury encompasses not only associated material losses, such as loss of earnings and earning capacity, medical expenses and the like, but also non-material damage suffered by the individual (sometimes, though not universally, referred to as moral damage in national legal systems). Non-material damage is generally understood to encompass loss of loved ones, pain and suffering as well as the affront to sensibilities associated with an intrusion on the person, home or private life. No less than material injury sustained by the injured State, non-material damage is financially assessable and may be the subject of a claim of compensation, as stressed in the “</w:t>
      </w:r>
      <w:r w:rsidRPr="00BE407E">
        <w:rPr>
          <w:rFonts w:ascii="Times New Roman" w:eastAsia="Times New Roman" w:hAnsi="Times New Roman" w:cs="Times New Roman"/>
          <w:i/>
          <w:iCs/>
          <w:sz w:val="24"/>
          <w:szCs w:val="24"/>
        </w:rPr>
        <w:t>Lusitania</w:t>
      </w:r>
      <w:r w:rsidRPr="00BE407E">
        <w:rPr>
          <w:rFonts w:ascii="Times New Roman" w:eastAsia="Times New Roman" w:hAnsi="Times New Roman" w:cs="Times New Roman"/>
          <w:sz w:val="24"/>
          <w:szCs w:val="24"/>
        </w:rPr>
        <w:t>” case.</w:t>
      </w:r>
      <w:r>
        <w:rPr>
          <w:rFonts w:ascii="Times New Roman" w:eastAsia="Times New Roman" w:hAnsi="Times New Roman" w:cs="Times New Roman"/>
          <w:noProof/>
          <w:sz w:val="24"/>
          <w:szCs w:val="24"/>
        </w:rPr>
        <w:drawing>
          <wp:inline distT="0" distB="0" distL="0" distR="0">
            <wp:extent cx="151130" cy="142875"/>
            <wp:effectExtent l="19050" t="0" r="1270" b="0"/>
            <wp:docPr id="3177" name="Imagen 31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4" w:history="1">
        <w:r w:rsidRPr="00BE407E">
          <w:rPr>
            <w:rFonts w:ascii="Times New Roman" w:eastAsia="Times New Roman" w:hAnsi="Times New Roman" w:cs="Times New Roman"/>
            <w:color w:val="0000FF"/>
            <w:sz w:val="24"/>
            <w:szCs w:val="24"/>
            <w:u w:val="single"/>
          </w:rPr>
          <w:t>VIII. Other International Organizations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European Parliament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resolution adopted in 1983 on missing persons in Argentina, the European Parliament insisted that </w:t>
      </w:r>
      <w:r w:rsidRPr="00BE407E">
        <w:rPr>
          <w:rFonts w:ascii="Times New Roman" w:eastAsia="Times New Roman" w:hAnsi="Times New Roman" w:cs="Times New Roman"/>
          <w:sz w:val="24"/>
          <w:szCs w:val="24"/>
        </w:rPr>
        <w:br/>
        <w:t>the good future relations of the Community with Argentina require that effective steps be taken by the Argentinean authorities to establish the fate of citizens of Member States who have disappeared and to provide financial compensation for them or their dependants.</w:t>
      </w:r>
      <w:r>
        <w:rPr>
          <w:rFonts w:ascii="Times New Roman" w:eastAsia="Times New Roman" w:hAnsi="Times New Roman" w:cs="Times New Roman"/>
          <w:noProof/>
          <w:sz w:val="24"/>
          <w:szCs w:val="24"/>
        </w:rPr>
        <w:drawing>
          <wp:inline distT="0" distB="0" distL="0" distR="0">
            <wp:extent cx="151130" cy="142875"/>
            <wp:effectExtent l="19050" t="0" r="1270" b="0"/>
            <wp:docPr id="3178" name="Imagen 31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5" w:history="1">
        <w:r w:rsidRPr="00BE407E">
          <w:rPr>
            <w:rFonts w:ascii="Times New Roman" w:eastAsia="Times New Roman" w:hAnsi="Times New Roman" w:cs="Times New Roman"/>
            <w:color w:val="0000FF"/>
            <w:sz w:val="24"/>
            <w:szCs w:val="24"/>
            <w:u w:val="single"/>
          </w:rPr>
          <w:t>IX. International Conferences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Conference of the Red Cross (1981</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The 24th International Conference of the Red Cross in 1981 adopted a resolution on assistance to victims of torture in which it welcomed the efforts within the UN to “establish a Voluntary Fund for victims of torture … to extend humanitarian, legal and financial aid to individuals whose fundamental rights have been severely violated as a result of torture and to relatives of such victims” and urged governments to “consider responding favourably to requests for contributions to such a fund”.</w:t>
      </w:r>
      <w:r>
        <w:rPr>
          <w:rFonts w:ascii="Times New Roman" w:eastAsia="Times New Roman" w:hAnsi="Times New Roman" w:cs="Times New Roman"/>
          <w:noProof/>
          <w:sz w:val="24"/>
          <w:szCs w:val="24"/>
        </w:rPr>
        <w:drawing>
          <wp:inline distT="0" distB="0" distL="0" distR="0">
            <wp:extent cx="151130" cy="142875"/>
            <wp:effectExtent l="19050" t="0" r="1270" b="0"/>
            <wp:docPr id="3179" name="Imagen 31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Conference of the Red Cross (1986)</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25th International Conference of the Red Cross in 1986 adopted a resolution on assistance to victims of torture in which it urged “National Societies to take the initiative to give, either independently or in co-operation with their governments, humanitarian, legal, medical, psychological and social assistance to victims of torture in exile and, whenever possible, in their own countries”.</w:t>
      </w:r>
      <w:r>
        <w:rPr>
          <w:rFonts w:ascii="Times New Roman" w:eastAsia="Times New Roman" w:hAnsi="Times New Roman" w:cs="Times New Roman"/>
          <w:noProof/>
          <w:sz w:val="24"/>
          <w:szCs w:val="24"/>
        </w:rPr>
        <w:drawing>
          <wp:inline distT="0" distB="0" distL="0" distR="0">
            <wp:extent cx="151130" cy="142875"/>
            <wp:effectExtent l="19050" t="0" r="1270" b="0"/>
            <wp:docPr id="3180" name="Imagen 31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25th International Conference of the Red Cross in 1986 adopted a resolution on assistance to victims of torture in which it appealed to “governments in a position to do so to respond favourably to requests for further contributions to the United Nations’ Voluntary Fund for victims of torture”.</w:t>
      </w:r>
      <w:r>
        <w:rPr>
          <w:rFonts w:ascii="Times New Roman" w:eastAsia="Times New Roman" w:hAnsi="Times New Roman" w:cs="Times New Roman"/>
          <w:noProof/>
          <w:sz w:val="24"/>
          <w:szCs w:val="24"/>
        </w:rPr>
        <w:drawing>
          <wp:inline distT="0" distB="0" distL="0" distR="0">
            <wp:extent cx="151130" cy="142875"/>
            <wp:effectExtent l="19050" t="0" r="1270" b="0"/>
            <wp:docPr id="3181" name="Imagen 31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Inter-Parliamentary Conference (1993)</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1993, the 90th Inter-Parliamentary Conference called on “all States to review procedures on compensation for damages caused to victims of violations of international humanitarian law and the payment of indemnities so as to allow the victims to derive real benefit from the assistance to which they are entitled”.</w:t>
      </w:r>
      <w:r>
        <w:rPr>
          <w:rFonts w:ascii="Times New Roman" w:eastAsia="Times New Roman" w:hAnsi="Times New Roman" w:cs="Times New Roman"/>
          <w:noProof/>
          <w:sz w:val="24"/>
          <w:szCs w:val="24"/>
        </w:rPr>
        <w:drawing>
          <wp:inline distT="0" distB="0" distL="0" distR="0">
            <wp:extent cx="151130" cy="142875"/>
            <wp:effectExtent l="19050" t="0" r="1270" b="0"/>
            <wp:docPr id="3182" name="Imagen 31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International Conference for the Protection of War Victims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Final Declaration adopted by the International Conference for the Protection of War Victims in 1993 reaffirmed that “States which violate international humanitarian law shall, if the case demands,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3183" name="Imagen 31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Hague Appeal for Peace Conference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Hague Agenda for Peace and Justice for the Twenty-first Century, adopted by the Hague Appeal for Peace Conference in May 1999, addressed the issue of reparation to victims of armed conflict and concluded that:</w:t>
      </w:r>
      <w:r w:rsidRPr="00BE407E">
        <w:rPr>
          <w:rFonts w:ascii="Times New Roman" w:eastAsia="Times New Roman" w:hAnsi="Times New Roman" w:cs="Times New Roman"/>
          <w:sz w:val="24"/>
          <w:szCs w:val="24"/>
        </w:rPr>
        <w:br/>
        <w:t>The Hague Appeal will demand that victims of armed conflict and human rights violations be made whole through the establishment of national, regional and international victim compensation funds and other reparation measures, which address the need of victims in a timely way.</w:t>
      </w:r>
      <w:r>
        <w:rPr>
          <w:rFonts w:ascii="Times New Roman" w:eastAsia="Times New Roman" w:hAnsi="Times New Roman" w:cs="Times New Roman"/>
          <w:noProof/>
          <w:sz w:val="24"/>
          <w:szCs w:val="24"/>
        </w:rPr>
        <w:drawing>
          <wp:inline distT="0" distB="0" distL="0" distR="0">
            <wp:extent cx="151130" cy="142875"/>
            <wp:effectExtent l="19050" t="0" r="1270" b="0"/>
            <wp:docPr id="3184" name="Imagen 31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African Parliamentary Conference on International Humanitarian Law for the Protection of Civilians during Armed Conflict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the Final Declaration of the African Parliamentary Conference on International Humanitarian Law for the Protection of Civilians during Armed Conflict in 2002, the participants committed themselves to see that “any party to an armed conflict which violates International Humanitarian Law shall, if the case demands,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3185" name="Imagen 31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6" w:history="1">
        <w:r w:rsidRPr="00BE407E">
          <w:rPr>
            <w:rFonts w:ascii="Times New Roman" w:eastAsia="Times New Roman" w:hAnsi="Times New Roman" w:cs="Times New Roman"/>
            <w:color w:val="0000FF"/>
            <w:sz w:val="24"/>
            <w:szCs w:val="24"/>
            <w:u w:val="single"/>
          </w:rPr>
          <w:t>X. International and Mixed Judicial and Quasi-judicial Bodies</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Court of Justice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on the merits in the </w:t>
      </w:r>
      <w:r w:rsidRPr="00BE407E">
        <w:rPr>
          <w:rFonts w:ascii="Times New Roman" w:eastAsia="Times New Roman" w:hAnsi="Times New Roman" w:cs="Times New Roman"/>
          <w:i/>
          <w:iCs/>
          <w:sz w:val="24"/>
          <w:szCs w:val="24"/>
        </w:rPr>
        <w:t>Application of the Convention on the Prevention and Punishment of the Crime of Genocide case (Bosnia and Herzegovina v. Serbia and Montenegro)</w:t>
      </w:r>
      <w:r w:rsidRPr="00BE407E">
        <w:rPr>
          <w:rFonts w:ascii="Times New Roman" w:eastAsia="Times New Roman" w:hAnsi="Times New Roman" w:cs="Times New Roman"/>
          <w:sz w:val="24"/>
          <w:szCs w:val="24"/>
        </w:rPr>
        <w:t xml:space="preserve"> in 2007, the ICJ, dealing with the question of reparation for the failure to comply with the obligations under the 1948 Genocide Convention to prevent and punish genocide, stated:</w:t>
      </w:r>
      <w:r w:rsidRPr="00BE407E">
        <w:rPr>
          <w:rFonts w:ascii="Times New Roman" w:eastAsia="Times New Roman" w:hAnsi="Times New Roman" w:cs="Times New Roman"/>
          <w:sz w:val="24"/>
          <w:szCs w:val="24"/>
        </w:rPr>
        <w:br/>
        <w:t xml:space="preserve">460. The principle governing the determination of reparation for an internationally </w:t>
      </w:r>
      <w:r w:rsidRPr="00BE407E">
        <w:rPr>
          <w:rFonts w:ascii="Times New Roman" w:eastAsia="Times New Roman" w:hAnsi="Times New Roman" w:cs="Times New Roman"/>
          <w:sz w:val="24"/>
          <w:szCs w:val="24"/>
        </w:rPr>
        <w:lastRenderedPageBreak/>
        <w:t xml:space="preserve">wrongful act is as stated by the Permanent Court of International Justice in the </w:t>
      </w:r>
      <w:r w:rsidRPr="00BE407E">
        <w:rPr>
          <w:rFonts w:ascii="Times New Roman" w:eastAsia="Times New Roman" w:hAnsi="Times New Roman" w:cs="Times New Roman"/>
          <w:i/>
          <w:iCs/>
          <w:sz w:val="24"/>
          <w:szCs w:val="24"/>
        </w:rPr>
        <w:t xml:space="preserve">Factory at Chorzów </w:t>
      </w:r>
      <w:r w:rsidRPr="00BE407E">
        <w:rPr>
          <w:rFonts w:ascii="Times New Roman" w:eastAsia="Times New Roman" w:hAnsi="Times New Roman" w:cs="Times New Roman"/>
          <w:sz w:val="24"/>
          <w:szCs w:val="24"/>
        </w:rPr>
        <w:t>case: that “reparation must, so far as possible, wipe out all the consequences of the illegal act and reestablish the situation which would, in all probability, have existed if that act had not been committed” (</w:t>
      </w:r>
      <w:r w:rsidRPr="00BE407E">
        <w:rPr>
          <w:rFonts w:ascii="Times New Roman" w:eastAsia="Times New Roman" w:hAnsi="Times New Roman" w:cs="Times New Roman"/>
          <w:i/>
          <w:iCs/>
          <w:sz w:val="24"/>
          <w:szCs w:val="24"/>
        </w:rPr>
        <w:t>P.C.I.J. Series A, No. 17</w:t>
      </w:r>
      <w:r w:rsidRPr="00BE407E">
        <w:rPr>
          <w:rFonts w:ascii="Times New Roman" w:eastAsia="Times New Roman" w:hAnsi="Times New Roman" w:cs="Times New Roman"/>
          <w:sz w:val="24"/>
          <w:szCs w:val="24"/>
        </w:rPr>
        <w:t xml:space="preserve">, p. 47: see also Article 31 of the ILC’s Articles on State Responsibility). In the circumstances of this case, as the Applicant recognizes, it is inappropriate to ask the Court to find that the Respondent is under an obligation of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Insofar as restitution is not possible, as the Court stated in the case of the </w:t>
      </w:r>
      <w:r w:rsidRPr="00BE407E">
        <w:rPr>
          <w:rFonts w:ascii="Times New Roman" w:eastAsia="Times New Roman" w:hAnsi="Times New Roman" w:cs="Times New Roman"/>
          <w:i/>
          <w:iCs/>
          <w:sz w:val="24"/>
          <w:szCs w:val="24"/>
        </w:rPr>
        <w:t>Gabčíkovo-Nagymaros Project</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(Hungary/Slovakia)</w:t>
      </w:r>
      <w:r w:rsidRPr="00BE407E">
        <w:rPr>
          <w:rFonts w:ascii="Times New Roman" w:eastAsia="Times New Roman" w:hAnsi="Times New Roman" w:cs="Times New Roman"/>
          <w:sz w:val="24"/>
          <w:szCs w:val="24"/>
        </w:rPr>
        <w:t>, “[i]t is a well-established rule of international law that an injured State is entitled to obtain compensation from the State which has committed an internationally wrongful act for the damage caused by it” (</w:t>
      </w:r>
      <w:r w:rsidRPr="00BE407E">
        <w:rPr>
          <w:rFonts w:ascii="Times New Roman" w:eastAsia="Times New Roman" w:hAnsi="Times New Roman" w:cs="Times New Roman"/>
          <w:i/>
          <w:iCs/>
          <w:sz w:val="24"/>
          <w:szCs w:val="24"/>
        </w:rPr>
        <w:t>I.C.J. Reports 1997</w:t>
      </w:r>
      <w:r w:rsidRPr="00BE407E">
        <w:rPr>
          <w:rFonts w:ascii="Times New Roman" w:eastAsia="Times New Roman" w:hAnsi="Times New Roman" w:cs="Times New Roman"/>
          <w:sz w:val="24"/>
          <w:szCs w:val="24"/>
        </w:rPr>
        <w:t xml:space="preserve">, p. 81, para. 152.; cf. </w:t>
      </w:r>
      <w:r w:rsidRPr="00BE407E">
        <w:rPr>
          <w:rFonts w:ascii="Times New Roman" w:eastAsia="Times New Roman" w:hAnsi="Times New Roman" w:cs="Times New Roman"/>
          <w:i/>
          <w:iCs/>
          <w:sz w:val="24"/>
          <w:szCs w:val="24"/>
        </w:rPr>
        <w:t>Legal Consequences of the</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Construction of a Wall in the Occupied Palestinian Territory, Advisory Opinion, I.C.J. Reports</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2004</w:t>
      </w:r>
      <w:r w:rsidRPr="00BE407E">
        <w:rPr>
          <w:rFonts w:ascii="Times New Roman" w:eastAsia="Times New Roman" w:hAnsi="Times New Roman" w:cs="Times New Roman"/>
          <w:sz w:val="24"/>
          <w:szCs w:val="24"/>
        </w:rPr>
        <w:t>, p. 198, paras. 152–153; see also Article 36 of the ILC’s Articles on State Responsibility). It is therefore appropriate to consider what were the consequences of the failure of the Respondent to comply with its obligations under the Genocide Convention to prevent and punish the crime of genocide, committed in Bosnia and Herzegovina, and what damage can be said to have been caused thereby.</w:t>
      </w:r>
      <w:r w:rsidRPr="00BE407E">
        <w:rPr>
          <w:rFonts w:ascii="Times New Roman" w:eastAsia="Times New Roman" w:hAnsi="Times New Roman" w:cs="Times New Roman"/>
          <w:sz w:val="24"/>
          <w:szCs w:val="24"/>
        </w:rPr>
        <w:br/>
        <w:t>461. The Court has found that the authorities of the Respondent could not have been unaware of the grave risk of genocide once the VRS [Army of Republika Srpska] forces had decided to take possession of the Srebrenica enclave, and that in view of its influence over the events, the Respondent must be held to have had the means of action by which it could seek to prevent genocide, and to have manifestly refrained from employing them (paragraph 438). To that extent therefore it failed to comply with its obligation of prevention under the Convention. The obligation to prevent the commission of the crime of genocide is imposed by the Genocide Convention on any State party which, in a given situation, has it in its power to contribute to restraining in any degree the commission of genocide. To make this finding, the Court did not have to decide whether the acts of genocide committed at Srebrenica would have occurred anyway even if the Respondent had done as it should have and employed the means available to it. This is because, as explained above, the obligation to prevent genocide places a State under a duty to act which is not dependent on the certainty that the action to be taken will succeed in preventing the commission of acts of genocide, or even on the likelihood of that outcome. It therefore does not follow from the Court’s reasoning above in finding a violation by the Respondent of its obligation of prevention that the atrocious suffering caused by the genocide committed at Sreb renica would not have occurred had the violation not taken place.</w:t>
      </w:r>
      <w:r w:rsidRPr="00BE407E">
        <w:rPr>
          <w:rFonts w:ascii="Times New Roman" w:eastAsia="Times New Roman" w:hAnsi="Times New Roman" w:cs="Times New Roman"/>
          <w:sz w:val="24"/>
          <w:szCs w:val="24"/>
        </w:rPr>
        <w:br/>
        <w:t xml:space="preserve">462. The Court cannot however leave it at that. Since it now has to rule on the claim for reparation, it must ascertain whether, and to what extent, the injury asserted by the Applicant is the consequence of wrongful conduct by the Respondent with the consequence that the Respondent should be required to make reparation for it, in accordance with the principle of customary international law stated above. In this context, the question just mentioned, whether the genocide at Srebrenica would have taken place even if the Respondent had attempted to prevent it by employing all means in its possession, becomes directly relevant, for the definition of the extent of the obligation of reparation borne by the Respondent as a result of its wrongful conduct. The question is whether there is a sufficiently direct and certain causal nexus between the wrongful act, the Respondent’s breach of the obligation to prevent genocide, and the injury suffered by the Applicant, consisting of all damage of any type, material or moral, caused by the acts of genocide. Such a nexus could be considered established </w:t>
      </w:r>
      <w:r w:rsidRPr="00BE407E">
        <w:rPr>
          <w:rFonts w:ascii="Times New Roman" w:eastAsia="Times New Roman" w:hAnsi="Times New Roman" w:cs="Times New Roman"/>
          <w:sz w:val="24"/>
          <w:szCs w:val="24"/>
        </w:rPr>
        <w:lastRenderedPageBreak/>
        <w:t>only if the Court were able to conclude from the case as a whole and with a sufficient degree of certainty that the genocide at Srebrenica would in fact have been averted if the Respondent had acted in compliance with its legal obligations. However, the Court clearly cannot do so. As noted above, the Respondent did have significant means of influencing the Bosnian Serb military and political authorities which it could, and therefore should, have employed in an attempt to prevent the atrocities, but it has not been shown that, in the specific context of these events, those means would have sufficed to achieve the result which the Respondent should have sought. Since the Court cannot therefore regard as proven a causal nexus between the Respondent’s violation of its obligation of prevention and the damage resulting from the genocide at Srebrenica, financial compensation is not the appropriate form of reparation for the breach of the obligation to prevent genocide.</w:t>
      </w:r>
      <w:r>
        <w:rPr>
          <w:rFonts w:ascii="Times New Roman" w:eastAsia="Times New Roman" w:hAnsi="Times New Roman" w:cs="Times New Roman"/>
          <w:noProof/>
          <w:sz w:val="24"/>
          <w:szCs w:val="24"/>
        </w:rPr>
        <w:drawing>
          <wp:inline distT="0" distB="0" distL="0" distR="0">
            <wp:extent cx="151130" cy="142875"/>
            <wp:effectExtent l="19050" t="0" r="1270" b="0"/>
            <wp:docPr id="3186" name="Imagen 31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Compensation Commission Governing Council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Decision 1 of the UNCC Governing Council in August 1991 stressed Iraq’s responsibility for five particular causes of loss:</w:t>
      </w:r>
      <w:r w:rsidRPr="00BE407E">
        <w:rPr>
          <w:rFonts w:ascii="Times New Roman" w:eastAsia="Times New Roman" w:hAnsi="Times New Roman" w:cs="Times New Roman"/>
          <w:sz w:val="24"/>
          <w:szCs w:val="24"/>
        </w:rPr>
        <w:br/>
        <w:t>(a) military operations or threat of military action by either side during the period 2 August 1990 to 2 March 1991, (b) departure from or inability to leave Iraq or Kuwait (or a decision not to return) during that period, (c) actions by officials, employees or agents of the Government of Iraq or its controlled entities during that period in connection with the invasion or occupation, (d) the breakdown of civil order in Kuwait or Iraq during that period, and (e) hostage-taking or other illegal detention.</w:t>
      </w:r>
      <w:r>
        <w:rPr>
          <w:rFonts w:ascii="Times New Roman" w:eastAsia="Times New Roman" w:hAnsi="Times New Roman" w:cs="Times New Roman"/>
          <w:noProof/>
          <w:sz w:val="24"/>
          <w:szCs w:val="24"/>
        </w:rPr>
        <w:drawing>
          <wp:inline distT="0" distB="0" distL="0" distR="0">
            <wp:extent cx="151130" cy="142875"/>
            <wp:effectExtent l="19050" t="0" r="1270" b="0"/>
            <wp:docPr id="3187" name="Imagen 31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Decision 7 of November 1991 and revised in March 1992, the UNCC Governing Council held that payments were in principle available</w:t>
      </w:r>
      <w:r w:rsidRPr="00BE407E">
        <w:rPr>
          <w:rFonts w:ascii="Times New Roman" w:eastAsia="Times New Roman" w:hAnsi="Times New Roman" w:cs="Times New Roman"/>
          <w:sz w:val="24"/>
          <w:szCs w:val="24"/>
        </w:rPr>
        <w:br/>
        <w:t>with respect to any direct loss, damage, or injury to Governments or international organizations as a result of Iraq’s unlawful invasion and occupation of Kuwait. This will include any loss suffered as a result of: (a) military operations or threat of military action by either side during the period 2 August 1990 to 2 March 1991; … (c) actions by officials, employees or agents of the Government of Iraq or its controlled entities during that period in connection with the invasion or occupation.</w:t>
      </w:r>
      <w:r>
        <w:rPr>
          <w:rFonts w:ascii="Times New Roman" w:eastAsia="Times New Roman" w:hAnsi="Times New Roman" w:cs="Times New Roman"/>
          <w:noProof/>
          <w:sz w:val="24"/>
          <w:szCs w:val="24"/>
        </w:rPr>
        <w:drawing>
          <wp:inline distT="0" distB="0" distL="0" distR="0">
            <wp:extent cx="151130" cy="142875"/>
            <wp:effectExtent l="19050" t="0" r="1270" b="0"/>
            <wp:docPr id="3188" name="Imagen 31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These payments are available with respect to direct environmental damage and the depletion of natural resources as a result of Iraq’s unlawful invasion and occupation of Kuwait: This will include losses or expenses resulting from: (a) abatement and prevention of environmental damage, including expenses directly relating to fighting oil fires and stemming the flow of oil in coastal and international waters; (b) reasonable measures already taken to clean and restore the environment or future measures which can be documented as reasonably necessary to clean and restore the environment; (c) reasonable monitoring and assessment of the environmental damage for the purposes of evaluating and abating the harm and restoring the environment; (d) reasonable monitoring of public health and performing medical screenings for the purposes of investigation and combating increased health risks as a result of environmental damage; and (e) depletion of or damage to natural resources.</w:t>
      </w:r>
      <w:r>
        <w:rPr>
          <w:rFonts w:ascii="Times New Roman" w:eastAsia="Times New Roman" w:hAnsi="Times New Roman" w:cs="Times New Roman"/>
          <w:noProof/>
          <w:sz w:val="24"/>
          <w:szCs w:val="24"/>
        </w:rPr>
        <w:drawing>
          <wp:inline distT="0" distB="0" distL="0" distR="0">
            <wp:extent cx="151130" cy="142875"/>
            <wp:effectExtent l="19050" t="0" r="1270" b="0"/>
            <wp:docPr id="3189" name="Imagen 31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Decision 11 of June 1992, the UNCC Governing Council provided:</w:t>
      </w:r>
      <w:r w:rsidRPr="00BE407E">
        <w:rPr>
          <w:rFonts w:ascii="Times New Roman" w:eastAsia="Times New Roman" w:hAnsi="Times New Roman" w:cs="Times New Roman"/>
          <w:sz w:val="24"/>
          <w:szCs w:val="24"/>
        </w:rPr>
        <w:br/>
        <w:t>Members of the Allied Coalition Armed Forces are not eligible for compensation for loss or injury arising as a consequence of their involvement in Coalition military operations against Iraq, except if the following three conditions are met: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The compensation is awarded in accordance with the general criteria already adopted;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They were prisoners of war as a consequence of their involvement in Coalition military operations against Iraq in response to its unlawful invasion and occupation of Kuwait;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c. The loss or injury resulted from mistreatment in violation of international humanitarian law (including the Geneva Conventions of 1949).</w:t>
      </w:r>
      <w:r>
        <w:rPr>
          <w:rFonts w:ascii="Times New Roman" w:eastAsia="Times New Roman" w:hAnsi="Times New Roman" w:cs="Times New Roman"/>
          <w:noProof/>
          <w:sz w:val="24"/>
          <w:szCs w:val="24"/>
        </w:rPr>
        <w:drawing>
          <wp:inline distT="0" distB="0" distL="0" distR="0">
            <wp:extent cx="151130" cy="142875"/>
            <wp:effectExtent l="19050" t="0" r="1270" b="0"/>
            <wp:docPr id="3190" name="Imagen 31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Compensation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1994, the Panel of Commissioners appointed by the UNCC recommended in relation to claims from individuals who suffered serious personal injury or whose spouse, child or parent died as a direct result of Iraq’s invasion of Kuwait that:</w:t>
      </w:r>
      <w:r w:rsidRPr="00BE407E">
        <w:rPr>
          <w:rFonts w:ascii="Times New Roman" w:eastAsia="Times New Roman" w:hAnsi="Times New Roman" w:cs="Times New Roman"/>
          <w:sz w:val="24"/>
          <w:szCs w:val="24"/>
        </w:rPr>
        <w:br/>
        <w:t xml:space="preserve">c) </w:t>
      </w:r>
      <w:r w:rsidRPr="00BE407E">
        <w:rPr>
          <w:rFonts w:ascii="Times New Roman" w:eastAsia="Times New Roman" w:hAnsi="Times New Roman" w:cs="Times New Roman"/>
          <w:i/>
          <w:iCs/>
          <w:sz w:val="24"/>
          <w:szCs w:val="24"/>
        </w:rPr>
        <w:t>Claims submitted for detained persons</w:t>
      </w:r>
      <w:r w:rsidRPr="00BE407E">
        <w:rPr>
          <w:rFonts w:ascii="Times New Roman" w:eastAsia="Times New Roman" w:hAnsi="Times New Roman" w:cs="Times New Roman"/>
          <w:sz w:val="24"/>
          <w:szCs w:val="24"/>
        </w:rPr>
        <w:br/>
        <w:t>… Compensation, if any, would be awarded for claims for serious personal injury submitted by the detainee personally after his/her release, or for claims for death submitted by the family after it has been determined by the detainee’s Government that the detainee is deceased.</w:t>
      </w:r>
      <w:r w:rsidRPr="00BE407E">
        <w:rPr>
          <w:rFonts w:ascii="Times New Roman" w:eastAsia="Times New Roman" w:hAnsi="Times New Roman" w:cs="Times New Roman"/>
          <w:sz w:val="24"/>
          <w:szCs w:val="24"/>
        </w:rPr>
        <w:br/>
        <w:t xml:space="preserve">d) </w:t>
      </w:r>
      <w:r w:rsidRPr="00BE407E">
        <w:rPr>
          <w:rFonts w:ascii="Times New Roman" w:eastAsia="Times New Roman" w:hAnsi="Times New Roman" w:cs="Times New Roman"/>
          <w:i/>
          <w:iCs/>
          <w:sz w:val="24"/>
          <w:szCs w:val="24"/>
        </w:rPr>
        <w:t>Missing persons</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 xml:space="preserve">… compensation be awarded where from the documentation submitted it could be presumed that the “missing” person is deceased. </w:t>
      </w:r>
      <w:r w:rsidRPr="00BE407E">
        <w:rPr>
          <w:rFonts w:ascii="Times New Roman" w:eastAsia="Times New Roman" w:hAnsi="Times New Roman" w:cs="Times New Roman"/>
          <w:sz w:val="24"/>
          <w:szCs w:val="24"/>
        </w:rPr>
        <w:br/>
        <w:t>In instances where it could not conclude that the “missing” person is deceased, the Panel holds that compensation cannot be recommended at this stage and that a new claim can be submitted if the family ever receives confirmation of the death.</w:t>
      </w:r>
      <w:r>
        <w:rPr>
          <w:rFonts w:ascii="Times New Roman" w:eastAsia="Times New Roman" w:hAnsi="Times New Roman" w:cs="Times New Roman"/>
          <w:noProof/>
          <w:sz w:val="24"/>
          <w:szCs w:val="24"/>
        </w:rPr>
        <w:drawing>
          <wp:inline distT="0" distB="0" distL="0" distR="0">
            <wp:extent cx="151130" cy="142875"/>
            <wp:effectExtent l="19050" t="0" r="1270" b="0"/>
            <wp:docPr id="3191" name="Imagen 31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1994 report and recommendations made by the Panel of Commissioners concerning Part One of the Second Instalment of Claims for Serious Personal Injury or Death (Category “B” Claims) of the UNCC state:</w:t>
      </w:r>
      <w:r w:rsidRPr="00BE407E">
        <w:rPr>
          <w:rFonts w:ascii="Times New Roman" w:eastAsia="Times New Roman" w:hAnsi="Times New Roman" w:cs="Times New Roman"/>
          <w:sz w:val="24"/>
          <w:szCs w:val="24"/>
        </w:rPr>
        <w:br/>
        <w:t>Among the claims for “serious personal injury” or “death” were those involving members of the Allied Coalition Armed Forces which in principle are not recommended for compensation by the Panel pursuant to Decision 11 of the Governing Council. However, the Panel had before it claims by members of the Allied Coalition Armed Forces that fall within the exceptional conditions stated in the same decision. These members of the Allied Forces were taken prisoners of war during coalition military operations against Iraq and their claims contain extensive medical documentation explaining the torture and injuries that were inflicted upon them by Iraqi authorities during their captivity. Many of the personal statements attached to the claim forms explain that beatings were administered to members of the Allied Forces so as to coerce them into releasing information. The Panel accordingly recommends that these claims be awarded compensation.</w:t>
      </w:r>
      <w:r>
        <w:rPr>
          <w:rFonts w:ascii="Times New Roman" w:eastAsia="Times New Roman" w:hAnsi="Times New Roman" w:cs="Times New Roman"/>
          <w:noProof/>
          <w:sz w:val="24"/>
          <w:szCs w:val="24"/>
        </w:rPr>
        <w:drawing>
          <wp:inline distT="0" distB="0" distL="0" distR="0">
            <wp:extent cx="151130" cy="142875"/>
            <wp:effectExtent l="19050" t="0" r="1270" b="0"/>
            <wp:docPr id="3192" name="Imagen 31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On 30 July 1993, Kuwait Oil Company filed with the UNCC the “Well Blowout Control Claim” (also known as “WBC Claim”)</w:t>
      </w:r>
      <w:r w:rsidRPr="00BE407E">
        <w:rPr>
          <w:rFonts w:ascii="Times New Roman" w:eastAsia="Times New Roman" w:hAnsi="Times New Roman" w:cs="Times New Roman"/>
          <w:sz w:val="24"/>
          <w:szCs w:val="24"/>
        </w:rPr>
        <w:br/>
        <w:t>in the amount of US$951,630,871 for costs it allegedly incurred in (a) the planning for the work anticipated on the return of the oil fields of Kuwait … (b) the work performed to extinguish the well-head fires that were burning upon the withdrawal of Iraqi forces from Kuwait; (c) the initial sealing of the wells to stop the flow of oil and gas; and (d) the making safe of the wellheads so that work on the reinstatement of production could be started.</w:t>
      </w:r>
      <w:r>
        <w:rPr>
          <w:rFonts w:ascii="Times New Roman" w:eastAsia="Times New Roman" w:hAnsi="Times New Roman" w:cs="Times New Roman"/>
          <w:noProof/>
          <w:sz w:val="24"/>
          <w:szCs w:val="24"/>
        </w:rPr>
        <w:drawing>
          <wp:inline distT="0" distB="0" distL="0" distR="0">
            <wp:extent cx="151130" cy="142875"/>
            <wp:effectExtent l="19050" t="0" r="1270" b="0"/>
            <wp:docPr id="3193" name="Imagen 31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Compensation Commission Governing Council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On 22 March 1995, the UNCC Governing Council appointed a Panel of Commissioners.</w:t>
      </w:r>
      <w:r>
        <w:rPr>
          <w:rFonts w:ascii="Times New Roman" w:eastAsia="Times New Roman" w:hAnsi="Times New Roman" w:cs="Times New Roman"/>
          <w:noProof/>
          <w:sz w:val="24"/>
          <w:szCs w:val="24"/>
        </w:rPr>
        <w:drawing>
          <wp:inline distT="0" distB="0" distL="0" distR="0">
            <wp:extent cx="151130" cy="142875"/>
            <wp:effectExtent l="19050" t="0" r="1270" b="0"/>
            <wp:docPr id="3194" name="Imagen 31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 the Claimant KUWAIT OIL COMPANY (the “Claimant”) is to be paid the amount of US$ 610,048,547 as compensation for the costs incurred in the execution of the Well Blowout Control Exercise as a direct result of Iraq’s invasion and occupation of Kuwait; … (c) the claim for the costs incurred in connection with the work performed by the Claimant’s own firefighting team … is rejected; (d) the claim for the indirect costs incurred in fighting oil-well fires … is rejected.</w:t>
      </w:r>
      <w:r>
        <w:rPr>
          <w:rFonts w:ascii="Times New Roman" w:eastAsia="Times New Roman" w:hAnsi="Times New Roman" w:cs="Times New Roman"/>
          <w:noProof/>
          <w:sz w:val="24"/>
          <w:szCs w:val="24"/>
        </w:rPr>
        <w:drawing>
          <wp:inline distT="0" distB="0" distL="0" distR="0">
            <wp:extent cx="151130" cy="142875"/>
            <wp:effectExtent l="19050" t="0" r="1270" b="0"/>
            <wp:docPr id="3195" name="Imagen 31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December 1996, the UNCC Governing Council approved the recommendations of </w:t>
      </w:r>
      <w:r w:rsidRPr="00BE407E">
        <w:rPr>
          <w:rFonts w:ascii="Times New Roman" w:eastAsia="Times New Roman" w:hAnsi="Times New Roman" w:cs="Times New Roman"/>
          <w:sz w:val="24"/>
          <w:szCs w:val="24"/>
        </w:rPr>
        <w:lastRenderedPageBreak/>
        <w:t>the Panel of Commissioners in the “WBC Claim” and decided “to approve the amount of the recommended award of US$610,048,547 … to Kuwait Oil Company on behalf of Kuwait’s public oil sector as a whole”.</w:t>
      </w:r>
      <w:r>
        <w:rPr>
          <w:rFonts w:ascii="Times New Roman" w:eastAsia="Times New Roman" w:hAnsi="Times New Roman" w:cs="Times New Roman"/>
          <w:noProof/>
          <w:sz w:val="24"/>
          <w:szCs w:val="24"/>
        </w:rPr>
        <w:drawing>
          <wp:inline distT="0" distB="0" distL="0" distR="0">
            <wp:extent cx="151130" cy="142875"/>
            <wp:effectExtent l="19050" t="0" r="1270" b="0"/>
            <wp:docPr id="3196" name="Imagen 31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European Court of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w:t>
      </w:r>
      <w:r w:rsidRPr="00BE407E">
        <w:rPr>
          <w:rFonts w:ascii="Times New Roman" w:eastAsia="Times New Roman" w:hAnsi="Times New Roman" w:cs="Times New Roman"/>
          <w:i/>
          <w:iCs/>
          <w:sz w:val="24"/>
          <w:szCs w:val="24"/>
        </w:rPr>
        <w:t>Akdivar and Others v. Turkey</w:t>
      </w:r>
      <w:r w:rsidRPr="00BE407E">
        <w:rPr>
          <w:rFonts w:ascii="Times New Roman" w:eastAsia="Times New Roman" w:hAnsi="Times New Roman" w:cs="Times New Roman"/>
          <w:sz w:val="24"/>
          <w:szCs w:val="24"/>
        </w:rPr>
        <w:t xml:space="preserve"> in 1998, the European Court of Human Rights stated:</w:t>
      </w:r>
      <w:r w:rsidRPr="00BE407E">
        <w:rPr>
          <w:rFonts w:ascii="Times New Roman" w:eastAsia="Times New Roman" w:hAnsi="Times New Roman" w:cs="Times New Roman"/>
          <w:sz w:val="24"/>
          <w:szCs w:val="24"/>
        </w:rPr>
        <w:br/>
        <w:t>45. The applicants further submitted that the Court should confirm … that the government should (1) bear the costs of necessary repairs in [their village] to enable the applicants to continue their way of life there; and (2) remove any obstacle preventing the applicants from returning to their village.</w:t>
      </w:r>
      <w:r w:rsidRPr="00BE407E">
        <w:rPr>
          <w:rFonts w:ascii="Times New Roman" w:eastAsia="Times New Roman" w:hAnsi="Times New Roman" w:cs="Times New Roman"/>
          <w:sz w:val="24"/>
          <w:szCs w:val="24"/>
        </w:rPr>
        <w:br/>
        <w:t xml:space="preserve">In their view, such confirmation was necessary to prevent future and continuing violations of the Convention, in particular the </w:t>
      </w:r>
      <w:r w:rsidRPr="00BE407E">
        <w:rPr>
          <w:rFonts w:ascii="Times New Roman" w:eastAsia="Times New Roman" w:hAnsi="Times New Roman" w:cs="Times New Roman"/>
          <w:i/>
          <w:iCs/>
          <w:sz w:val="24"/>
          <w:szCs w:val="24"/>
        </w:rPr>
        <w:t>de facto</w:t>
      </w:r>
      <w:r w:rsidRPr="00BE407E">
        <w:rPr>
          <w:rFonts w:ascii="Times New Roman" w:eastAsia="Times New Roman" w:hAnsi="Times New Roman" w:cs="Times New Roman"/>
          <w:sz w:val="24"/>
          <w:szCs w:val="24"/>
        </w:rPr>
        <w:t xml:space="preserve"> expropriation of their property.</w:t>
      </w:r>
      <w:r w:rsidRPr="00BE407E">
        <w:rPr>
          <w:rFonts w:ascii="Times New Roman" w:eastAsia="Times New Roman" w:hAnsi="Times New Roman" w:cs="Times New Roman"/>
          <w:sz w:val="24"/>
          <w:szCs w:val="24"/>
        </w:rPr>
        <w:br/>
        <w:t>46. The government maintained that the restoration of rights is not feasible due to the emergency conditions prevailing in the region. However, resettlement will take place when the local inhabitants feel themselves to be safe from terrorist atrocities.</w:t>
      </w:r>
      <w:r w:rsidRPr="00BE407E">
        <w:rPr>
          <w:rFonts w:ascii="Times New Roman" w:eastAsia="Times New Roman" w:hAnsi="Times New Roman" w:cs="Times New Roman"/>
          <w:sz w:val="24"/>
          <w:szCs w:val="24"/>
        </w:rPr>
        <w:br/>
        <w:t>47. The Court recalls that a judgement in which it finds a breach imposes on the respondent State a legal obligation to put an end to such breach and make reparation for its consequences in such a way as to restore as far as possible the situation existing before the breach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However, if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is in practice impossible, the respondent States are free to choose the means whereby they will comply with a judgement in which the Court has found a breach, and the Court will not make consequential orders or declaratory statements in this regard.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Eritrea-Ethiopia Claims Commission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2003, in two partial awards dealing with claims brought by Eritrea and Ethiopia on behalf of their nationals respectively, the Eritrea-Ethiopia Claims Commission awarded compensation related to the treatment of former prisoners of war by the two governments.</w:t>
      </w:r>
      <w:r>
        <w:rPr>
          <w:rFonts w:ascii="Times New Roman" w:eastAsia="Times New Roman" w:hAnsi="Times New Roman" w:cs="Times New Roman"/>
          <w:noProof/>
          <w:sz w:val="24"/>
          <w:szCs w:val="24"/>
        </w:rPr>
        <w:drawing>
          <wp:inline distT="0" distB="0" distL="0" distR="0">
            <wp:extent cx="151130" cy="142875"/>
            <wp:effectExtent l="19050" t="0" r="1270" b="0"/>
            <wp:docPr id="3197" name="Imagen 31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Inter-American Commission on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1983, in a report on the situation of human rights of a segment of the Nicaraguan population of Miskito origin, the Inter-American Commission on Human Rights recommended that a conference should be held by representatives of the government of Nicaragua and persons representing the people of the Miskitos. For the agenda of the conference, the Inter-American Commission on Human Rights suggested,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the “establishment of procedures and mechanisms to compensate the Miskito for the loss of their homes, crops, livestock or other belongings when they were evacuated from their villages”.</w:t>
      </w:r>
      <w:r>
        <w:rPr>
          <w:rFonts w:ascii="Times New Roman" w:eastAsia="Times New Roman" w:hAnsi="Times New Roman" w:cs="Times New Roman"/>
          <w:noProof/>
          <w:sz w:val="24"/>
          <w:szCs w:val="24"/>
        </w:rPr>
        <w:drawing>
          <wp:inline distT="0" distB="0" distL="0" distR="0">
            <wp:extent cx="151130" cy="142875"/>
            <wp:effectExtent l="19050" t="0" r="1270" b="0"/>
            <wp:docPr id="3198" name="Imagen 31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1983, a petition filed before the Inter-American Commission on Human Rights alleged that an asylum in Grenada had been bombed by US military aircraft. Before a settlement could be reached with the United States on the matter, the Commission declared the petition admissible,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xml:space="preserve">, given the “unwillingness of the US Government to compensate these victims subsequent to the expiration of the </w:t>
      </w:r>
      <w:r w:rsidRPr="00BE407E">
        <w:rPr>
          <w:rFonts w:ascii="Times New Roman" w:eastAsia="Times New Roman" w:hAnsi="Times New Roman" w:cs="Times New Roman"/>
          <w:i/>
          <w:iCs/>
          <w:sz w:val="24"/>
          <w:szCs w:val="24"/>
        </w:rPr>
        <w:t>ad hoc</w:t>
      </w:r>
      <w:r w:rsidRPr="00BE407E">
        <w:rPr>
          <w:rFonts w:ascii="Times New Roman" w:eastAsia="Times New Roman" w:hAnsi="Times New Roman" w:cs="Times New Roman"/>
          <w:sz w:val="24"/>
          <w:szCs w:val="24"/>
        </w:rPr>
        <w:t xml:space="preserve"> compensation program”.</w:t>
      </w:r>
      <w:r>
        <w:rPr>
          <w:rFonts w:ascii="Times New Roman" w:eastAsia="Times New Roman" w:hAnsi="Times New Roman" w:cs="Times New Roman"/>
          <w:noProof/>
          <w:sz w:val="24"/>
          <w:szCs w:val="24"/>
        </w:rPr>
        <w:drawing>
          <wp:inline distT="0" distB="0" distL="0" distR="0">
            <wp:extent cx="151130" cy="142875"/>
            <wp:effectExtent l="19050" t="0" r="1270" b="0"/>
            <wp:docPr id="3199" name="Imagen 31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case concerning Colombia in 1992, the Inter-American Commission on Human Rights concluded that the Colombian government had failed to comply with its obligation under the 1969 American Convention on Human Rights (right to life, right to humane treatment, right to personal liberty and judicial protection) and concluded that “Colombia must pay the victim’s next-of-kin compensatory damages”.</w:t>
      </w:r>
      <w:r>
        <w:rPr>
          <w:rFonts w:ascii="Times New Roman" w:eastAsia="Times New Roman" w:hAnsi="Times New Roman" w:cs="Times New Roman"/>
          <w:noProof/>
          <w:sz w:val="24"/>
          <w:szCs w:val="24"/>
        </w:rPr>
        <w:drawing>
          <wp:inline distT="0" distB="0" distL="0" distR="0">
            <wp:extent cx="151130" cy="142875"/>
            <wp:effectExtent l="19050" t="0" r="1270" b="0"/>
            <wp:docPr id="3200" name="Imagen 32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Eritrea-Ethiopia Claims Commission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t>
      </w:r>
      <w:r w:rsidRPr="00BE407E">
        <w:rPr>
          <w:rFonts w:ascii="Times New Roman" w:eastAsia="Times New Roman" w:hAnsi="Times New Roman" w:cs="Times New Roman"/>
          <w:i/>
          <w:iCs/>
          <w:sz w:val="24"/>
          <w:szCs w:val="24"/>
        </w:rPr>
        <w:t xml:space="preserve">Decision Number 7, Guidance Regarding </w:t>
      </w:r>
      <w:r w:rsidRPr="00BE407E">
        <w:rPr>
          <w:rFonts w:ascii="Times New Roman" w:eastAsia="Times New Roman" w:hAnsi="Times New Roman" w:cs="Times New Roman"/>
          <w:sz w:val="24"/>
          <w:szCs w:val="24"/>
        </w:rPr>
        <w:t>Jus ad Bellum</w:t>
      </w:r>
      <w:r w:rsidRPr="00BE407E">
        <w:rPr>
          <w:rFonts w:ascii="Times New Roman" w:eastAsia="Times New Roman" w:hAnsi="Times New Roman" w:cs="Times New Roman"/>
          <w:i/>
          <w:iCs/>
          <w:sz w:val="24"/>
          <w:szCs w:val="24"/>
        </w:rPr>
        <w:t xml:space="preserve"> Liability</w:t>
      </w:r>
      <w:r w:rsidRPr="00BE407E">
        <w:rPr>
          <w:rFonts w:ascii="Times New Roman" w:eastAsia="Times New Roman" w:hAnsi="Times New Roman" w:cs="Times New Roman"/>
          <w:sz w:val="24"/>
          <w:szCs w:val="24"/>
        </w:rPr>
        <w:t xml:space="preserve">, in 2007, the Eritrea-Ethiopia Claims Commission considered the principles governing compensation </w:t>
      </w:r>
      <w:r w:rsidRPr="00BE407E">
        <w:rPr>
          <w:rFonts w:ascii="Times New Roman" w:eastAsia="Times New Roman" w:hAnsi="Times New Roman" w:cs="Times New Roman"/>
          <w:sz w:val="24"/>
          <w:szCs w:val="24"/>
        </w:rPr>
        <w:lastRenderedPageBreak/>
        <w:t>as a form of reparation for State violations of international law, deciding the standard of legal causation which would apply to claims for compensation. The Commission stated:</w:t>
      </w:r>
      <w:r w:rsidRPr="00BE407E">
        <w:rPr>
          <w:rFonts w:ascii="Times New Roman" w:eastAsia="Times New Roman" w:hAnsi="Times New Roman" w:cs="Times New Roman"/>
          <w:sz w:val="24"/>
          <w:szCs w:val="24"/>
        </w:rPr>
        <w:br/>
        <w:t>7. The Commission regards the standard of legal causation to be relevant to the matters at issue. Compensation can only be awarded in respect of damages having a sufficient causal connection with conduct violating international law. … [N]umerous terms have been used to describe this connection, including such terms as reasonable, direct, proximate, foreseeable or certain (or conversely, unreasonable, remote, attenuated, or speculative). … [T]hese varying terminologies often provide limited assistance in analyzing specific situations. Both Parties also referred to a point noted by the International Law Commission in its Commentary to its State Responsibility Articles – that “the requirement of a causal link is not necessarily the same in relation to every breach of an international obligation.” The degree of connection may vary depending upon the nature of the claim and other circumstances. In this regard, some writers see causation being more readily found in cases involving particularly serious violations of law.</w:t>
      </w:r>
      <w:r w:rsidRPr="00BE407E">
        <w:rPr>
          <w:rFonts w:ascii="Times New Roman" w:eastAsia="Times New Roman" w:hAnsi="Times New Roman" w:cs="Times New Roman"/>
          <w:sz w:val="24"/>
          <w:szCs w:val="24"/>
        </w:rPr>
        <w:br/>
        <w:t xml:space="preserve">8. [One of the parties] acknowledged the potential limitations of any verbal formulation. However, at the hearing, it maintained that the varying formulae were best distilled in Whiteman’s treatise on </w:t>
      </w:r>
      <w:r w:rsidRPr="00BE407E">
        <w:rPr>
          <w:rFonts w:ascii="Times New Roman" w:eastAsia="Times New Roman" w:hAnsi="Times New Roman" w:cs="Times New Roman"/>
          <w:i/>
          <w:iCs/>
          <w:sz w:val="24"/>
          <w:szCs w:val="24"/>
        </w:rPr>
        <w:t xml:space="preserve">Damages in International Law </w:t>
      </w:r>
      <w:r w:rsidRPr="00BE407E">
        <w:rPr>
          <w:rFonts w:ascii="Times New Roman" w:eastAsia="Times New Roman" w:hAnsi="Times New Roman" w:cs="Times New Roman"/>
          <w:sz w:val="24"/>
          <w:szCs w:val="24"/>
        </w:rPr>
        <w:t>– “that damages allowed on account of the commission or omission of an act giving rise to responsibility generally are those which it is reasonable to allow.” While acknowledging its debt to Whiteman’s treatise, the Commission is not persuaded that her formulation is the best way forward. The notions of “reasonableness” or “reasonable connection” rest upon a subjective concept – “reasonableness” – likely to be heavily shaped by the decisionmaker’s culture and life experience. This concept has a significant role in some national legal systems, but not in others. Given this, it cannot be seen as a general principle of law. Moreover, given the varying approaches to causation adopted by differing international tribunals, the concept has not attained the status of a customary rule of international law.</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9. For its part, [the other party] argued that the connection was better described in the more familiar lexicon of “proximate cause,” although it acknowledged that this term was not a perfect expression of the required relationship. Again, this formulation is not a general principle of law or a rule of customary international law… [B]oth Parties viewed the link between delict and compensable injury as an area in which judgment was required, and where the Commission necessarily exercised a measure of discretion.</w:t>
      </w:r>
      <w:r w:rsidRPr="00BE407E">
        <w:rPr>
          <w:rFonts w:ascii="Times New Roman" w:eastAsia="Times New Roman" w:hAnsi="Times New Roman" w:cs="Times New Roman"/>
          <w:sz w:val="24"/>
          <w:szCs w:val="24"/>
        </w:rPr>
        <w:br/>
        <w:t xml:space="preserve">10. Yet another approach is the concept of “direct” or “indirect” damages. In the historic </w:t>
      </w:r>
      <w:r w:rsidRPr="00BE407E">
        <w:rPr>
          <w:rFonts w:ascii="Times New Roman" w:eastAsia="Times New Roman" w:hAnsi="Times New Roman" w:cs="Times New Roman"/>
          <w:i/>
          <w:iCs/>
          <w:sz w:val="24"/>
          <w:szCs w:val="24"/>
        </w:rPr>
        <w:t>Alabama</w:t>
      </w:r>
      <w:r w:rsidRPr="00BE407E">
        <w:rPr>
          <w:rFonts w:ascii="Times New Roman" w:eastAsia="Times New Roman" w:hAnsi="Times New Roman" w:cs="Times New Roman"/>
          <w:sz w:val="24"/>
          <w:szCs w:val="24"/>
        </w:rPr>
        <w:t xml:space="preserve"> arbitration, the arbitrators’ decision to exclude “indirect” claims (for losses resulting from the transfer of U.S. ships to the British flag, increased insurance rates, and the prolongation of the war) was crucial in avoiding possible frustration of the process. The Treaty of Versailles also required Germany to provide compensation for damage “directly in consequence of hostilities or of any operations of war.” However, many tribunals and commentators have criticized this approach, finding that it lacks analytical power. The umpire in the </w:t>
      </w:r>
      <w:r w:rsidRPr="00BE407E">
        <w:rPr>
          <w:rFonts w:ascii="Times New Roman" w:eastAsia="Times New Roman" w:hAnsi="Times New Roman" w:cs="Times New Roman"/>
          <w:i/>
          <w:iCs/>
          <w:sz w:val="24"/>
          <w:szCs w:val="24"/>
        </w:rPr>
        <w:t>War-Risk Insurance Premium Claims</w:t>
      </w:r>
      <w:r w:rsidRPr="00BE407E">
        <w:rPr>
          <w:rFonts w:ascii="Times New Roman" w:eastAsia="Times New Roman" w:hAnsi="Times New Roman" w:cs="Times New Roman"/>
          <w:sz w:val="24"/>
          <w:szCs w:val="24"/>
        </w:rPr>
        <w:t xml:space="preserve"> case described the distinction as “frequently illusory and fanciful,” and urged that it “should have no place in international law.”</w:t>
      </w:r>
      <w:r w:rsidRPr="00BE407E">
        <w:rPr>
          <w:rFonts w:ascii="Times New Roman" w:eastAsia="Times New Roman" w:hAnsi="Times New Roman" w:cs="Times New Roman"/>
          <w:sz w:val="24"/>
          <w:szCs w:val="24"/>
        </w:rPr>
        <w:br/>
        <w:t xml:space="preserve">11. Notwithstanding these concerns, when the Security Council established the mandate of the United Nations Compensation Commission (UNCC) in Resolution 687, it specified that the UNCC’s jurisdiction was limited to “direct” injury. Much of the subsequent work of the UNCC’s Governing Council and of its Panels of Commissioners has involved line-drawing to determine what injury is deemed “direct” for purposes of Resolution 687. The UNCC’s work is of interest, but its relevance to the present </w:t>
      </w:r>
      <w:r w:rsidRPr="00BE407E">
        <w:rPr>
          <w:rFonts w:ascii="Times New Roman" w:eastAsia="Times New Roman" w:hAnsi="Times New Roman" w:cs="Times New Roman"/>
          <w:sz w:val="24"/>
          <w:szCs w:val="24"/>
        </w:rPr>
        <w:lastRenderedPageBreak/>
        <w:t>question is uncertain. In addition to the criticisms noted above, the fundamental “line-drawing” decisions regarding the extent of direct injury for the UNCC’s purposes have been made by the UNCC Governing Council in light of reports of the UNCC’s Panels of Commissioners. The Governing Council is a political organ that has operated in an unusual political and factual setting. It does not follow judicial processes or necessarily apply international law in its decisions. Thus, while the UNCC offers significant precedents in many areas, its decisions regarding the scope of “direct” injury must be assessed with care and in light of their context.</w:t>
      </w:r>
      <w:r w:rsidRPr="00BE407E">
        <w:rPr>
          <w:rFonts w:ascii="Times New Roman" w:eastAsia="Times New Roman" w:hAnsi="Times New Roman" w:cs="Times New Roman"/>
          <w:sz w:val="24"/>
          <w:szCs w:val="24"/>
        </w:rPr>
        <w:br/>
        <w:t>12. Another substantial line of cases finds the proper test of the connection between delict and compensable damage to be whether the damage was foreseeable (or sometimes, “reasonably foreseeable”) to the perpetrator of the delict. These have included awards of the Samoan Claims Commission, the U.S.-Venezuelan Mixed Claims Commission, the Portugo-German Arbitral Tribunal case, and the Lighthouses arbitration between France and Greece.</w:t>
      </w:r>
      <w:r w:rsidRPr="00BE407E">
        <w:rPr>
          <w:rFonts w:ascii="Times New Roman" w:eastAsia="Times New Roman" w:hAnsi="Times New Roman" w:cs="Times New Roman"/>
          <w:sz w:val="24"/>
          <w:szCs w:val="24"/>
        </w:rPr>
        <w:br/>
        <w:t>13. Given this ambiguous terrain, the Commission concludes that the necessary connection is best characterized through the commonly used nomenclature of “proximate cause.” In assessing whether this test is met, and whether the chain of causation is sufficiently close in a particular situation, the Commission will give weight to whether particular damage reasonably should have been foreseeable to an actor committing the international delict in question. The element of forseeability, although not without its own difficulties, provides some discipline and predictability in assessing proximity. Accordingly, it will be given considerable weight in assessing whether particular damages are compensable.</w:t>
      </w:r>
      <w:r w:rsidRPr="00BE407E">
        <w:rPr>
          <w:rFonts w:ascii="Times New Roman" w:eastAsia="Times New Roman" w:hAnsi="Times New Roman" w:cs="Times New Roman"/>
          <w:sz w:val="24"/>
          <w:szCs w:val="24"/>
        </w:rPr>
        <w:br/>
        <w:t>14. The Commission notes that, in many situations, the choice of verbal formula to describe the necessary degree of connection will result in no difference in outcomes. In this regard, both Parties agreed that a significant range of possible damages related to war lie beyond the pale of State responsibility. Both cited with approval the decisions of the American-German Mixed Claims Commission established in 1922, which excluded significant types of claims, such as increased living costs and transportation costs, as being too remote from particular conduct by Germany. In this regard, the American-German Commission mirrored other war claims tribunals that excluded broad categories of claims, such as those for generalized economic damages, increased insurance rates, and similar matters.</w:t>
      </w:r>
      <w:r>
        <w:rPr>
          <w:rFonts w:ascii="Times New Roman" w:eastAsia="Times New Roman" w:hAnsi="Times New Roman" w:cs="Times New Roman"/>
          <w:noProof/>
          <w:sz w:val="24"/>
          <w:szCs w:val="24"/>
        </w:rPr>
        <w:drawing>
          <wp:inline distT="0" distB="0" distL="0" distR="0">
            <wp:extent cx="151130" cy="142875"/>
            <wp:effectExtent l="19050" t="0" r="1270" b="0"/>
            <wp:docPr id="3201" name="Imagen 32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[footnotes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Eritrea-Ethiopia Claims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t>
      </w:r>
      <w:r w:rsidRPr="00BE407E">
        <w:rPr>
          <w:rFonts w:ascii="Times New Roman" w:eastAsia="Times New Roman" w:hAnsi="Times New Roman" w:cs="Times New Roman"/>
          <w:i/>
          <w:iCs/>
          <w:sz w:val="24"/>
          <w:szCs w:val="24"/>
        </w:rPr>
        <w:t>Eritrea’s Damages Claims</w:t>
      </w:r>
      <w:r w:rsidRPr="00BE407E">
        <w:rPr>
          <w:rFonts w:ascii="Times New Roman" w:eastAsia="Times New Roman" w:hAnsi="Times New Roman" w:cs="Times New Roman"/>
          <w:sz w:val="24"/>
          <w:szCs w:val="24"/>
        </w:rPr>
        <w:t xml:space="preserve"> final award in 2009, the Eritrea-Ethiopia Claims Commission, in considering the principle of compensation for State violations of international law, stated:</w:t>
      </w:r>
      <w:r w:rsidRPr="00BE407E">
        <w:rPr>
          <w:rFonts w:ascii="Times New Roman" w:eastAsia="Times New Roman" w:hAnsi="Times New Roman" w:cs="Times New Roman"/>
          <w:sz w:val="24"/>
          <w:szCs w:val="24"/>
        </w:rPr>
        <w:br/>
        <w:t xml:space="preserve">24. The Parties’ overall economic positions are relevant to determining compensation … In considering both Parties’ claims for violation of the </w:t>
      </w:r>
      <w:r w:rsidRPr="00BE407E">
        <w:rPr>
          <w:rFonts w:ascii="Times New Roman" w:eastAsia="Times New Roman" w:hAnsi="Times New Roman" w:cs="Times New Roman"/>
          <w:i/>
          <w:iCs/>
          <w:sz w:val="24"/>
          <w:szCs w:val="24"/>
        </w:rPr>
        <w:t>jus in bello</w:t>
      </w:r>
      <w:r w:rsidRPr="00BE407E">
        <w:rPr>
          <w:rFonts w:ascii="Times New Roman" w:eastAsia="Times New Roman" w:hAnsi="Times New Roman" w:cs="Times New Roman"/>
          <w:sz w:val="24"/>
          <w:szCs w:val="24"/>
        </w:rPr>
        <w:t xml:space="preserve">, the Commission has been mindful of the principle, set out by the Permanent Court of International Justice in </w:t>
      </w:r>
      <w:r w:rsidRPr="00BE407E">
        <w:rPr>
          <w:rFonts w:ascii="Times New Roman" w:eastAsia="Times New Roman" w:hAnsi="Times New Roman" w:cs="Times New Roman"/>
          <w:i/>
          <w:iCs/>
          <w:sz w:val="24"/>
          <w:szCs w:val="24"/>
        </w:rPr>
        <w:t>Chorzów Factory</w:t>
      </w:r>
      <w:r w:rsidRPr="00BE407E">
        <w:rPr>
          <w:rFonts w:ascii="Times New Roman" w:eastAsia="Times New Roman" w:hAnsi="Times New Roman" w:cs="Times New Roman"/>
          <w:sz w:val="24"/>
          <w:szCs w:val="24"/>
        </w:rPr>
        <w:t>, that the purpose of compensation payable by a responsible State is “to seek to wipe out all the consequences of the illegal act and re-establish the situation which would, in all probability, have existed if that act had not been committed.” This notion underlies Article 31 of the ILC’s [International Law Commission’s] Articles on State Responsibility, that “[t]he responsible State is under an obligation to make full reparation for the injury caused by the internationally wrongful act.”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26. </w:t>
      </w:r>
      <w:r w:rsidRPr="00BE407E">
        <w:rPr>
          <w:rFonts w:ascii="Times New Roman" w:eastAsia="Times New Roman" w:hAnsi="Times New Roman" w:cs="Times New Roman"/>
          <w:i/>
          <w:iCs/>
          <w:sz w:val="24"/>
          <w:szCs w:val="24"/>
        </w:rPr>
        <w:t>Chorzów Factory</w:t>
      </w:r>
      <w:r w:rsidRPr="00BE407E">
        <w:rPr>
          <w:rFonts w:ascii="Times New Roman" w:eastAsia="Times New Roman" w:hAnsi="Times New Roman" w:cs="Times New Roman"/>
          <w:sz w:val="24"/>
          <w:szCs w:val="24"/>
        </w:rPr>
        <w:t xml:space="preserve"> teaches that compensation has a limited function. Its role is to restore an injured party, in so far as possible, to the position it would have occupied but </w:t>
      </w:r>
      <w:r w:rsidRPr="00BE407E">
        <w:rPr>
          <w:rFonts w:ascii="Times New Roman" w:eastAsia="Times New Roman" w:hAnsi="Times New Roman" w:cs="Times New Roman"/>
          <w:sz w:val="24"/>
          <w:szCs w:val="24"/>
        </w:rPr>
        <w:lastRenderedPageBreak/>
        <w:t>for the injury. This function is remedial, not punitive. Accordingly, in situations involving diplomatic protection, compensation must be assessed in light of the actual social and economic circumstances of the injured individuals in respect of whom the State is claiming. The difficult economic conditions found in the affected areas of Eritrea and Ethiopia must be taken into account in assessing compensation there. Compensation determined in accordance with international law cannot remedy the world’s economic disparities.</w:t>
      </w:r>
      <w:r>
        <w:rPr>
          <w:rFonts w:ascii="Times New Roman" w:eastAsia="Times New Roman" w:hAnsi="Times New Roman" w:cs="Times New Roman"/>
          <w:noProof/>
          <w:sz w:val="24"/>
          <w:szCs w:val="24"/>
        </w:rPr>
        <w:drawing>
          <wp:inline distT="0" distB="0" distL="0" distR="0">
            <wp:extent cx="151130" cy="142875"/>
            <wp:effectExtent l="19050" t="0" r="1270" b="0"/>
            <wp:docPr id="3202" name="Imagen 32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[footnotes in original omitted]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[I]nternational law does not recognize a separate category of compensable “consequential damages” involving different standards of legal causation or other distinctive legal elements. The concept of consequential damages has a significant role in some national legal systems, but does not exist in others, and so cannot be viewed as a general principle of law. Similarly, the concept has not been recognized in international proceedings as a separate form of compensable injury as Eritrea advocates. The Commission thus does not assign particular legal significance to Eritrea’s characterization of certain types of damages as “consequential.” It instead examines this claim in accordance with the principles generally applicable in determining damages in international claims. The Commission notes in this regard that this claim seeks large sums </w:t>
      </w:r>
      <w:r w:rsidRPr="00BE407E">
        <w:rPr>
          <w:rFonts w:ascii="Times New Roman" w:eastAsia="Times New Roman" w:hAnsi="Times New Roman" w:cs="Times New Roman"/>
          <w:i/>
          <w:iCs/>
          <w:sz w:val="24"/>
          <w:szCs w:val="24"/>
        </w:rPr>
        <w:t>in addition</w:t>
      </w:r>
      <w:r w:rsidRPr="00BE407E">
        <w:rPr>
          <w:rFonts w:ascii="Times New Roman" w:eastAsia="Times New Roman" w:hAnsi="Times New Roman" w:cs="Times New Roman"/>
          <w:sz w:val="24"/>
          <w:szCs w:val="24"/>
        </w:rPr>
        <w:t xml:space="preserve"> to those … for the costs of repairing or replacing damaged or destroyed buildings or other infrastructure for which the Commission has found liability.</w:t>
      </w:r>
      <w:r>
        <w:rPr>
          <w:rFonts w:ascii="Times New Roman" w:eastAsia="Times New Roman" w:hAnsi="Times New Roman" w:cs="Times New Roman"/>
          <w:noProof/>
          <w:sz w:val="24"/>
          <w:szCs w:val="24"/>
        </w:rPr>
        <w:drawing>
          <wp:inline distT="0" distB="0" distL="0" distR="0">
            <wp:extent cx="151130" cy="142875"/>
            <wp:effectExtent l="19050" t="0" r="1270" b="0"/>
            <wp:docPr id="3203" name="Imagen 32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7" w:history="1">
        <w:r w:rsidRPr="00BE407E">
          <w:rPr>
            <w:rFonts w:ascii="Times New Roman" w:eastAsia="Times New Roman" w:hAnsi="Times New Roman" w:cs="Times New Roman"/>
            <w:color w:val="0000FF"/>
            <w:sz w:val="24"/>
            <w:szCs w:val="24"/>
            <w:u w:val="single"/>
          </w:rPr>
          <w:t>XI. International Red Cross and Red Crescent Movement</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ICRC</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ICRC Commentary on the Fourth Geneva Convention states with respect to Article 148 of the 1949 Geneva Convention IV:</w:t>
      </w:r>
      <w:r w:rsidRPr="00BE407E">
        <w:rPr>
          <w:rFonts w:ascii="Times New Roman" w:eastAsia="Times New Roman" w:hAnsi="Times New Roman" w:cs="Times New Roman"/>
          <w:sz w:val="24"/>
          <w:szCs w:val="24"/>
        </w:rPr>
        <w:br/>
        <w:t>As regards material compensation for breaches of the Convention, it is inconceivable, at least as the law stands today, that claimants should be able to bring a direct action for damages against the State in whose service the person committing the breach was working. Only a State can make such claims on another State, and they form part, in general, of what is called “war reparations”. It would seem unjust for individuals to be punished while the State in whose name or on whose instructions they acted was released from all liability.</w:t>
      </w:r>
      <w:r>
        <w:rPr>
          <w:rFonts w:ascii="Times New Roman" w:eastAsia="Times New Roman" w:hAnsi="Times New Roman" w:cs="Times New Roman"/>
          <w:noProof/>
          <w:sz w:val="24"/>
          <w:szCs w:val="24"/>
        </w:rPr>
        <w:drawing>
          <wp:inline distT="0" distB="0" distL="0" distR="0">
            <wp:extent cx="151130" cy="142875"/>
            <wp:effectExtent l="19050" t="0" r="1270" b="0"/>
            <wp:docPr id="3204" name="Imagen 32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ICRC Commentary on the Additional Protocols states:</w:t>
      </w:r>
      <w:r w:rsidRPr="00BE407E">
        <w:rPr>
          <w:rFonts w:ascii="Times New Roman" w:eastAsia="Times New Roman" w:hAnsi="Times New Roman" w:cs="Times New Roman"/>
          <w:sz w:val="24"/>
          <w:szCs w:val="24"/>
        </w:rPr>
        <w:br/>
        <w:t>Article 91 literally reproduces Article 3 of the Hague Convention Concerning the Laws and Customs of War on Land of 1907, and does not abrogate it in any way, which means that it continues to be customary law for all nations.</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In fact [the principle contained in Article 51 of the 1949 Geneva Convention I, Article 52 of the 1949 Geneva Convention II, Article 131 of the 1949 Geneva Convention III and Article 148 of the 1949 Geneva Convention IV] is the same principle as that contained in the present Article 91 and in Article 3 of Hague Convention IV of 1907. The purpose of this provision is specifically to prevent the vanquished from being compelled in an armistice agreement or peace treaty to renounce all compensation due for breaches committed by persons in the service of the victor.</w:t>
      </w:r>
      <w:r>
        <w:rPr>
          <w:rFonts w:ascii="Times New Roman" w:eastAsia="Times New Roman" w:hAnsi="Times New Roman" w:cs="Times New Roman"/>
          <w:noProof/>
          <w:sz w:val="24"/>
          <w:szCs w:val="24"/>
        </w:rPr>
        <w:drawing>
          <wp:inline distT="0" distB="0" distL="0" distR="0">
            <wp:extent cx="151130" cy="142875"/>
            <wp:effectExtent l="19050" t="0" r="1270" b="0"/>
            <wp:docPr id="3205" name="Imagen 32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In 1993, in a report submitted to the UN General Assembly on the protection of the environment in time of armed conflict, the ICRC stated that during expert meetings on the issue, a list of the most important matters to be discussed had been drawn up.</w:t>
      </w:r>
      <w:r>
        <w:rPr>
          <w:rFonts w:ascii="Times New Roman" w:eastAsia="Times New Roman" w:hAnsi="Times New Roman" w:cs="Times New Roman"/>
          <w:noProof/>
          <w:sz w:val="24"/>
          <w:szCs w:val="24"/>
        </w:rPr>
        <w:drawing>
          <wp:inline distT="0" distB="0" distL="0" distR="0">
            <wp:extent cx="151130" cy="142875"/>
            <wp:effectExtent l="19050" t="0" r="1270" b="0"/>
            <wp:docPr id="3206" name="Imagen 32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86. Any violation of either treaty-based or customary rules attributable to a State would create an obligation on the part of the offending State towards the State or States whose environment suffered damage.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87. According to article 3 of the Hague Convention IV of 1907 and to article 91 of Protocol I of 1977, a State violating an international obligation must be liable to pay compensation.</w:t>
      </w:r>
      <w:r>
        <w:rPr>
          <w:rFonts w:ascii="Times New Roman" w:eastAsia="Times New Roman" w:hAnsi="Times New Roman" w:cs="Times New Roman"/>
          <w:noProof/>
          <w:sz w:val="24"/>
          <w:szCs w:val="24"/>
        </w:rPr>
        <w:drawing>
          <wp:inline distT="0" distB="0" distL="0" distR="0">
            <wp:extent cx="151130" cy="142875"/>
            <wp:effectExtent l="19050" t="0" r="1270" b="0"/>
            <wp:docPr id="3207" name="Imagen 32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1993, in a report on the protection of war victims, the ICRC, referring to Article 91 of the 1977 Additional Protocol I, stated: “This article confirms a rule which is today accepted as being part of customary law and was already stated, in almost identical terms, in Article 3 of the Hague Convention No. IV of 1907.” Referring to Article 51 of the 1949 Geneva Convention I, Article 52 of the 1949 Geneva Convention II, Article 131 of the 1949 Geneva Convention IV and Article 148 of the 1949 Geneva Convention IV, the ICRC moreover stated: </w:t>
      </w:r>
      <w:r w:rsidRPr="00BE407E">
        <w:rPr>
          <w:rFonts w:ascii="Times New Roman" w:eastAsia="Times New Roman" w:hAnsi="Times New Roman" w:cs="Times New Roman"/>
          <w:sz w:val="24"/>
          <w:szCs w:val="24"/>
        </w:rPr>
        <w:br/>
        <w:t xml:space="preserve">This provision … also implies that, irrespective of the outcome of an armed conflict, no decision or agreement can dispense a State from the responsibility to make reparation for damages caused to the victims of breaches of international humanitarian law or to pay compensation for those damages. </w:t>
      </w:r>
      <w:r w:rsidRPr="00BE407E">
        <w:rPr>
          <w:rFonts w:ascii="Times New Roman" w:eastAsia="Times New Roman" w:hAnsi="Times New Roman" w:cs="Times New Roman"/>
          <w:sz w:val="24"/>
          <w:szCs w:val="24"/>
        </w:rPr>
        <w:br/>
        <w:t>The International Conference for the Protection of War Victims should make it clear that it wishes procedures to be set up to provide reparation for damage inflicted on the victims of violations of international humanitarian law and award compensation to them, so as to enable them to receive the benefits to which they are entitled.</w:t>
      </w:r>
      <w:r>
        <w:rPr>
          <w:rFonts w:ascii="Times New Roman" w:eastAsia="Times New Roman" w:hAnsi="Times New Roman" w:cs="Times New Roman"/>
          <w:noProof/>
          <w:sz w:val="24"/>
          <w:szCs w:val="24"/>
        </w:rPr>
        <w:drawing>
          <wp:inline distT="0" distB="0" distL="0" distR="0">
            <wp:extent cx="151130" cy="142875"/>
            <wp:effectExtent l="19050" t="0" r="1270" b="0"/>
            <wp:docPr id="3208" name="Imagen 32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55" w:name="SectionB_XIOt"/>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"javascript:openUrlLight('src_XIOt')"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XII. Other</w:t>
      </w:r>
      <w:r w:rsidRPr="00BE407E">
        <w:rPr>
          <w:rFonts w:ascii="Times New Roman" w:eastAsia="Times New Roman" w:hAnsi="Times New Roman" w:cs="Times New Roman"/>
          <w:sz w:val="24"/>
          <w:szCs w:val="24"/>
        </w:rPr>
        <w:fldChar w:fldCharType="end"/>
      </w:r>
      <w:bookmarkEnd w:id="455"/>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Spanish Junta de Defensa Nacional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1936, during the Spanish Civil War, in a note to the Portuguese Minister of Foreign Negotiations, the President of the Spanish Junta de Defensa Nacional, while denouncing and condemning certain acts of assassination, mistreatment and damage allegedly committed against his side and non-belligerent third parties by members of the adverse party (the “Red Forces Armed by the Government of Madrid”), expressed his intention to pay compensation to the victims of the alleged offences and to repair the damage caused.</w:t>
      </w:r>
      <w:r>
        <w:rPr>
          <w:rFonts w:ascii="Times New Roman" w:eastAsia="Times New Roman" w:hAnsi="Times New Roman" w:cs="Times New Roman"/>
          <w:noProof/>
          <w:sz w:val="24"/>
          <w:szCs w:val="24"/>
        </w:rPr>
        <w:drawing>
          <wp:inline distT="0" distB="0" distL="0" distR="0">
            <wp:extent cx="151130" cy="142875"/>
            <wp:effectExtent l="19050" t="0" r="1270" b="0"/>
            <wp:docPr id="3209" name="Imagen 32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Institute of International Law</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on the application of the rules of IHL in hostilities in which UN forces are engaged, adopted at its Zagreb Session in 1971, the Institute of International Law stated:</w:t>
      </w:r>
      <w:r w:rsidRPr="00BE407E">
        <w:rPr>
          <w:rFonts w:ascii="Times New Roman" w:eastAsia="Times New Roman" w:hAnsi="Times New Roman" w:cs="Times New Roman"/>
          <w:sz w:val="24"/>
          <w:szCs w:val="24"/>
        </w:rPr>
        <w:br/>
        <w:t>Without prejudice to the individual or collective responsibility which derives from the very fact that the party opposing the United Nations Forces has committed aggression, that party shall make reparation for injuries caused in violation of the humanitarian rules of armed conflict. The United Nations is entitled to demand compliance with these rules for the benefit of its Forces and to claim damages for injuries suffered by its Forces in violation of these rules.</w:t>
      </w:r>
      <w:r>
        <w:rPr>
          <w:rFonts w:ascii="Times New Roman" w:eastAsia="Times New Roman" w:hAnsi="Times New Roman" w:cs="Times New Roman"/>
          <w:noProof/>
          <w:sz w:val="24"/>
          <w:szCs w:val="24"/>
        </w:rPr>
        <w:drawing>
          <wp:inline distT="0" distB="0" distL="0" distR="0">
            <wp:extent cx="151130" cy="142875"/>
            <wp:effectExtent l="19050" t="0" r="1270" b="0"/>
            <wp:docPr id="3210" name="Imagen 32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American Law Institute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Restatement (Third) of the Foreign Relations Law of the United States, adopted and promulgated by the American Law Institute in 1986, provides: </w:t>
      </w:r>
      <w:r w:rsidRPr="00BE407E">
        <w:rPr>
          <w:rFonts w:ascii="Times New Roman" w:eastAsia="Times New Roman" w:hAnsi="Times New Roman" w:cs="Times New Roman"/>
          <w:sz w:val="24"/>
          <w:szCs w:val="24"/>
        </w:rPr>
        <w:br/>
        <w:t>Under international law, a state that has violated a legal obligation to another state is required to terminate the violation and, ordinarily, to make reparation, including in appropriate circumstances restitution or compensation for loss or injury.</w:t>
      </w:r>
      <w:r>
        <w:rPr>
          <w:rFonts w:ascii="Times New Roman" w:eastAsia="Times New Roman" w:hAnsi="Times New Roman" w:cs="Times New Roman"/>
          <w:noProof/>
          <w:sz w:val="24"/>
          <w:szCs w:val="24"/>
        </w:rPr>
        <w:drawing>
          <wp:inline distT="0" distB="0" distL="0" distR="0">
            <wp:extent cx="151130" cy="142875"/>
            <wp:effectExtent l="19050" t="0" r="1270" b="0"/>
            <wp:docPr id="3211" name="Imagen 32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 private person, whether natural or juridical, injured by a violation of an international obligation by a state, may bring a claim against that state or assert that violation as a defense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in a competent international forum when the state has consented to the jurisdiction of that forum with respect to such private claims;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in a court or other tribunal of that state pursuant to its law;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(c) in a court or other tribunal of the injured person’s state of nationality or of a third state, pursuant to the law of such state, subject to limitations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212" name="Imagen 32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Afghan News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joint statement in 1987, several factions involved in the conflict in Afghanistan declared that the USSR could not securely leave Afghanistan without paying war compensation.</w:t>
      </w:r>
      <w:r>
        <w:rPr>
          <w:rFonts w:ascii="Times New Roman" w:eastAsia="Times New Roman" w:hAnsi="Times New Roman" w:cs="Times New Roman"/>
          <w:noProof/>
          <w:sz w:val="24"/>
          <w:szCs w:val="24"/>
        </w:rPr>
        <w:drawing>
          <wp:inline distT="0" distB="0" distL="0" distR="0">
            <wp:extent cx="151130" cy="142875"/>
            <wp:effectExtent l="19050" t="0" r="1270" b="0"/>
            <wp:docPr id="3213" name="Imagen 32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Supreme Council of Abkhazia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1992, in the context of the conflict in Georgia, Abkhazia denounced acts of pillage committed by Georgian troops and considered the leadership of the Republic of Georgia responsible for them. It further considered that Georgia was obliged to compensate the damage caused to the Republic of Abkhazia and to each victim in particular.</w:t>
      </w:r>
      <w:r>
        <w:rPr>
          <w:rFonts w:ascii="Times New Roman" w:eastAsia="Times New Roman" w:hAnsi="Times New Roman" w:cs="Times New Roman"/>
          <w:noProof/>
          <w:sz w:val="24"/>
          <w:szCs w:val="24"/>
        </w:rPr>
        <w:drawing>
          <wp:inline distT="0" distB="0" distL="0" distR="0">
            <wp:extent cx="151130" cy="142875"/>
            <wp:effectExtent l="19050" t="0" r="1270" b="0"/>
            <wp:docPr id="3214" name="Imagen 32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Sudan People’s Liberation Movement (SPLM)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SPLM Human Rights Charter provides: “The victims of human rights abuses shall receive compensation. In the case of victims who have been killed, the compensation should go to their kin in accordance with the customary law of the victim.”</w:t>
      </w:r>
      <w:r>
        <w:rPr>
          <w:rFonts w:ascii="Times New Roman" w:eastAsia="Times New Roman" w:hAnsi="Times New Roman" w:cs="Times New Roman"/>
          <w:noProof/>
          <w:sz w:val="24"/>
          <w:szCs w:val="24"/>
        </w:rPr>
        <w:drawing>
          <wp:inline distT="0" distB="0" distL="0" distR="0">
            <wp:extent cx="151130" cy="142875"/>
            <wp:effectExtent l="19050" t="0" r="1270" b="0"/>
            <wp:docPr id="3215" name="Imagen 32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Kalshoven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an expert opinion on Article 3 of the 1907 Hague Convention (IV) prepared in the context of cases seeking compensation for individual victims before Japanese courts, Kalshoven asserted that the adoption of Article 91 of the 1977 Additional Protocol I which, in his words, “contains a slightly modernised version of Article 3 [1907 Hague Convention IV]” at the CDDH without much discussion and without any dissent “reflected and indeed reaffirmed the general acceptance of the contents of the Article as established customary law”.</w:t>
      </w:r>
      <w:r>
        <w:rPr>
          <w:rFonts w:ascii="Times New Roman" w:eastAsia="Times New Roman" w:hAnsi="Times New Roman" w:cs="Times New Roman"/>
          <w:noProof/>
          <w:sz w:val="24"/>
          <w:szCs w:val="24"/>
        </w:rPr>
        <w:drawing>
          <wp:inline distT="0" distB="0" distL="0" distR="0">
            <wp:extent cx="151130" cy="142875"/>
            <wp:effectExtent l="19050" t="0" r="1270" b="0"/>
            <wp:docPr id="3216" name="Imagen 32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Although the first sentence of Article 3 does not state in so many words that individual persons, including persons resident in occupied territory, have a right to claim the compensation due under the Article, the drafting history of the Article leaves no room for doubt that this was precisely its purpose.</w:t>
      </w:r>
      <w:r>
        <w:rPr>
          <w:rFonts w:ascii="Times New Roman" w:eastAsia="Times New Roman" w:hAnsi="Times New Roman" w:cs="Times New Roman"/>
          <w:noProof/>
          <w:sz w:val="24"/>
          <w:szCs w:val="24"/>
        </w:rPr>
        <w:drawing>
          <wp:inline distT="0" distB="0" distL="0" distR="0">
            <wp:extent cx="151130" cy="142875"/>
            <wp:effectExtent l="19050" t="0" r="1270" b="0"/>
            <wp:docPr id="3217" name="Imagen 32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Greenwood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An expert opinion prepared by Christopher Greenwood took into account military manuals (from the United Kingdom and Germany), which stated that the laws of war were binding not only upon governments but also upon every individual, and the position of the International Military Tribunal (IMT), which insisted on punishing individuals responsible for violations of the laws of war, to state:</w:t>
      </w:r>
      <w:r w:rsidRPr="00BE407E">
        <w:rPr>
          <w:rFonts w:ascii="Times New Roman" w:eastAsia="Times New Roman" w:hAnsi="Times New Roman" w:cs="Times New Roman"/>
          <w:sz w:val="24"/>
          <w:szCs w:val="24"/>
        </w:rPr>
        <w:br/>
        <w:t xml:space="preserve">The international law of war thus clearly imposes </w:t>
      </w:r>
      <w:r w:rsidRPr="00BE407E">
        <w:rPr>
          <w:rFonts w:ascii="Times New Roman" w:eastAsia="Times New Roman" w:hAnsi="Times New Roman" w:cs="Times New Roman"/>
          <w:i/>
          <w:iCs/>
          <w:sz w:val="24"/>
          <w:szCs w:val="24"/>
        </w:rPr>
        <w:t>duties</w:t>
      </w:r>
      <w:r w:rsidRPr="00BE407E">
        <w:rPr>
          <w:rFonts w:ascii="Times New Roman" w:eastAsia="Times New Roman" w:hAnsi="Times New Roman" w:cs="Times New Roman"/>
          <w:sz w:val="24"/>
          <w:szCs w:val="24"/>
        </w:rPr>
        <w:t xml:space="preserve"> upon individuals and subjects those who violate their obligations to criminal penalties. There is, therefore, no reason why the </w:t>
      </w:r>
      <w:r w:rsidRPr="00BE407E">
        <w:rPr>
          <w:rFonts w:ascii="Times New Roman" w:eastAsia="Times New Roman" w:hAnsi="Times New Roman" w:cs="Times New Roman"/>
          <w:i/>
          <w:iCs/>
          <w:sz w:val="24"/>
          <w:szCs w:val="24"/>
        </w:rPr>
        <w:t>rights</w:t>
      </w:r>
      <w:r w:rsidRPr="00BE407E">
        <w:rPr>
          <w:rFonts w:ascii="Times New Roman" w:eastAsia="Times New Roman" w:hAnsi="Times New Roman" w:cs="Times New Roman"/>
          <w:sz w:val="24"/>
          <w:szCs w:val="24"/>
        </w:rPr>
        <w:t xml:space="preserve"> created by the international law of war should be confined to states. To confine them in that way would create a wholly illogical asymmetry in the law for which there would be no justification.</w:t>
      </w:r>
      <w:r>
        <w:rPr>
          <w:rFonts w:ascii="Times New Roman" w:eastAsia="Times New Roman" w:hAnsi="Times New Roman" w:cs="Times New Roman"/>
          <w:noProof/>
          <w:sz w:val="24"/>
          <w:szCs w:val="24"/>
        </w:rPr>
        <w:drawing>
          <wp:inline distT="0" distB="0" distL="0" distR="0">
            <wp:extent cx="151130" cy="142875"/>
            <wp:effectExtent l="19050" t="0" r="1270" b="0"/>
            <wp:docPr id="3218" name="Imagen 32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r w:rsidRPr="00BE407E">
        <w:rPr>
          <w:rFonts w:ascii="Times New Roman" w:eastAsia="Times New Roman" w:hAnsi="Times New Roman" w:cs="Times New Roman"/>
          <w:sz w:val="24"/>
          <w:szCs w:val="24"/>
        </w:rPr>
        <w:br/>
        <w:t>It is my opinion, therefore, that Article 3 of the Hague Convention, the Hague Regulations and customary international law of war confer rights upon individuals, including rights to compensation, in the event of a violation, which the individual can assert against the State of the wrongdoer. The right exists under international law. While it is obviously a matter of Japanese law … whether the Japanese courts have jurisdiction to give effect to that right, for them to do so would clearly be in accordance with international law and would enable the Japanese State to comply with its obligations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219" name="Imagen 321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Commission on Holocaust Era Insurance Claims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late 1990s, five European Insurance companies (Generali, Allianz, Axa, Winterthur Leben and Zurich) sued by Holocaust survivors in the United States formed and funded, in co-operation with the United States National Association of Insurance </w:t>
      </w:r>
      <w:r w:rsidRPr="00BE407E">
        <w:rPr>
          <w:rFonts w:ascii="Times New Roman" w:eastAsia="Times New Roman" w:hAnsi="Times New Roman" w:cs="Times New Roman"/>
          <w:sz w:val="24"/>
          <w:szCs w:val="24"/>
        </w:rPr>
        <w:lastRenderedPageBreak/>
        <w:t>Commissioners, representatives of Jewish organizations and the State of Israel, the International Commission on Holocaust Era Insurance Claims (ICHEIC) in order to settle the claims of Holocaust survivors and/or their heirs for non-payment of pre-Second-World War policies.</w:t>
      </w:r>
      <w:r>
        <w:rPr>
          <w:rFonts w:ascii="Times New Roman" w:eastAsia="Times New Roman" w:hAnsi="Times New Roman" w:cs="Times New Roman"/>
          <w:noProof/>
          <w:sz w:val="24"/>
          <w:szCs w:val="24"/>
        </w:rPr>
        <w:drawing>
          <wp:inline distT="0" distB="0" distL="0" distR="0">
            <wp:extent cx="151130" cy="142875"/>
            <wp:effectExtent l="19050" t="0" r="1270" b="0"/>
            <wp:docPr id="3220" name="Imagen 322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Association française des banques (AFB)</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1999, the French Banking Association (Association française des banques, AFB), long accused of benefiting from unclaimed accounts confiscated or frozen by French banks during the Second World War, announced compensation measures for survivors of the Holocaust and their heirs. Some 76,000 French Jews were sent to Nazi death camps in the Second World War, and the banks are accused of making no effort to return the funds from their accounts since then.</w:t>
      </w:r>
      <w:r>
        <w:rPr>
          <w:rFonts w:ascii="Times New Roman" w:eastAsia="Times New Roman" w:hAnsi="Times New Roman" w:cs="Times New Roman"/>
          <w:noProof/>
          <w:sz w:val="24"/>
          <w:szCs w:val="24"/>
        </w:rPr>
        <w:drawing>
          <wp:inline distT="0" distB="0" distL="0" distR="0">
            <wp:extent cx="151130" cy="142875"/>
            <wp:effectExtent l="19050" t="0" r="1270" b="0"/>
            <wp:docPr id="3221" name="Imagen 322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Women’s International War Crimes Tribunal for the Trial of Japanese Military Sexual Slavery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Women’s International War Crimes Tribunal for the Trial of Japanese Military Sexual Slavery stated in its first findings:</w:t>
      </w:r>
      <w:r w:rsidRPr="00BE407E">
        <w:rPr>
          <w:rFonts w:ascii="Times New Roman" w:eastAsia="Times New Roman" w:hAnsi="Times New Roman" w:cs="Times New Roman"/>
          <w:sz w:val="24"/>
          <w:szCs w:val="24"/>
        </w:rPr>
        <w:br/>
        <w:t>In examining the government of Japan’s obligation to provide reparations, we refer to the longstanding principle of international law that the state must provide a remedy for its international wrongs. The state’s responsibility is to provide compensation, restitution, rehabilitation, satisfaction and guarantees of non-repetition. Reparation includes any or all forms that are applicable to the situation and cover all injuries suffered by the victim …</w:t>
      </w:r>
      <w:r w:rsidRPr="00BE407E">
        <w:rPr>
          <w:rFonts w:ascii="Times New Roman" w:eastAsia="Times New Roman" w:hAnsi="Times New Roman" w:cs="Times New Roman"/>
          <w:sz w:val="24"/>
          <w:szCs w:val="24"/>
        </w:rPr>
        <w:br/>
        <w:t>Under international law, compensation must come from the government and must be adequate to the material harm, lost opportunities and emotional suffering of the victims, their families and close associates.</w:t>
      </w:r>
      <w:r>
        <w:rPr>
          <w:rFonts w:ascii="Times New Roman" w:eastAsia="Times New Roman" w:hAnsi="Times New Roman" w:cs="Times New Roman"/>
          <w:noProof/>
          <w:sz w:val="24"/>
          <w:szCs w:val="24"/>
        </w:rPr>
        <w:drawing>
          <wp:inline distT="0" distB="0" distL="0" distR="0">
            <wp:extent cx="151130" cy="142875"/>
            <wp:effectExtent l="19050" t="0" r="1270" b="0"/>
            <wp:docPr id="3222" name="Imagen 322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government of Japan … enact legislation and take all necessary and appropriate measures to compensate the victims and survivors and those entitled to recover as a result of the violations declared herein through the government and in amounts adequate to redress the harm and deter its future occurrence.</w:t>
      </w:r>
      <w:r>
        <w:rPr>
          <w:rFonts w:ascii="Times New Roman" w:eastAsia="Times New Roman" w:hAnsi="Times New Roman" w:cs="Times New Roman"/>
          <w:noProof/>
          <w:sz w:val="24"/>
          <w:szCs w:val="24"/>
        </w:rPr>
        <w:drawing>
          <wp:inline distT="0" distB="0" distL="0" distR="0">
            <wp:extent cx="151130" cy="142875"/>
            <wp:effectExtent l="19050" t="0" r="1270" b="0"/>
            <wp:docPr id="3223" name="Imagen 322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hyperlink r:id="rId108" w:history="1">
        <w:r w:rsidRPr="00BE407E">
          <w:rPr>
            <w:rFonts w:ascii="Times New Roman" w:eastAsia="Times New Roman" w:hAnsi="Times New Roman" w:cs="Times New Roman"/>
            <w:color w:val="0000FF"/>
            <w:sz w:val="24"/>
            <w:szCs w:val="24"/>
            <w:u w:val="single"/>
          </w:rPr>
          <w:t>Section C. Forms of reparation other than compensation</w:t>
        </w:r>
      </w:hyperlink>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Note: </w:t>
      </w:r>
      <w:r w:rsidRPr="00BE407E">
        <w:rPr>
          <w:rFonts w:ascii="Times New Roman" w:eastAsia="Times New Roman" w:hAnsi="Times New Roman" w:cs="Times New Roman"/>
          <w:i/>
          <w:iCs/>
          <w:sz w:val="24"/>
          <w:szCs w:val="24"/>
        </w:rPr>
        <w:t>For practice concerning the investigation of enforced disappearances, see Rule 98</w:t>
      </w: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Quick navigation</w:t>
      </w:r>
    </w:p>
    <w:bookmarkStart w:id="456" w:name="SectionC_ITr"/>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"javascript:openUrlLight('src_ITr')"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I. Treaties</w:t>
      </w:r>
      <w:r w:rsidRPr="00BE407E">
        <w:rPr>
          <w:rFonts w:ascii="Times New Roman" w:eastAsia="Times New Roman" w:hAnsi="Times New Roman" w:cs="Times New Roman"/>
          <w:sz w:val="24"/>
          <w:szCs w:val="24"/>
        </w:rPr>
        <w:fldChar w:fldCharType="end"/>
      </w:r>
      <w:bookmarkEnd w:id="456"/>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Paris Agreement on Reparation from 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1946 Paris Agreement on Reparation from Germany was concluded</w:t>
      </w:r>
      <w:r w:rsidRPr="00BE407E">
        <w:rPr>
          <w:rFonts w:ascii="Times New Roman" w:eastAsia="Times New Roman" w:hAnsi="Times New Roman" w:cs="Times New Roman"/>
          <w:sz w:val="24"/>
          <w:szCs w:val="24"/>
        </w:rPr>
        <w:br/>
        <w:t>in order to obtain an equitable distribution among [the signatory governments] of the total assets which … are or may be declared to be available as reparation from Germany … in order to establish an Inter-Allied Reparation Agency, and to settle an equitable procedure for the restitution of monetary gold.</w:t>
      </w:r>
      <w:r>
        <w:rPr>
          <w:rFonts w:ascii="Times New Roman" w:eastAsia="Times New Roman" w:hAnsi="Times New Roman" w:cs="Times New Roman"/>
          <w:noProof/>
          <w:sz w:val="24"/>
          <w:szCs w:val="24"/>
        </w:rPr>
        <w:drawing>
          <wp:inline distT="0" distB="0" distL="0" distR="0">
            <wp:extent cx="151130" cy="142875"/>
            <wp:effectExtent l="19050" t="0" r="1270" b="0"/>
            <wp:docPr id="3224" name="Imagen 322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single Article of Part III of the 1946 Paris Agreement on Reparation from Germany, entitled “Restitution of monetary gold”, provides:</w:t>
      </w:r>
      <w:r w:rsidRPr="00BE407E">
        <w:rPr>
          <w:rFonts w:ascii="Times New Roman" w:eastAsia="Times New Roman" w:hAnsi="Times New Roman" w:cs="Times New Roman"/>
          <w:sz w:val="24"/>
          <w:szCs w:val="24"/>
        </w:rPr>
        <w:br/>
        <w:t>A. All the monetary gold found in Germany by the Allied Forces … shall be pooled for distribution as restitution among the countries participating in the pool in proportion to their respective losses of gold through looting or by wrongful removal to Germany.</w:t>
      </w:r>
      <w:r w:rsidRPr="00BE407E">
        <w:rPr>
          <w:rFonts w:ascii="Times New Roman" w:eastAsia="Times New Roman" w:hAnsi="Times New Roman" w:cs="Times New Roman"/>
          <w:sz w:val="24"/>
          <w:szCs w:val="24"/>
        </w:rPr>
        <w:br/>
        <w:t>B. Without prejudice to claims by way of reparation for unrestored gold, the portion of monetary gold thus accruing to each country participating in the pool shall be accepted by that country in full satisfaction of all claims against Germany for restitution of monetary gold.</w:t>
      </w:r>
      <w:r w:rsidRPr="00BE407E">
        <w:rPr>
          <w:rFonts w:ascii="Times New Roman" w:eastAsia="Times New Roman" w:hAnsi="Times New Roman" w:cs="Times New Roman"/>
          <w:sz w:val="24"/>
          <w:szCs w:val="24"/>
        </w:rPr>
        <w:br/>
        <w:t xml:space="preserve">C. A proportional share of the gold shall be allocated to each country concerned which adheres to this arrangement for the restitution of monetary gold and which can establish </w:t>
      </w:r>
      <w:r w:rsidRPr="00BE407E">
        <w:rPr>
          <w:rFonts w:ascii="Times New Roman" w:eastAsia="Times New Roman" w:hAnsi="Times New Roman" w:cs="Times New Roman"/>
          <w:sz w:val="24"/>
          <w:szCs w:val="24"/>
        </w:rPr>
        <w:lastRenderedPageBreak/>
        <w:t>that a definite amount of monetary gold belonging to it was looted by Germany or, at any time after 12 March 1938, was wrongfully removed into German territory.</w:t>
      </w:r>
      <w:r>
        <w:rPr>
          <w:rFonts w:ascii="Times New Roman" w:eastAsia="Times New Roman" w:hAnsi="Times New Roman" w:cs="Times New Roman"/>
          <w:noProof/>
          <w:sz w:val="24"/>
          <w:szCs w:val="24"/>
        </w:rPr>
        <w:drawing>
          <wp:inline distT="0" distB="0" distL="0" distR="0">
            <wp:extent cx="151130" cy="142875"/>
            <wp:effectExtent l="19050" t="0" r="1270" b="0"/>
            <wp:docPr id="3225" name="Imagen 322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European Convention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41 of the 1950 European Convention on Human Rights provides:</w:t>
      </w:r>
      <w:r w:rsidRPr="00BE407E">
        <w:rPr>
          <w:rFonts w:ascii="Times New Roman" w:eastAsia="Times New Roman" w:hAnsi="Times New Roman" w:cs="Times New Roman"/>
          <w:sz w:val="24"/>
          <w:szCs w:val="24"/>
        </w:rPr>
        <w:br/>
        <w:t>If the [European Court of Human Rights] finds that there has been a violation of the Convention or the protocols thereto, and if the internal law of the High Contracting Party concerned allows only partial reparation to be made, the [European Court of Human Rights] shall, if necessary, afford just satisfaction to the injured party.</w:t>
      </w:r>
      <w:r>
        <w:rPr>
          <w:rFonts w:ascii="Times New Roman" w:eastAsia="Times New Roman" w:hAnsi="Times New Roman" w:cs="Times New Roman"/>
          <w:noProof/>
          <w:sz w:val="24"/>
          <w:szCs w:val="24"/>
        </w:rPr>
        <w:drawing>
          <wp:inline distT="0" distB="0" distL="0" distR="0">
            <wp:extent cx="151130" cy="142875"/>
            <wp:effectExtent l="19050" t="0" r="1270" b="0"/>
            <wp:docPr id="3226" name="Imagen 322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Convention on the Settlement of Matters Arising out of the War and the Occupation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 of Chapter Three (“Internal Restitution”) of the 1952 Convention on the Settlement of Matters Arising out of the War and the Occupation provides:</w:t>
      </w:r>
      <w:r w:rsidRPr="00BE407E">
        <w:rPr>
          <w:rFonts w:ascii="Times New Roman" w:eastAsia="Times New Roman" w:hAnsi="Times New Roman" w:cs="Times New Roman"/>
          <w:sz w:val="24"/>
          <w:szCs w:val="24"/>
        </w:rPr>
        <w:br/>
        <w:t>The Federal Republic [of Germany] hereby acknowledges the need for, and assumes the obligation to implement fully and by every means in its power, the legislation … and the programmes for restitution and re-allocation thereunder provided. The Federal Republic shall entrust a Federal Agency with ensuring the fulfilment of the obligation undertaken under this Article, paying due regard to the provisions of the [German] Basic Law.</w:t>
      </w:r>
      <w:r>
        <w:rPr>
          <w:rFonts w:ascii="Times New Roman" w:eastAsia="Times New Roman" w:hAnsi="Times New Roman" w:cs="Times New Roman"/>
          <w:noProof/>
          <w:sz w:val="24"/>
          <w:szCs w:val="24"/>
        </w:rPr>
        <w:drawing>
          <wp:inline distT="0" distB="0" distL="0" distR="0">
            <wp:extent cx="151130" cy="142875"/>
            <wp:effectExtent l="19050" t="0" r="1270" b="0"/>
            <wp:docPr id="3227" name="Imagen 322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4 of Chapter Three (“Internal Restitution”) of the 1952 Convention on the Settlement of Matters Arising out of the War and the Occupation provides:</w:t>
      </w:r>
      <w:r w:rsidRPr="00BE407E">
        <w:rPr>
          <w:rFonts w:ascii="Times New Roman" w:eastAsia="Times New Roman" w:hAnsi="Times New Roman" w:cs="Times New Roman"/>
          <w:sz w:val="24"/>
          <w:szCs w:val="24"/>
        </w:rPr>
        <w:br/>
        <w:t>1. The Federal Republic [of Germany] hereby undertakes</w:t>
      </w:r>
      <w:r w:rsidRPr="00BE407E">
        <w:rPr>
          <w:rFonts w:ascii="Times New Roman" w:eastAsia="Times New Roman" w:hAnsi="Times New Roman" w:cs="Times New Roman"/>
          <w:sz w:val="24"/>
          <w:szCs w:val="24"/>
        </w:rPr>
        <w:br/>
        <w:t>(a) … to ensure the payment to restitutees of all judgments or awards which have been or hereafter shall be given or made against the former German Reich …</w:t>
      </w:r>
      <w:r w:rsidRPr="00BE407E">
        <w:rPr>
          <w:rFonts w:ascii="Times New Roman" w:eastAsia="Times New Roman" w:hAnsi="Times New Roman" w:cs="Times New Roman"/>
          <w:sz w:val="24"/>
          <w:szCs w:val="24"/>
        </w:rPr>
        <w:br/>
        <w:t>(b) to assume forthwith, by appropriate arrangements with the City of Berlin, liability for the payment … of all judgments and awards against the former German Reich under the internal restitution legislation in the Western Sector of Berlin.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 The obligation of the Federal Republic to the Three Powers with respect to money judgments and awards under paragraph 1 of this Article shall be satisfied when such judgments and awards shall have been paid or shall, if the Federal Republic so requests, be considered to have been satisfied when the Federal Republic shall have paid a total of DM 1,500,000,000 thereon.</w:t>
      </w:r>
      <w:r>
        <w:rPr>
          <w:rFonts w:ascii="Times New Roman" w:eastAsia="Times New Roman" w:hAnsi="Times New Roman" w:cs="Times New Roman"/>
          <w:noProof/>
          <w:sz w:val="24"/>
          <w:szCs w:val="24"/>
        </w:rPr>
        <w:drawing>
          <wp:inline distT="0" distB="0" distL="0" distR="0">
            <wp:extent cx="151130" cy="142875"/>
            <wp:effectExtent l="19050" t="0" r="1270" b="0"/>
            <wp:docPr id="3228" name="Imagen 322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By Article 6 of Chapter Three (“Internal Restitution”) of the 1952 Convention on the Settlement of Matters Arising out of the War and the Occupation, a “Supreme Restitution Court” was established.</w:t>
      </w:r>
      <w:r>
        <w:rPr>
          <w:rFonts w:ascii="Times New Roman" w:eastAsia="Times New Roman" w:hAnsi="Times New Roman" w:cs="Times New Roman"/>
          <w:noProof/>
          <w:sz w:val="24"/>
          <w:szCs w:val="24"/>
        </w:rPr>
        <w:drawing>
          <wp:inline distT="0" distB="0" distL="0" distR="0">
            <wp:extent cx="151130" cy="142875"/>
            <wp:effectExtent l="19050" t="0" r="1270" b="0"/>
            <wp:docPr id="3229" name="Imagen 322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1, first paragraph, of Chapter Five (“External Restitution”) of the 1952 Convention on the Settlement of Matters Arising out of the War and the Occupation provides:</w:t>
      </w:r>
      <w:r w:rsidRPr="00BE407E">
        <w:rPr>
          <w:rFonts w:ascii="Times New Roman" w:eastAsia="Times New Roman" w:hAnsi="Times New Roman" w:cs="Times New Roman"/>
          <w:sz w:val="24"/>
          <w:szCs w:val="24"/>
        </w:rPr>
        <w:br/>
        <w:t>Upon the entry into force of the present Convention, the Federal Republic [of Germany] shall establish, staff and equip an administrative agency which shall … search for, recover, and restitute jewellery, silverware and antique furniture … and cultural property, if such articles or cultural property were, during the occupation of any territory, removed therefrom by the forces or authorities of Germany or its Allies or their individual members (whether or not pursuant to orders) after acquisition by duress (with or without violence), by larceny, by requisitioning or by other forms of dispossession by force.</w:t>
      </w:r>
      <w:r>
        <w:rPr>
          <w:rFonts w:ascii="Times New Roman" w:eastAsia="Times New Roman" w:hAnsi="Times New Roman" w:cs="Times New Roman"/>
          <w:noProof/>
          <w:sz w:val="24"/>
          <w:szCs w:val="24"/>
        </w:rPr>
        <w:drawing>
          <wp:inline distT="0" distB="0" distL="0" distR="0">
            <wp:extent cx="151130" cy="142875"/>
            <wp:effectExtent l="19050" t="0" r="1270" b="0"/>
            <wp:docPr id="3230" name="Imagen 323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Paragraph 1 of Article 3 of Chapter Five (“External Restitution”) of the 1952 Convention on the Settlement of Matters Arising out of the War and the Occupation provides:</w:t>
      </w:r>
      <w:r w:rsidRPr="00BE407E">
        <w:rPr>
          <w:rFonts w:ascii="Times New Roman" w:eastAsia="Times New Roman" w:hAnsi="Times New Roman" w:cs="Times New Roman"/>
          <w:sz w:val="24"/>
          <w:szCs w:val="24"/>
        </w:rPr>
        <w:br/>
        <w:t xml:space="preserve">Notwithstanding provisions of German law to the contrary, any person who, or whose predecessor in title, during the occupation of a territory, has been dispossessed of his </w:t>
      </w:r>
      <w:r w:rsidRPr="00BE407E">
        <w:rPr>
          <w:rFonts w:ascii="Times New Roman" w:eastAsia="Times New Roman" w:hAnsi="Times New Roman" w:cs="Times New Roman"/>
          <w:sz w:val="24"/>
          <w:szCs w:val="24"/>
        </w:rPr>
        <w:lastRenderedPageBreak/>
        <w:t>property by larceny or by duress (with or without violence) by the forces or authorities of Germany or its Allies, or their individual members (whether or not pursuant to orders), shall have a claim against the present possessor of such property for its restitution.</w:t>
      </w:r>
      <w:r>
        <w:rPr>
          <w:rFonts w:ascii="Times New Roman" w:eastAsia="Times New Roman" w:hAnsi="Times New Roman" w:cs="Times New Roman"/>
          <w:noProof/>
          <w:sz w:val="24"/>
          <w:szCs w:val="24"/>
        </w:rPr>
        <w:drawing>
          <wp:inline distT="0" distB="0" distL="0" distR="0">
            <wp:extent cx="151130" cy="142875"/>
            <wp:effectExtent l="19050" t="0" r="1270" b="0"/>
            <wp:docPr id="3231" name="Imagen 323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Paragraph 1 of Article 3 of Chapter Six (“Reparation”) of the 1952 Convention on the Settlement of Matters Arising out of the War and the Occupation provides: </w:t>
      </w:r>
      <w:r w:rsidRPr="00BE407E">
        <w:rPr>
          <w:rFonts w:ascii="Times New Roman" w:eastAsia="Times New Roman" w:hAnsi="Times New Roman" w:cs="Times New Roman"/>
          <w:sz w:val="24"/>
          <w:szCs w:val="24"/>
        </w:rPr>
        <w:br/>
        <w:t>The Federal Republic [of Germany] shall in the future raise no objections against the measures which have been, or will be, carried out with regard to German external assets or other property, seized for the purpose of … restitution.</w:t>
      </w:r>
      <w:r>
        <w:rPr>
          <w:rFonts w:ascii="Times New Roman" w:eastAsia="Times New Roman" w:hAnsi="Times New Roman" w:cs="Times New Roman"/>
          <w:noProof/>
          <w:sz w:val="24"/>
          <w:szCs w:val="24"/>
        </w:rPr>
        <w:drawing>
          <wp:inline distT="0" distB="0" distL="0" distR="0">
            <wp:extent cx="151130" cy="142875"/>
            <wp:effectExtent l="19050" t="0" r="1270" b="0"/>
            <wp:docPr id="3232" name="Imagen 323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Hague Protocol for the Protection of Cultural Property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Paragraphs 1, 3 and 4 of the 1954 Hague Protocol for the Protection of Cultural Property provide:</w:t>
      </w:r>
      <w:r w:rsidRPr="00BE407E">
        <w:rPr>
          <w:rFonts w:ascii="Times New Roman" w:eastAsia="Times New Roman" w:hAnsi="Times New Roman" w:cs="Times New Roman"/>
          <w:sz w:val="24"/>
          <w:szCs w:val="24"/>
        </w:rPr>
        <w:br/>
        <w:t>1. Each High Contracting Party undertakes to prevent the exportation, from a territory occupied by it during an armed conflict, of cultural property as defined in Article 1 of the [1954 Hague Convention for the Protection of Cultural Property].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3. Each High Contracting Party undertakes to return, at the close of hostilities, to the competent authorities of the territory previously occupied, cultural property which is in its territory, if such property has been exported in contravention of the principle laid down in the first paragraph. Such property shall never be retained as war reparations.</w:t>
      </w:r>
      <w:r w:rsidRPr="00BE407E">
        <w:rPr>
          <w:rFonts w:ascii="Times New Roman" w:eastAsia="Times New Roman" w:hAnsi="Times New Roman" w:cs="Times New Roman"/>
          <w:sz w:val="24"/>
          <w:szCs w:val="24"/>
        </w:rPr>
        <w:br/>
        <w:t>4. The High Contracting Party whose obligation it was to prevent the exportation of cultural property from the territory occupied by it, shall pay an indemnity to the holders in good faith of any cultural property which has to be returned in accordance with the preceding paragraph.</w:t>
      </w:r>
      <w:r>
        <w:rPr>
          <w:rFonts w:ascii="Times New Roman" w:eastAsia="Times New Roman" w:hAnsi="Times New Roman" w:cs="Times New Roman"/>
          <w:noProof/>
          <w:sz w:val="24"/>
          <w:szCs w:val="24"/>
        </w:rPr>
        <w:drawing>
          <wp:inline distT="0" distB="0" distL="0" distR="0">
            <wp:extent cx="151130" cy="142875"/>
            <wp:effectExtent l="19050" t="0" r="1270" b="0"/>
            <wp:docPr id="3233" name="Imagen 323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Austrian State Treaty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26 of the 1955 Austrian State Treaty, which in its preamble considers that “on 13 March 1938, Hitlerite Germany annexed Austria by force and incorporated its territory in the German Reich”, states:</w:t>
      </w:r>
      <w:r w:rsidRPr="00BE407E">
        <w:rPr>
          <w:rFonts w:ascii="Times New Roman" w:eastAsia="Times New Roman" w:hAnsi="Times New Roman" w:cs="Times New Roman"/>
          <w:sz w:val="24"/>
          <w:szCs w:val="24"/>
        </w:rPr>
        <w:br/>
        <w:t>1. In so far as such action has not already been taken, Austria undertakes that, in all cases where property, legal rights or interests in Austria have since 13 March 1938, been subject of forced transfer or measures of sequestration, confiscation or control on account of the racial origin or religion of the owner, the said property shall be returned and the said legal rights a nd interests shall be restored together with their accessories …</w:t>
      </w:r>
      <w:r w:rsidRPr="00BE407E">
        <w:rPr>
          <w:rFonts w:ascii="Times New Roman" w:eastAsia="Times New Roman" w:hAnsi="Times New Roman" w:cs="Times New Roman"/>
          <w:sz w:val="24"/>
          <w:szCs w:val="24"/>
        </w:rPr>
        <w:br/>
        <w:t>2. Austria agrees to take under its control all property, legal rights and interests in Austria of persons, organizations or communities which, individually or as members of groups, were the object of racial, religious or other Nazi measures of persecution where, in the case of persons, such property, rights and interests remain heirless or unclaimed for six months after the coming into force of the present Treaty, or where in the case of organizations and communities such organizations or communities have ceased to exist. Austria shall transfer such property, rights and interests to appropriate agencies or organizations to be designated by the Four Heads of Mission in Vienna by agreement with the Austrian Government to be used for the relief and rehabilitation of victims of persecution by the Axis Powers.</w:t>
      </w:r>
      <w:r>
        <w:rPr>
          <w:rFonts w:ascii="Times New Roman" w:eastAsia="Times New Roman" w:hAnsi="Times New Roman" w:cs="Times New Roman"/>
          <w:noProof/>
          <w:sz w:val="24"/>
          <w:szCs w:val="24"/>
        </w:rPr>
        <w:drawing>
          <wp:inline distT="0" distB="0" distL="0" distR="0">
            <wp:extent cx="151130" cy="142875"/>
            <wp:effectExtent l="19050" t="0" r="1270" b="0"/>
            <wp:docPr id="3234" name="Imagen 323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American Convention on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63(1) of the 1969 American Convention on Human Rights provides:</w:t>
      </w:r>
      <w:r w:rsidRPr="00BE407E">
        <w:rPr>
          <w:rFonts w:ascii="Times New Roman" w:eastAsia="Times New Roman" w:hAnsi="Times New Roman" w:cs="Times New Roman"/>
          <w:sz w:val="24"/>
          <w:szCs w:val="24"/>
        </w:rPr>
        <w:br/>
        <w:t xml:space="preserve">If the [Inter-American Court of Human Rights] finds that there has been a violation of a right or freedom protected by this Convention, the Court shall … also rule, if appropriate, that the consequences of the measure or situation that constituted the </w:t>
      </w:r>
      <w:r w:rsidRPr="00BE407E">
        <w:rPr>
          <w:rFonts w:ascii="Times New Roman" w:eastAsia="Times New Roman" w:hAnsi="Times New Roman" w:cs="Times New Roman"/>
          <w:sz w:val="24"/>
          <w:szCs w:val="24"/>
        </w:rPr>
        <w:lastRenderedPageBreak/>
        <w:t>breach of such right or freedom be remedied and that fair compensation be paid to the injured party.</w:t>
      </w:r>
      <w:r>
        <w:rPr>
          <w:rFonts w:ascii="Times New Roman" w:eastAsia="Times New Roman" w:hAnsi="Times New Roman" w:cs="Times New Roman"/>
          <w:noProof/>
          <w:sz w:val="24"/>
          <w:szCs w:val="24"/>
        </w:rPr>
        <w:drawing>
          <wp:inline distT="0" distB="0" distL="0" distR="0">
            <wp:extent cx="151130" cy="142875"/>
            <wp:effectExtent l="19050" t="0" r="1270" b="0"/>
            <wp:docPr id="3235" name="Imagen 323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Agreement on Refugees and Displaced Persons annexed to the Dayton Accords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1(1) of the 1995 Agreement on Refugees and Displaced Persons annexed to the Dayton Accords provides: “All refugees and displaced persons … shall have the right to have restored to them property of which they were deprived in the course of hostilities since 1991 and to be compensated for any property that cannot be restored to them.”</w:t>
      </w:r>
      <w:r>
        <w:rPr>
          <w:rFonts w:ascii="Times New Roman" w:eastAsia="Times New Roman" w:hAnsi="Times New Roman" w:cs="Times New Roman"/>
          <w:noProof/>
          <w:sz w:val="24"/>
          <w:szCs w:val="24"/>
        </w:rPr>
        <w:drawing>
          <wp:inline distT="0" distB="0" distL="0" distR="0">
            <wp:extent cx="151130" cy="142875"/>
            <wp:effectExtent l="19050" t="0" r="1270" b="0"/>
            <wp:docPr id="3236" name="Imagen 323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By Article VII of the 1995 Agreement on Refugees and Displaced Persons annexed to the Dayton Accords, the Commission for Real Property Claims of Displaced Persons and Refugees in Bosnia and Herzegovina was established. According to Article XI, the mandate of the Commission was to</w:t>
      </w:r>
      <w:r w:rsidRPr="00BE407E">
        <w:rPr>
          <w:rFonts w:ascii="Times New Roman" w:eastAsia="Times New Roman" w:hAnsi="Times New Roman" w:cs="Times New Roman"/>
          <w:sz w:val="24"/>
          <w:szCs w:val="24"/>
        </w:rPr>
        <w:br/>
        <w:t>receive and decide any claims for real property in Bosnia and Herzegovina, where the property has not voluntarily been sold or otherwise transferred since April 1, 1992, and where the claimant does not now enjoy possession of that property. Claims may be for return of the property or for just compensation in lieu of return.</w:t>
      </w:r>
      <w:r>
        <w:rPr>
          <w:rFonts w:ascii="Times New Roman" w:eastAsia="Times New Roman" w:hAnsi="Times New Roman" w:cs="Times New Roman"/>
          <w:noProof/>
          <w:sz w:val="24"/>
          <w:szCs w:val="24"/>
        </w:rPr>
        <w:drawing>
          <wp:inline distT="0" distB="0" distL="0" distR="0">
            <wp:extent cx="151130" cy="142875"/>
            <wp:effectExtent l="19050" t="0" r="1270" b="0"/>
            <wp:docPr id="3237" name="Imagen 323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ICC Statute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75(1) of the 1998 ICC Statute provides: “The Court shall establish principles relating to reparations to, or in respect of, victims, including restitution … and rehabilitation.”</w:t>
      </w:r>
      <w:r>
        <w:rPr>
          <w:rFonts w:ascii="Times New Roman" w:eastAsia="Times New Roman" w:hAnsi="Times New Roman" w:cs="Times New Roman"/>
          <w:noProof/>
          <w:sz w:val="24"/>
          <w:szCs w:val="24"/>
        </w:rPr>
        <w:drawing>
          <wp:inline distT="0" distB="0" distL="0" distR="0">
            <wp:extent cx="151130" cy="142875"/>
            <wp:effectExtent l="19050" t="0" r="1270" b="0"/>
            <wp:docPr id="3238" name="Imagen 323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Protocol to the African Charter on Human and Peoples’ Rights on the Establishment of an African Court on Human and Peoples’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27(1) of the 2003 Protocol to the African Charter on Human and Peoples’ Rights on the Establishment of an African Court on Human and Peoples’ Rights provides: “If the Court finds that there has been violation of a human or peoples’ right, it shall make appropriate orders to remedy the violation, including the payment of fair compensation or reparation.”</w:t>
      </w:r>
      <w:r>
        <w:rPr>
          <w:rFonts w:ascii="Times New Roman" w:eastAsia="Times New Roman" w:hAnsi="Times New Roman" w:cs="Times New Roman"/>
          <w:noProof/>
          <w:sz w:val="24"/>
          <w:szCs w:val="24"/>
        </w:rPr>
        <w:drawing>
          <wp:inline distT="0" distB="0" distL="0" distR="0">
            <wp:extent cx="151130" cy="142875"/>
            <wp:effectExtent l="19050" t="0" r="1270" b="0"/>
            <wp:docPr id="3239" name="Imagen 323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57" w:name="SectionC_IIOtIn"/>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"javascript:openUrlLight('src_IIOtIn')"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II. Other Instruments</w:t>
      </w:r>
      <w:r w:rsidRPr="00BE407E">
        <w:rPr>
          <w:rFonts w:ascii="Times New Roman" w:eastAsia="Times New Roman" w:hAnsi="Times New Roman" w:cs="Times New Roman"/>
          <w:sz w:val="24"/>
          <w:szCs w:val="24"/>
        </w:rPr>
        <w:fldChar w:fldCharType="end"/>
      </w:r>
      <w:bookmarkEnd w:id="457"/>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Luxembourg Agreement between Germany and the Conference on Jewish Material Claims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Protocol No. 1 of the 1952 Luxembourg Agreement between Germany and the Conference on Jewish Material Claims, concluded at a meeting between the representatives of the Federal Republic of Germany and the Conference on Jewish Material Claims at which “the extension of the legislation existing in the Federal Republic of Germany for the redress of National-Socialist wrongs” was discussed and at which the representatives of both parties “agreed on a number of principles for the improvement of the existing legislation as well as on other measures”, states:</w:t>
      </w:r>
      <w:r w:rsidRPr="00BE407E">
        <w:rPr>
          <w:rFonts w:ascii="Times New Roman" w:eastAsia="Times New Roman" w:hAnsi="Times New Roman" w:cs="Times New Roman"/>
          <w:sz w:val="24"/>
          <w:szCs w:val="24"/>
        </w:rPr>
        <w:br/>
        <w:t>II. Restitution</w:t>
      </w:r>
      <w:r w:rsidRPr="00BE407E">
        <w:rPr>
          <w:rFonts w:ascii="Times New Roman" w:eastAsia="Times New Roman" w:hAnsi="Times New Roman" w:cs="Times New Roman"/>
          <w:sz w:val="24"/>
          <w:szCs w:val="24"/>
        </w:rPr>
        <w:br/>
        <w:t>1. The legislation now in force in the territory of the Federal Republic of Germany concerning restitution of identifiable property to victims of National-Socialist persecution shall remain in force without any restrictions …</w:t>
      </w:r>
      <w:r w:rsidRPr="00BE407E">
        <w:rPr>
          <w:rFonts w:ascii="Times New Roman" w:eastAsia="Times New Roman" w:hAnsi="Times New Roman" w:cs="Times New Roman"/>
          <w:sz w:val="24"/>
          <w:szCs w:val="24"/>
        </w:rPr>
        <w:br/>
        <w:t>2. The Federal Government will see to it that the Federal Republic of Germany accepts liability also for confiscation of household effects in transit which were seized by the German Reich in European ports outside of the Federal Republic, in so far as the household effects belonged to persecutees who emigrated from the territory of the Federal Republic.</w:t>
      </w:r>
      <w:r w:rsidRPr="00BE407E">
        <w:rPr>
          <w:rFonts w:ascii="Times New Roman" w:eastAsia="Times New Roman" w:hAnsi="Times New Roman" w:cs="Times New Roman"/>
          <w:sz w:val="24"/>
          <w:szCs w:val="24"/>
        </w:rPr>
        <w:br/>
        <w:t xml:space="preserve">3. The Government of the Federal Republic of Germany will see to it that payments shall be ensured to restitutees – private persons and successor organizations appointed pursuant to law – of all judgments or awards which have been or hereafter shall be given or made against the former German Reich under restitution legislation. The same </w:t>
      </w:r>
      <w:r w:rsidRPr="00BE407E">
        <w:rPr>
          <w:rFonts w:ascii="Times New Roman" w:eastAsia="Times New Roman" w:hAnsi="Times New Roman" w:cs="Times New Roman"/>
          <w:sz w:val="24"/>
          <w:szCs w:val="24"/>
        </w:rPr>
        <w:lastRenderedPageBreak/>
        <w:t>shall apply to amicable settlements …</w:t>
      </w:r>
      <w:r w:rsidRPr="00BE407E">
        <w:rPr>
          <w:rFonts w:ascii="Times New Roman" w:eastAsia="Times New Roman" w:hAnsi="Times New Roman" w:cs="Times New Roman"/>
          <w:sz w:val="24"/>
          <w:szCs w:val="24"/>
        </w:rPr>
        <w:br/>
        <w:t>In accordance with Article 4, paragraph 3 of Chapter Three of the Convention on the Settlement of Matters arising out of the War and the Occupation, the obligation of the Federal Republic of Germany shall be considered to have been satisfied when the judgments and awards shall have been paid or when the Federal Republic of Germany shall have paid a total of DM 1,500 million. Payments on the basis of amicable settlements shall be included in this sum.</w:t>
      </w:r>
      <w:r>
        <w:rPr>
          <w:rFonts w:ascii="Times New Roman" w:eastAsia="Times New Roman" w:hAnsi="Times New Roman" w:cs="Times New Roman"/>
          <w:noProof/>
          <w:sz w:val="24"/>
          <w:szCs w:val="24"/>
        </w:rPr>
        <w:drawing>
          <wp:inline distT="0" distB="0" distL="0" distR="0">
            <wp:extent cx="151130" cy="142875"/>
            <wp:effectExtent l="19050" t="0" r="1270" b="0"/>
            <wp:docPr id="3240" name="Imagen 324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Comprehensive Agreement on Respect for Human Rights and IHL in the Philippines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2(3) of Part III of the 1998 Comprehensive Agreement on Respect for Human Rights and IHL in the Philippines states that the right of the victims and their families to seek justice for violations of human rights includes “adequate compensation or indemnification, restitution and rehabilitation”.</w:t>
      </w:r>
      <w:r>
        <w:rPr>
          <w:rFonts w:ascii="Times New Roman" w:eastAsia="Times New Roman" w:hAnsi="Times New Roman" w:cs="Times New Roman"/>
          <w:noProof/>
          <w:sz w:val="24"/>
          <w:szCs w:val="24"/>
        </w:rPr>
        <w:drawing>
          <wp:inline distT="0" distB="0" distL="0" distR="0">
            <wp:extent cx="151130" cy="142875"/>
            <wp:effectExtent l="19050" t="0" r="1270" b="0"/>
            <wp:docPr id="3241" name="Imagen 324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UNMIK Regulation No. 1999/23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1999, Section 2 of UNMIK Regulation No. 1999/23 established the Housing and Property Claims Commission in Kosovo.</w:t>
      </w:r>
      <w:r>
        <w:rPr>
          <w:rFonts w:ascii="Times New Roman" w:eastAsia="Times New Roman" w:hAnsi="Times New Roman" w:cs="Times New Roman"/>
          <w:noProof/>
          <w:sz w:val="24"/>
          <w:szCs w:val="24"/>
        </w:rPr>
        <w:drawing>
          <wp:inline distT="0" distB="0" distL="0" distR="0">
            <wp:extent cx="151130" cy="142875"/>
            <wp:effectExtent l="19050" t="0" r="1270" b="0"/>
            <wp:docPr id="3242" name="Imagen 324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UNMIK Regulation No. 2000/60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According to Section 2 of UNMIK Regulation No. 2000/60, the Housing and Property Claims Commission in Kosovo is given the power to decide on claims for restitution, repossession and return to the property brought by certain categories of persons, among which persons who lost their property right as a result of discrimination and refugees or displaced persons.</w:t>
      </w:r>
      <w:r>
        <w:rPr>
          <w:rFonts w:ascii="Times New Roman" w:eastAsia="Times New Roman" w:hAnsi="Times New Roman" w:cs="Times New Roman"/>
          <w:noProof/>
          <w:sz w:val="24"/>
          <w:szCs w:val="24"/>
        </w:rPr>
        <w:drawing>
          <wp:inline distT="0" distB="0" distL="0" distR="0">
            <wp:extent cx="151130" cy="142875"/>
            <wp:effectExtent l="19050" t="0" r="1270" b="0"/>
            <wp:docPr id="3243" name="Imagen 324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Basic Principles and Guidelines on the Right to a Remedy and Reparation for Victims of Violations of International Human Rights and Humanitarian Law (2000)</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21 of the 2000 Basic Principles and Guidelines on the Right to a Remedy and Reparation for Victims of Violations of International Human Rights and Humanitarian Law provides:</w:t>
      </w:r>
      <w:r w:rsidRPr="00BE407E">
        <w:rPr>
          <w:rFonts w:ascii="Times New Roman" w:eastAsia="Times New Roman" w:hAnsi="Times New Roman" w:cs="Times New Roman"/>
          <w:sz w:val="24"/>
          <w:szCs w:val="24"/>
        </w:rPr>
        <w:br/>
        <w:t>In accordance with their domestic law and international obligations, and taking account of individual circumstances, States should provide victims of violations of international human rights and humanitarian law the following forms of reparation: restitution, … rehabilitation, and satisfaction and guarantees of non-repetition.</w:t>
      </w:r>
      <w:r>
        <w:rPr>
          <w:rFonts w:ascii="Times New Roman" w:eastAsia="Times New Roman" w:hAnsi="Times New Roman" w:cs="Times New Roman"/>
          <w:noProof/>
          <w:sz w:val="24"/>
          <w:szCs w:val="24"/>
        </w:rPr>
        <w:drawing>
          <wp:inline distT="0" distB="0" distL="0" distR="0">
            <wp:extent cx="151130" cy="142875"/>
            <wp:effectExtent l="19050" t="0" r="1270" b="0"/>
            <wp:docPr id="3244" name="Imagen 324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22 of the 2000 Basic Principles and Guidelines on the Right to a Remedy and Reparation for Victims of Violations of International Human Rights and Humanitarian Law provides:</w:t>
      </w:r>
      <w:r w:rsidRPr="00BE407E">
        <w:rPr>
          <w:rFonts w:ascii="Times New Roman" w:eastAsia="Times New Roman" w:hAnsi="Times New Roman" w:cs="Times New Roman"/>
          <w:sz w:val="24"/>
          <w:szCs w:val="24"/>
        </w:rPr>
        <w:br/>
        <w:t>Restitution should, whenever possible, restore the victim to the original situation before the violations of international human rights or humanitarian law occurred. Restitution includes: restoration of liberty, legal rights, social status, family life and citizenship; return to one’s place of residence; and restoration of employment and return of property.</w:t>
      </w:r>
      <w:r>
        <w:rPr>
          <w:rFonts w:ascii="Times New Roman" w:eastAsia="Times New Roman" w:hAnsi="Times New Roman" w:cs="Times New Roman"/>
          <w:noProof/>
          <w:sz w:val="24"/>
          <w:szCs w:val="24"/>
        </w:rPr>
        <w:drawing>
          <wp:inline distT="0" distB="0" distL="0" distR="0">
            <wp:extent cx="151130" cy="142875"/>
            <wp:effectExtent l="19050" t="0" r="1270" b="0"/>
            <wp:docPr id="3245" name="Imagen 324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25 of the 2000 Basic Principles and Guidelines on the Right to a Remedy and Reparation for Victims of Violations of International Human Rights and Humanitarian Law provides:</w:t>
      </w:r>
      <w:r w:rsidRPr="00BE407E">
        <w:rPr>
          <w:rFonts w:ascii="Times New Roman" w:eastAsia="Times New Roman" w:hAnsi="Times New Roman" w:cs="Times New Roman"/>
          <w:sz w:val="24"/>
          <w:szCs w:val="24"/>
        </w:rPr>
        <w:br/>
        <w:t>Satisfaction and guarantees of non-repetition should include, where applicable, any or all of the following:</w:t>
      </w:r>
      <w:r w:rsidRPr="00BE407E">
        <w:rPr>
          <w:rFonts w:ascii="Times New Roman" w:eastAsia="Times New Roman" w:hAnsi="Times New Roman" w:cs="Times New Roman"/>
          <w:sz w:val="24"/>
          <w:szCs w:val="24"/>
        </w:rPr>
        <w:br/>
        <w:t>(a) Cessation of continuing violations;</w:t>
      </w:r>
      <w:r w:rsidRPr="00BE407E">
        <w:rPr>
          <w:rFonts w:ascii="Times New Roman" w:eastAsia="Times New Roman" w:hAnsi="Times New Roman" w:cs="Times New Roman"/>
          <w:sz w:val="24"/>
          <w:szCs w:val="24"/>
        </w:rPr>
        <w:br/>
        <w:t>(b) Verification of the facts and full and public disclosure of the truth to the extent that such disclosure does not cause further unnecessary harm or threaten the safety of the victim, witnesses, or others;</w:t>
      </w:r>
      <w:r w:rsidRPr="00BE407E">
        <w:rPr>
          <w:rFonts w:ascii="Times New Roman" w:eastAsia="Times New Roman" w:hAnsi="Times New Roman" w:cs="Times New Roman"/>
          <w:sz w:val="24"/>
          <w:szCs w:val="24"/>
        </w:rPr>
        <w:br/>
        <w:t>(c) The search for the bodies of those killed or disappeared and assistance in the identification and reburial of the bodies in accordance with the cultural practices of the families and communities;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(d) An official declaration or a judicial decision restoring the dignity, reputation and legal and social rights of the victim and of persons closely connected with the victim;</w:t>
      </w:r>
      <w:r w:rsidRPr="00BE407E">
        <w:rPr>
          <w:rFonts w:ascii="Times New Roman" w:eastAsia="Times New Roman" w:hAnsi="Times New Roman" w:cs="Times New Roman"/>
          <w:sz w:val="24"/>
          <w:szCs w:val="24"/>
        </w:rPr>
        <w:br/>
        <w:t>(e) Apology, including public acknowledgement of the facts and acceptance of responsibility;</w:t>
      </w:r>
      <w:r w:rsidRPr="00BE407E">
        <w:rPr>
          <w:rFonts w:ascii="Times New Roman" w:eastAsia="Times New Roman" w:hAnsi="Times New Roman" w:cs="Times New Roman"/>
          <w:sz w:val="24"/>
          <w:szCs w:val="24"/>
        </w:rPr>
        <w:br/>
        <w:t>(f) Judicial or administrative sanctions against persons responsible for the violations;</w:t>
      </w:r>
      <w:r w:rsidRPr="00BE407E">
        <w:rPr>
          <w:rFonts w:ascii="Times New Roman" w:eastAsia="Times New Roman" w:hAnsi="Times New Roman" w:cs="Times New Roman"/>
          <w:sz w:val="24"/>
          <w:szCs w:val="24"/>
        </w:rPr>
        <w:br/>
        <w:t>(g) Commemorations and tributes to the victims;</w:t>
      </w:r>
      <w:r w:rsidRPr="00BE407E">
        <w:rPr>
          <w:rFonts w:ascii="Times New Roman" w:eastAsia="Times New Roman" w:hAnsi="Times New Roman" w:cs="Times New Roman"/>
          <w:sz w:val="24"/>
          <w:szCs w:val="24"/>
        </w:rPr>
        <w:br/>
        <w:t>(h) Inclusion of an accurate account of the violations that occurred in international human rights and humanitarian law training and in educational material at all levels;</w:t>
      </w:r>
      <w:r w:rsidRPr="00BE407E">
        <w:rPr>
          <w:rFonts w:ascii="Times New Roman" w:eastAsia="Times New Roman" w:hAnsi="Times New Roman" w:cs="Times New Roman"/>
          <w:sz w:val="24"/>
          <w:szCs w:val="24"/>
        </w:rPr>
        <w:br/>
        <w:t>(i) Preventing the recurrence of violations.</w:t>
      </w:r>
      <w:r>
        <w:rPr>
          <w:rFonts w:ascii="Times New Roman" w:eastAsia="Times New Roman" w:hAnsi="Times New Roman" w:cs="Times New Roman"/>
          <w:noProof/>
          <w:sz w:val="24"/>
          <w:szCs w:val="24"/>
        </w:rPr>
        <w:drawing>
          <wp:inline distT="0" distB="0" distL="0" distR="0">
            <wp:extent cx="151130" cy="142875"/>
            <wp:effectExtent l="19050" t="0" r="1270" b="0"/>
            <wp:docPr id="3246" name="Imagen 324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ILC Draft Articles on State Responsibility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Article 34 of the 2001 ILC Draft Articles on State Responsibility, dealing with “Forms of reparation”, provides: “Full reparation for the injury caused by the internationally wrongful act shall take the form of restitution, compensation and satisfaction, either singly or in combination, in accordance with the provisions of this Chapter.”</w:t>
      </w:r>
      <w:r>
        <w:rPr>
          <w:rFonts w:ascii="Times New Roman" w:eastAsia="Times New Roman" w:hAnsi="Times New Roman" w:cs="Times New Roman"/>
          <w:noProof/>
          <w:sz w:val="24"/>
          <w:szCs w:val="24"/>
        </w:rPr>
        <w:drawing>
          <wp:inline distT="0" distB="0" distL="0" distR="0">
            <wp:extent cx="151130" cy="142875"/>
            <wp:effectExtent l="19050" t="0" r="1270" b="0"/>
            <wp:docPr id="3247" name="Imagen 324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35 of the 2001 ILC Draft Articles on State Responsibility, entitled “Restitution”, provides:</w:t>
      </w:r>
      <w:r w:rsidRPr="00BE407E">
        <w:rPr>
          <w:rFonts w:ascii="Times New Roman" w:eastAsia="Times New Roman" w:hAnsi="Times New Roman" w:cs="Times New Roman"/>
          <w:sz w:val="24"/>
          <w:szCs w:val="24"/>
        </w:rPr>
        <w:br/>
        <w:t>A State responsible for an internationally wrongful act is under an obligation to make restitution, that is, to re-establish the situation which existed before the wrongful act was committed, provided and to the extent that restitution:</w:t>
      </w:r>
      <w:r w:rsidRPr="00BE407E">
        <w:rPr>
          <w:rFonts w:ascii="Times New Roman" w:eastAsia="Times New Roman" w:hAnsi="Times New Roman" w:cs="Times New Roman"/>
          <w:sz w:val="24"/>
          <w:szCs w:val="24"/>
        </w:rPr>
        <w:br/>
        <w:t>a) Is not materially impossible;</w:t>
      </w:r>
      <w:r w:rsidRPr="00BE407E">
        <w:rPr>
          <w:rFonts w:ascii="Times New Roman" w:eastAsia="Times New Roman" w:hAnsi="Times New Roman" w:cs="Times New Roman"/>
          <w:sz w:val="24"/>
          <w:szCs w:val="24"/>
        </w:rPr>
        <w:br/>
        <w:t>b) Does not involve a burden out of all proportion to the benefit deriving from restitution instead of compensation.</w:t>
      </w:r>
      <w:r>
        <w:rPr>
          <w:rFonts w:ascii="Times New Roman" w:eastAsia="Times New Roman" w:hAnsi="Times New Roman" w:cs="Times New Roman"/>
          <w:noProof/>
          <w:sz w:val="24"/>
          <w:szCs w:val="24"/>
        </w:rPr>
        <w:drawing>
          <wp:inline distT="0" distB="0" distL="0" distR="0">
            <wp:extent cx="151130" cy="142875"/>
            <wp:effectExtent l="19050" t="0" r="1270" b="0"/>
            <wp:docPr id="3248" name="Imagen 324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Article 37 of the 2001 ILC Draft Articles on State Responsibility, entitled “Satisfaction”, provides:</w:t>
      </w:r>
      <w:r w:rsidRPr="00BE407E">
        <w:rPr>
          <w:rFonts w:ascii="Times New Roman" w:eastAsia="Times New Roman" w:hAnsi="Times New Roman" w:cs="Times New Roman"/>
          <w:sz w:val="24"/>
          <w:szCs w:val="24"/>
        </w:rPr>
        <w:br/>
        <w:t>1. The State responsible for an internationally wrongful act is under an obligation to give satisfaction for the injury caused by that act insofar as it cannot be made good by restitution or compensation.</w:t>
      </w:r>
      <w:r w:rsidRPr="00BE407E">
        <w:rPr>
          <w:rFonts w:ascii="Times New Roman" w:eastAsia="Times New Roman" w:hAnsi="Times New Roman" w:cs="Times New Roman"/>
          <w:sz w:val="24"/>
          <w:szCs w:val="24"/>
        </w:rPr>
        <w:br/>
        <w:t>2. Satisfaction may consist in an acknowledgement of the breach, an expression of regret, a formal apology or another appropriate modality.</w:t>
      </w:r>
      <w:r w:rsidRPr="00BE407E">
        <w:rPr>
          <w:rFonts w:ascii="Times New Roman" w:eastAsia="Times New Roman" w:hAnsi="Times New Roman" w:cs="Times New Roman"/>
          <w:sz w:val="24"/>
          <w:szCs w:val="24"/>
        </w:rPr>
        <w:br/>
        <w:t>3. Satisfaction shall not be out of proportion to the injury and may not take a form humiliating to the responsible State.</w:t>
      </w:r>
      <w:r>
        <w:rPr>
          <w:rFonts w:ascii="Times New Roman" w:eastAsia="Times New Roman" w:hAnsi="Times New Roman" w:cs="Times New Roman"/>
          <w:noProof/>
          <w:sz w:val="24"/>
          <w:szCs w:val="24"/>
        </w:rPr>
        <w:drawing>
          <wp:inline distT="0" distB="0" distL="0" distR="0">
            <wp:extent cx="151130" cy="142875"/>
            <wp:effectExtent l="19050" t="0" r="1270" b="0"/>
            <wp:docPr id="3249" name="Imagen 324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Linas-Marcoussis Agreement between the political forces of Côte d’Ivoire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2003 Linas-Marcoussis Agreement between the political forces of Côte d’Ivoire provides:</w:t>
      </w:r>
      <w:r w:rsidRPr="00BE407E">
        <w:rPr>
          <w:rFonts w:ascii="Times New Roman" w:eastAsia="Times New Roman" w:hAnsi="Times New Roman" w:cs="Times New Roman"/>
          <w:sz w:val="24"/>
          <w:szCs w:val="24"/>
        </w:rPr>
        <w:br/>
        <w:t>The government of national reconciliation shall commit itself to facilitating humanitarian operations in favour of all the victims of the conflict throughout the national territory.</w:t>
      </w:r>
      <w:r w:rsidRPr="00BE407E">
        <w:rPr>
          <w:rFonts w:ascii="Times New Roman" w:eastAsia="Times New Roman" w:hAnsi="Times New Roman" w:cs="Times New Roman"/>
          <w:sz w:val="24"/>
          <w:szCs w:val="24"/>
        </w:rPr>
        <w:br/>
        <w:t>On the basis of the report of the national human rights commission, it will take measures to indemnify and rehabilitate the victims.</w:t>
      </w:r>
      <w:r>
        <w:rPr>
          <w:rFonts w:ascii="Times New Roman" w:eastAsia="Times New Roman" w:hAnsi="Times New Roman" w:cs="Times New Roman"/>
          <w:noProof/>
          <w:sz w:val="24"/>
          <w:szCs w:val="24"/>
        </w:rPr>
        <w:drawing>
          <wp:inline distT="0" distB="0" distL="0" distR="0">
            <wp:extent cx="151130" cy="142875"/>
            <wp:effectExtent l="19050" t="0" r="1270" b="0"/>
            <wp:docPr id="3250" name="Imagen 325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Basic Principles and Guidelines on the Right to a Remedy and Reparation for Victims of Gross Violations of International Human Rights Law and Serious Violations of IHL (2005)</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Paragraphs 18 to 23 of the 2005 Basic Principles and Guidelines on the Right to a Remedy and Reparation for Victims of Gross Violations of International Human Rights Law and Serious Violations of International Humanitarian Law state:</w:t>
      </w:r>
      <w:r w:rsidRPr="00BE407E">
        <w:rPr>
          <w:rFonts w:ascii="Times New Roman" w:eastAsia="Times New Roman" w:hAnsi="Times New Roman" w:cs="Times New Roman"/>
          <w:sz w:val="24"/>
          <w:szCs w:val="24"/>
        </w:rPr>
        <w:br/>
        <w:t xml:space="preserve">18. In accordance with domestic law and international law, and taking account of individual circumstances, victims of gross violations of international human rights law and serious violations of international humanitarian law should, as appropriate and proportional to the gravity of the violation and the circumstances of each case, be provided with full and effective reparation, as laid out in principles 19 to 23, which </w:t>
      </w:r>
      <w:r w:rsidRPr="00BE407E">
        <w:rPr>
          <w:rFonts w:ascii="Times New Roman" w:eastAsia="Times New Roman" w:hAnsi="Times New Roman" w:cs="Times New Roman"/>
          <w:sz w:val="24"/>
          <w:szCs w:val="24"/>
        </w:rPr>
        <w:lastRenderedPageBreak/>
        <w:t>include the following forms: restitution, compensation, rehabilitation, satisfaction and guarantees of non-repetition.</w:t>
      </w:r>
      <w:r w:rsidRPr="00BE407E">
        <w:rPr>
          <w:rFonts w:ascii="Times New Roman" w:eastAsia="Times New Roman" w:hAnsi="Times New Roman" w:cs="Times New Roman"/>
          <w:sz w:val="24"/>
          <w:szCs w:val="24"/>
        </w:rPr>
        <w:br/>
        <w:t xml:space="preserve">19. </w:t>
      </w:r>
      <w:r w:rsidRPr="00BE407E">
        <w:rPr>
          <w:rFonts w:ascii="Times New Roman" w:eastAsia="Times New Roman" w:hAnsi="Times New Roman" w:cs="Times New Roman"/>
          <w:i/>
          <w:iCs/>
          <w:sz w:val="24"/>
          <w:szCs w:val="24"/>
        </w:rPr>
        <w:t xml:space="preserve">Restitution </w:t>
      </w:r>
      <w:r w:rsidRPr="00BE407E">
        <w:rPr>
          <w:rFonts w:ascii="Times New Roman" w:eastAsia="Times New Roman" w:hAnsi="Times New Roman" w:cs="Times New Roman"/>
          <w:sz w:val="24"/>
          <w:szCs w:val="24"/>
        </w:rPr>
        <w:t>should, whenever possible, restore the victim to the original situation before the gross violations of international human rights law or serious violations of international humanitarian law occurred. Restitution includes, as appropriate: restoration of liberty, enjoyment of human rights, identity, family life and citizenship, return to one’s place of residence, restoration of employment and return of property.</w:t>
      </w:r>
      <w:r w:rsidRPr="00BE407E">
        <w:rPr>
          <w:rFonts w:ascii="Times New Roman" w:eastAsia="Times New Roman" w:hAnsi="Times New Roman" w:cs="Times New Roman"/>
          <w:sz w:val="24"/>
          <w:szCs w:val="24"/>
        </w:rPr>
        <w:br/>
        <w:t xml:space="preserve">[20. </w:t>
      </w:r>
      <w:r w:rsidRPr="00BE407E">
        <w:rPr>
          <w:rFonts w:ascii="Times New Roman" w:eastAsia="Times New Roman" w:hAnsi="Times New Roman" w:cs="Times New Roman"/>
          <w:i/>
          <w:iCs/>
          <w:sz w:val="24"/>
          <w:szCs w:val="24"/>
        </w:rPr>
        <w:t>Compensation</w:t>
      </w:r>
      <w:r w:rsidRPr="00BE407E">
        <w:rPr>
          <w:rFonts w:ascii="Times New Roman" w:eastAsia="Times New Roman" w:hAnsi="Times New Roman" w:cs="Times New Roman"/>
          <w:sz w:val="24"/>
          <w:szCs w:val="24"/>
        </w:rPr>
        <w:t>…] [see under Section B above]</w:t>
      </w:r>
      <w:r w:rsidRPr="00BE407E">
        <w:rPr>
          <w:rFonts w:ascii="Times New Roman" w:eastAsia="Times New Roman" w:hAnsi="Times New Roman" w:cs="Times New Roman"/>
          <w:sz w:val="24"/>
          <w:szCs w:val="24"/>
        </w:rPr>
        <w:br/>
        <w:t xml:space="preserve">21. </w:t>
      </w:r>
      <w:r w:rsidRPr="00BE407E">
        <w:rPr>
          <w:rFonts w:ascii="Times New Roman" w:eastAsia="Times New Roman" w:hAnsi="Times New Roman" w:cs="Times New Roman"/>
          <w:i/>
          <w:iCs/>
          <w:sz w:val="24"/>
          <w:szCs w:val="24"/>
        </w:rPr>
        <w:t xml:space="preserve">Rehabilitation </w:t>
      </w:r>
      <w:r w:rsidRPr="00BE407E">
        <w:rPr>
          <w:rFonts w:ascii="Times New Roman" w:eastAsia="Times New Roman" w:hAnsi="Times New Roman" w:cs="Times New Roman"/>
          <w:sz w:val="24"/>
          <w:szCs w:val="24"/>
        </w:rPr>
        <w:t>should include medical and psychological care as well as legal and social services.</w:t>
      </w:r>
      <w:r w:rsidRPr="00BE407E">
        <w:rPr>
          <w:rFonts w:ascii="Times New Roman" w:eastAsia="Times New Roman" w:hAnsi="Times New Roman" w:cs="Times New Roman"/>
          <w:sz w:val="24"/>
          <w:szCs w:val="24"/>
        </w:rPr>
        <w:br/>
        <w:t xml:space="preserve">22. </w:t>
      </w:r>
      <w:r w:rsidRPr="00BE407E">
        <w:rPr>
          <w:rFonts w:ascii="Times New Roman" w:eastAsia="Times New Roman" w:hAnsi="Times New Roman" w:cs="Times New Roman"/>
          <w:i/>
          <w:iCs/>
          <w:sz w:val="24"/>
          <w:szCs w:val="24"/>
        </w:rPr>
        <w:t xml:space="preserve">Satisfaction </w:t>
      </w:r>
      <w:r w:rsidRPr="00BE407E">
        <w:rPr>
          <w:rFonts w:ascii="Times New Roman" w:eastAsia="Times New Roman" w:hAnsi="Times New Roman" w:cs="Times New Roman"/>
          <w:sz w:val="24"/>
          <w:szCs w:val="24"/>
        </w:rPr>
        <w:t>should include, where applicable, any or all of the following:</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Effective measures aimed at the cessation of continuing violations;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Verification of the facts and full and public disclosure of the truth to the extent that such disclosure does not cause further harm or threaten the safety and interests of the victim, the victim’s relatives, witnesses, or persons who have intervened to assist the victim or prevent the occurrence of further violations;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The search for the whereabouts of the disappeared, for the identities of the children abducted, and for the bodies of those killed, and assistance in the recovery, identification and reburial of the bodies in accordance with the expressed or presumed wish of the victims, or the cultural practices of the families and communities;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d</w:t>
      </w:r>
      <w:r w:rsidRPr="00BE407E">
        <w:rPr>
          <w:rFonts w:ascii="Times New Roman" w:eastAsia="Times New Roman" w:hAnsi="Times New Roman" w:cs="Times New Roman"/>
          <w:sz w:val="24"/>
          <w:szCs w:val="24"/>
        </w:rPr>
        <w:t>) An official declaration or a judicial decision restoring the dignity, the reputation and the rights of the victim and of persons closely connected with the victim;</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e</w:t>
      </w:r>
      <w:r w:rsidRPr="00BE407E">
        <w:rPr>
          <w:rFonts w:ascii="Times New Roman" w:eastAsia="Times New Roman" w:hAnsi="Times New Roman" w:cs="Times New Roman"/>
          <w:sz w:val="24"/>
          <w:szCs w:val="24"/>
        </w:rPr>
        <w:t>) Public apology, including acknowledgement of the facts and acceptance of responsibility;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f</w:t>
      </w:r>
      <w:r w:rsidRPr="00BE407E">
        <w:rPr>
          <w:rFonts w:ascii="Times New Roman" w:eastAsia="Times New Roman" w:hAnsi="Times New Roman" w:cs="Times New Roman"/>
          <w:sz w:val="24"/>
          <w:szCs w:val="24"/>
        </w:rPr>
        <w:t>) Judicial and administrative sanctions against persons liable for the violations;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g</w:t>
      </w:r>
      <w:r w:rsidRPr="00BE407E">
        <w:rPr>
          <w:rFonts w:ascii="Times New Roman" w:eastAsia="Times New Roman" w:hAnsi="Times New Roman" w:cs="Times New Roman"/>
          <w:sz w:val="24"/>
          <w:szCs w:val="24"/>
        </w:rPr>
        <w:t>) Commemorations and tributes to the victims;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h</w:t>
      </w:r>
      <w:r w:rsidRPr="00BE407E">
        <w:rPr>
          <w:rFonts w:ascii="Times New Roman" w:eastAsia="Times New Roman" w:hAnsi="Times New Roman" w:cs="Times New Roman"/>
          <w:sz w:val="24"/>
          <w:szCs w:val="24"/>
        </w:rPr>
        <w:t>) Inclusion of an accurate account of the violations that occurred in international human rights law and international humanitarian law training and in educational material at all levels.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23. </w:t>
      </w:r>
      <w:r w:rsidRPr="00BE407E">
        <w:rPr>
          <w:rFonts w:ascii="Times New Roman" w:eastAsia="Times New Roman" w:hAnsi="Times New Roman" w:cs="Times New Roman"/>
          <w:i/>
          <w:iCs/>
          <w:sz w:val="24"/>
          <w:szCs w:val="24"/>
        </w:rPr>
        <w:t xml:space="preserve">Guarantees of non-repetition </w:t>
      </w:r>
      <w:r w:rsidRPr="00BE407E">
        <w:rPr>
          <w:rFonts w:ascii="Times New Roman" w:eastAsia="Times New Roman" w:hAnsi="Times New Roman" w:cs="Times New Roman"/>
          <w:sz w:val="24"/>
          <w:szCs w:val="24"/>
        </w:rPr>
        <w:t>should include, where applicable, any or all of the following measures, which will also contribute to prevention: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a</w:t>
      </w:r>
      <w:r w:rsidRPr="00BE407E">
        <w:rPr>
          <w:rFonts w:ascii="Times New Roman" w:eastAsia="Times New Roman" w:hAnsi="Times New Roman" w:cs="Times New Roman"/>
          <w:sz w:val="24"/>
          <w:szCs w:val="24"/>
        </w:rPr>
        <w:t>) Ensuring effective civilian control of military and security forces;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b</w:t>
      </w:r>
      <w:r w:rsidRPr="00BE407E">
        <w:rPr>
          <w:rFonts w:ascii="Times New Roman" w:eastAsia="Times New Roman" w:hAnsi="Times New Roman" w:cs="Times New Roman"/>
          <w:sz w:val="24"/>
          <w:szCs w:val="24"/>
        </w:rPr>
        <w:t>) Ensuring that all civilian and military proceedings abide by international standards of due process, fairness and impartiality;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c</w:t>
      </w:r>
      <w:r w:rsidRPr="00BE407E">
        <w:rPr>
          <w:rFonts w:ascii="Times New Roman" w:eastAsia="Times New Roman" w:hAnsi="Times New Roman" w:cs="Times New Roman"/>
          <w:sz w:val="24"/>
          <w:szCs w:val="24"/>
        </w:rPr>
        <w:t>) Strengthening the independence of the judiciary;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d</w:t>
      </w:r>
      <w:r w:rsidRPr="00BE407E">
        <w:rPr>
          <w:rFonts w:ascii="Times New Roman" w:eastAsia="Times New Roman" w:hAnsi="Times New Roman" w:cs="Times New Roman"/>
          <w:sz w:val="24"/>
          <w:szCs w:val="24"/>
        </w:rPr>
        <w:t>) Protecting persons in the legal, medical and health-care professions, the media and other related professions, and human rights defenders;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e</w:t>
      </w:r>
      <w:r w:rsidRPr="00BE407E">
        <w:rPr>
          <w:rFonts w:ascii="Times New Roman" w:eastAsia="Times New Roman" w:hAnsi="Times New Roman" w:cs="Times New Roman"/>
          <w:sz w:val="24"/>
          <w:szCs w:val="24"/>
        </w:rPr>
        <w:t>) Providing, on a priority and continued basis, human rights and international humanitarian law education to all sectors of society and training for law enforcement officials as well as military and security forces;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f</w:t>
      </w:r>
      <w:r w:rsidRPr="00BE407E">
        <w:rPr>
          <w:rFonts w:ascii="Times New Roman" w:eastAsia="Times New Roman" w:hAnsi="Times New Roman" w:cs="Times New Roman"/>
          <w:sz w:val="24"/>
          <w:szCs w:val="24"/>
        </w:rPr>
        <w:t>) Promoting the observance of codes of conduct and ethical norms, in particular international standards, by public servants, including law enforcement, correctional, media, medical, psychological, social service and military personnel, as well as by economic enterprises;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g</w:t>
      </w:r>
      <w:r w:rsidRPr="00BE407E">
        <w:rPr>
          <w:rFonts w:ascii="Times New Roman" w:eastAsia="Times New Roman" w:hAnsi="Times New Roman" w:cs="Times New Roman"/>
          <w:sz w:val="24"/>
          <w:szCs w:val="24"/>
        </w:rPr>
        <w:t>) Promoting mechanisms for preventing and monitoring social conflicts and their resolution;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r w:rsidRPr="00BE407E">
        <w:rPr>
          <w:rFonts w:ascii="Times New Roman" w:eastAsia="Times New Roman" w:hAnsi="Times New Roman" w:cs="Times New Roman"/>
          <w:i/>
          <w:iCs/>
          <w:sz w:val="24"/>
          <w:szCs w:val="24"/>
        </w:rPr>
        <w:t>h</w:t>
      </w:r>
      <w:r w:rsidRPr="00BE407E">
        <w:rPr>
          <w:rFonts w:ascii="Times New Roman" w:eastAsia="Times New Roman" w:hAnsi="Times New Roman" w:cs="Times New Roman"/>
          <w:sz w:val="24"/>
          <w:szCs w:val="24"/>
        </w:rPr>
        <w:t>) Reviewing and reforming laws contributing to or allowing gross violations of international human rights law and serious violations of international humanitarian law.</w:t>
      </w:r>
      <w:r>
        <w:rPr>
          <w:rFonts w:ascii="Times New Roman" w:eastAsia="Times New Roman" w:hAnsi="Times New Roman" w:cs="Times New Roman"/>
          <w:noProof/>
          <w:sz w:val="24"/>
          <w:szCs w:val="24"/>
        </w:rPr>
        <w:drawing>
          <wp:inline distT="0" distB="0" distL="0" distR="0">
            <wp:extent cx="151130" cy="142875"/>
            <wp:effectExtent l="19050" t="0" r="1270" b="0"/>
            <wp:docPr id="3251" name="Imagen 325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[emphasis in original]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58" w:name="SectionC_IIMiMa"/>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fldChar w:fldCharType="begin"/>
      </w:r>
      <w:r w:rsidRPr="00BE407E">
        <w:rPr>
          <w:rFonts w:ascii="Times New Roman" w:eastAsia="Times New Roman" w:hAnsi="Times New Roman" w:cs="Times New Roman"/>
          <w:sz w:val="24"/>
          <w:szCs w:val="24"/>
        </w:rPr>
        <w:instrText xml:space="preserve"> HYPERLINK "javascript:openUrlLight('src_IIMiMa')"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III. Military Manuals</w:t>
      </w:r>
      <w:r w:rsidRPr="00BE407E">
        <w:rPr>
          <w:rFonts w:ascii="Times New Roman" w:eastAsia="Times New Roman" w:hAnsi="Times New Roman" w:cs="Times New Roman"/>
          <w:sz w:val="24"/>
          <w:szCs w:val="24"/>
        </w:rPr>
        <w:fldChar w:fldCharType="end"/>
      </w:r>
      <w:bookmarkEnd w:id="458"/>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Chad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Chad’s Instructor’s Manual (2006) states: “Civilian property requisitioned for military purposes must be handed back to the parties concerned at the end of the hostilities.”</w:t>
      </w:r>
      <w:r>
        <w:rPr>
          <w:rFonts w:ascii="Times New Roman" w:eastAsia="Times New Roman" w:hAnsi="Times New Roman" w:cs="Times New Roman"/>
          <w:noProof/>
          <w:sz w:val="24"/>
          <w:szCs w:val="24"/>
        </w:rPr>
        <w:drawing>
          <wp:inline distT="0" distB="0" distL="0" distR="0">
            <wp:extent cx="151130" cy="142875"/>
            <wp:effectExtent l="19050" t="0" r="1270" b="0"/>
            <wp:docPr id="3252" name="Imagen 325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Hungary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Hungary’s Military Manual (1992), in a section entitled “Measures required after a conflict”, requires the restoration of “normal conditions” and provides for the “return [of] … objects” and the “return [of] cultural objects”.</w:t>
      </w:r>
      <w:r>
        <w:rPr>
          <w:rFonts w:ascii="Times New Roman" w:eastAsia="Times New Roman" w:hAnsi="Times New Roman" w:cs="Times New Roman"/>
          <w:noProof/>
          <w:sz w:val="24"/>
          <w:szCs w:val="24"/>
        </w:rPr>
        <w:drawing>
          <wp:inline distT="0" distB="0" distL="0" distR="0">
            <wp:extent cx="151130" cy="142875"/>
            <wp:effectExtent l="19050" t="0" r="1270" b="0"/>
            <wp:docPr id="3253" name="Imagen 325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Philippines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Joint Circular on Adherence to IHL and Human Rights (1991) of the Philippines states that in the case of damage to private property in the course of legitimate security or police operations, “measures shall be undertaken whenever practicable … to repair the damage caused”.</w:t>
      </w:r>
      <w:r>
        <w:rPr>
          <w:rFonts w:ascii="Times New Roman" w:eastAsia="Times New Roman" w:hAnsi="Times New Roman" w:cs="Times New Roman"/>
          <w:noProof/>
          <w:sz w:val="24"/>
          <w:szCs w:val="24"/>
        </w:rPr>
        <w:drawing>
          <wp:inline distT="0" distB="0" distL="0" distR="0">
            <wp:extent cx="151130" cy="142875"/>
            <wp:effectExtent l="19050" t="0" r="1270" b="0"/>
            <wp:docPr id="3254" name="Imagen 325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US Field Manual (1956), under the heading “Remedies of Injured Belligerent”, provides:</w:t>
      </w:r>
      <w:r w:rsidRPr="00BE407E">
        <w:rPr>
          <w:rFonts w:ascii="Times New Roman" w:eastAsia="Times New Roman" w:hAnsi="Times New Roman" w:cs="Times New Roman"/>
          <w:sz w:val="24"/>
          <w:szCs w:val="24"/>
        </w:rPr>
        <w:br/>
        <w:t>In the event of [a] violation of the law of war, the injured party may legally resort to remedial action of the following types: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Publication of the facts, with a view to influencing public opinion against the offending belligerent.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Protest … and/or punishment of the individual offenders. Such communications may be sent through the protecting power, a humanitarian organization performing the duties of a protecting power, or a neutral state, or by parlementaire direct to the commander of the offending forces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Solicitation of the good offices, mediation, or intervention of neutral States for the purpose of making the enemy observe the law of war.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Punishment of captured offenders as war criminals.</w:t>
      </w:r>
      <w:r>
        <w:rPr>
          <w:rFonts w:ascii="Times New Roman" w:eastAsia="Times New Roman" w:hAnsi="Times New Roman" w:cs="Times New Roman"/>
          <w:noProof/>
          <w:sz w:val="24"/>
          <w:szCs w:val="24"/>
        </w:rPr>
        <w:drawing>
          <wp:inline distT="0" distB="0" distL="0" distR="0">
            <wp:extent cx="151130" cy="142875"/>
            <wp:effectExtent l="19050" t="0" r="1270" b="0"/>
            <wp:docPr id="3255" name="Imagen 325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59" w:name="SectionC_IVNaLe"/>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"javascript:openUrlLight('src_IVNaLe')"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IV. National Legislation</w:t>
      </w:r>
      <w:r w:rsidRPr="00BE407E">
        <w:rPr>
          <w:rFonts w:ascii="Times New Roman" w:eastAsia="Times New Roman" w:hAnsi="Times New Roman" w:cs="Times New Roman"/>
          <w:sz w:val="24"/>
          <w:szCs w:val="24"/>
        </w:rPr>
        <w:fldChar w:fldCharType="end"/>
      </w:r>
      <w:bookmarkEnd w:id="459"/>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Austria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2001, Austria adopted the General Settlement Fund Law (which was later amended) which provides: “An Arbitration Panel for the examination of applications for </w:t>
      </w:r>
      <w:r w:rsidRPr="00BE407E">
        <w:rPr>
          <w:rFonts w:ascii="Times New Roman" w:eastAsia="Times New Roman" w:hAnsi="Times New Roman" w:cs="Times New Roman"/>
          <w:i/>
          <w:iCs/>
          <w:sz w:val="24"/>
          <w:szCs w:val="24"/>
        </w:rPr>
        <w:t>in rem</w:t>
      </w:r>
      <w:r w:rsidRPr="00BE407E">
        <w:rPr>
          <w:rFonts w:ascii="Times New Roman" w:eastAsia="Times New Roman" w:hAnsi="Times New Roman" w:cs="Times New Roman"/>
          <w:sz w:val="24"/>
          <w:szCs w:val="24"/>
        </w:rPr>
        <w:t xml:space="preserve"> restitution of publicly-owned property shall be established with the fund.”</w:t>
      </w:r>
      <w:r>
        <w:rPr>
          <w:rFonts w:ascii="Times New Roman" w:eastAsia="Times New Roman" w:hAnsi="Times New Roman" w:cs="Times New Roman"/>
          <w:noProof/>
          <w:sz w:val="24"/>
          <w:szCs w:val="24"/>
        </w:rPr>
        <w:drawing>
          <wp:inline distT="0" distB="0" distL="0" distR="0">
            <wp:extent cx="151130" cy="142875"/>
            <wp:effectExtent l="19050" t="0" r="1270" b="0"/>
            <wp:docPr id="3256" name="Imagen 325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(1) Persons and associations who/which were persecuted by the National Socialist regime on political grounds, on grounds of origin, religion, sexual orientation, or of physical or mental handicap, or of accusations of so-called asociality, or who left the country to escape such persecution, and who suffered losses or damages as a result of or in connection with events having occurred on the territory of the present-day Republic of Austria during the National Socialist era shall be eligible to file an application.</w:t>
      </w:r>
      <w:r w:rsidRPr="00BE407E">
        <w:rPr>
          <w:rFonts w:ascii="Times New Roman" w:eastAsia="Times New Roman" w:hAnsi="Times New Roman" w:cs="Times New Roman"/>
          <w:sz w:val="24"/>
          <w:szCs w:val="24"/>
        </w:rPr>
        <w:br/>
        <w:t>(2) In addition … heirs of eligible claimants as defined in Paragraph 1 shall also be eligible to file an application. In case of a defunct association, an association which the Arbitration Panel regards as the legal successor shall be entitled to file an application as well.</w:t>
      </w:r>
      <w:r>
        <w:rPr>
          <w:rFonts w:ascii="Times New Roman" w:eastAsia="Times New Roman" w:hAnsi="Times New Roman" w:cs="Times New Roman"/>
          <w:noProof/>
          <w:sz w:val="24"/>
          <w:szCs w:val="24"/>
        </w:rPr>
        <w:drawing>
          <wp:inline distT="0" distB="0" distL="0" distR="0">
            <wp:extent cx="151130" cy="142875"/>
            <wp:effectExtent l="19050" t="0" r="1270" b="0"/>
            <wp:docPr id="3257" name="Imagen 325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(1) For the purposes of </w:t>
      </w:r>
      <w:r w:rsidRPr="00BE407E">
        <w:rPr>
          <w:rFonts w:ascii="Times New Roman" w:eastAsia="Times New Roman" w:hAnsi="Times New Roman" w:cs="Times New Roman"/>
          <w:i/>
          <w:iCs/>
          <w:sz w:val="24"/>
          <w:szCs w:val="24"/>
        </w:rPr>
        <w:t>in rem</w:t>
      </w:r>
      <w:r w:rsidRPr="00BE407E">
        <w:rPr>
          <w:rFonts w:ascii="Times New Roman" w:eastAsia="Times New Roman" w:hAnsi="Times New Roman" w:cs="Times New Roman"/>
          <w:sz w:val="24"/>
          <w:szCs w:val="24"/>
        </w:rPr>
        <w:t xml:space="preserve"> restitution, the notion of “publicly-owned property” shall cover … real estate (land) and buildings (superstructures) …</w:t>
      </w:r>
      <w:r w:rsidRPr="00BE407E">
        <w:rPr>
          <w:rFonts w:ascii="Times New Roman" w:eastAsia="Times New Roman" w:hAnsi="Times New Roman" w:cs="Times New Roman"/>
          <w:sz w:val="24"/>
          <w:szCs w:val="24"/>
        </w:rPr>
        <w:br/>
        <w:t xml:space="preserve">(2) For the purposes of </w:t>
      </w:r>
      <w:r w:rsidRPr="00BE407E">
        <w:rPr>
          <w:rFonts w:ascii="Times New Roman" w:eastAsia="Times New Roman" w:hAnsi="Times New Roman" w:cs="Times New Roman"/>
          <w:i/>
          <w:iCs/>
          <w:sz w:val="24"/>
          <w:szCs w:val="24"/>
        </w:rPr>
        <w:t>in rem</w:t>
      </w:r>
      <w:r w:rsidRPr="00BE407E">
        <w:rPr>
          <w:rFonts w:ascii="Times New Roman" w:eastAsia="Times New Roman" w:hAnsi="Times New Roman" w:cs="Times New Roman"/>
          <w:sz w:val="24"/>
          <w:szCs w:val="24"/>
        </w:rPr>
        <w:t xml:space="preserve"> restitution to Jewish communal organizations, the notion “publicly-owned property” shall furthermore cover tangible movable property, particularly cultural and religious items.</w:t>
      </w:r>
      <w:r>
        <w:rPr>
          <w:rFonts w:ascii="Times New Roman" w:eastAsia="Times New Roman" w:hAnsi="Times New Roman" w:cs="Times New Roman"/>
          <w:noProof/>
          <w:sz w:val="24"/>
          <w:szCs w:val="24"/>
        </w:rPr>
        <w:drawing>
          <wp:inline distT="0" distB="0" distL="0" distR="0">
            <wp:extent cx="151130" cy="142875"/>
            <wp:effectExtent l="19050" t="0" r="1270" b="0"/>
            <wp:docPr id="3258" name="Imagen 325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Germany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Since the end of the Second World War, Germany has adopted several laws related to reparation and restitution for victims of the war and the holocaust, for example the Federal Restitution Law (1957), as amended.</w:t>
      </w:r>
      <w:r>
        <w:rPr>
          <w:rFonts w:ascii="Times New Roman" w:eastAsia="Times New Roman" w:hAnsi="Times New Roman" w:cs="Times New Roman"/>
          <w:noProof/>
          <w:sz w:val="24"/>
          <w:szCs w:val="24"/>
        </w:rPr>
        <w:drawing>
          <wp:inline distT="0" distB="0" distL="0" distR="0">
            <wp:extent cx="151130" cy="142875"/>
            <wp:effectExtent l="19050" t="0" r="1270" b="0"/>
            <wp:docPr id="3259" name="Imagen 325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Law Creating the Comprehensive Reparations Plan (2005) states:</w:t>
      </w:r>
      <w:r w:rsidRPr="00BE407E">
        <w:rPr>
          <w:rFonts w:ascii="Times New Roman" w:eastAsia="Times New Roman" w:hAnsi="Times New Roman" w:cs="Times New Roman"/>
          <w:sz w:val="24"/>
          <w:szCs w:val="24"/>
        </w:rPr>
        <w:br/>
        <w:t>The Comprehensive Reparations Plan comprises the following programmes: a) Programme on the Restitution of Citizens’ Rights. b) Programme of Reparations dealing with Education. c) Programme of Reparations dealing with Health. d) Collective Reparations Programme. e) Symbolic Reparations Programme. f) Programme for the Promotion and Facilitation of Access to Housing. g) Other programmes to be approved by the Multi-Sectoral Commission.</w:t>
      </w:r>
      <w:r>
        <w:rPr>
          <w:rFonts w:ascii="Times New Roman" w:eastAsia="Times New Roman" w:hAnsi="Times New Roman" w:cs="Times New Roman"/>
          <w:noProof/>
          <w:sz w:val="24"/>
          <w:szCs w:val="24"/>
        </w:rPr>
        <w:drawing>
          <wp:inline distT="0" distB="0" distL="0" distR="0">
            <wp:extent cx="151130" cy="142875"/>
            <wp:effectExtent l="19050" t="0" r="1270" b="0"/>
            <wp:docPr id="3260" name="Imagen 326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purpose of the present law is to create the legal framework for the Comprehensive Reparations Plan – CRP for victims of the violence that took place between May 1980 and November 2000 in accordance with the conclusions and recommendations in the report of the Truth and Reconciliation Commission.</w:t>
      </w:r>
      <w:r>
        <w:rPr>
          <w:rFonts w:ascii="Times New Roman" w:eastAsia="Times New Roman" w:hAnsi="Times New Roman" w:cs="Times New Roman"/>
          <w:noProof/>
          <w:sz w:val="24"/>
          <w:szCs w:val="24"/>
        </w:rPr>
        <w:drawing>
          <wp:inline distT="0" distB="0" distL="0" distR="0">
            <wp:extent cx="151130" cy="142875"/>
            <wp:effectExtent l="19050" t="0" r="1270" b="0"/>
            <wp:docPr id="3261" name="Imagen 326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Peru’s Regulations to the Law Creating the Comprehensive Reparations Plan (2006) states:</w:t>
      </w:r>
      <w:r w:rsidRPr="00BE407E">
        <w:rPr>
          <w:rFonts w:ascii="Times New Roman" w:eastAsia="Times New Roman" w:hAnsi="Times New Roman" w:cs="Times New Roman"/>
          <w:sz w:val="24"/>
          <w:szCs w:val="24"/>
        </w:rPr>
        <w:br/>
        <w:t>The Comprehensive Reparations Plan … has the following objectives: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b) To take measures for the restitution and full exercise of the civil rights of victims of the process of violence.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To contribute to the recovery of conditions, capacities and opportunities for personal development lost by victims as a consequence of the process of violence.</w:t>
      </w:r>
      <w:r>
        <w:rPr>
          <w:rFonts w:ascii="Times New Roman" w:eastAsia="Times New Roman" w:hAnsi="Times New Roman" w:cs="Times New Roman"/>
          <w:noProof/>
          <w:sz w:val="24"/>
          <w:szCs w:val="24"/>
        </w:rPr>
        <w:drawing>
          <wp:inline distT="0" distB="0" distL="0" distR="0">
            <wp:extent cx="151130" cy="142875"/>
            <wp:effectExtent l="19050" t="0" r="1270" b="0"/>
            <wp:docPr id="3262" name="Imagen 326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The objective of the Symbolic Reparations Programme is to contribute to the restoration of social ties that were broken by the process of violence between the State and its citizens and amongst citizens by publicly acknowledging the damage caused by the actions of subversive groups and by the acts or omissions of the State with a view to supporting national reconciliation.</w:t>
      </w:r>
      <w:r>
        <w:rPr>
          <w:rFonts w:ascii="Times New Roman" w:eastAsia="Times New Roman" w:hAnsi="Times New Roman" w:cs="Times New Roman"/>
          <w:noProof/>
          <w:sz w:val="24"/>
          <w:szCs w:val="24"/>
        </w:rPr>
        <w:drawing>
          <wp:inline distT="0" distB="0" distL="0" distR="0">
            <wp:extent cx="151130" cy="142875"/>
            <wp:effectExtent l="19050" t="0" r="1270" b="0"/>
            <wp:docPr id="3263" name="Imagen 326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The following constitute forms of symbolic reparation under the Symbolic Reparations programme: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a) Public gestures, including apologies to the country by State officials; letters to victims or their relatives; public events to publicize the Truth and Reconciliation Commission’s Report.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b) Acts of acknowledgment, including acknowledging all victims of the process of violence; the innocent who were imprisoned, social leaders and civilian authorities, members of the Armed Forces, National Police and local governments, members of the Self-Defence Committees, organizations of people affected by the process of violence and organizations committed to the defence of human rights and communities.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 Acts promoting reconciliation such as changing the symbols associated with the violence in the affected territories and changing the meaning of symbols associated with human rights violations such as closing and/or converting prisons associated with these violations, as proposed by the people affected and in coordination with them.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d) Remembering the names of those considered heroes in the achievement of peace, naming after them streets, public places, bridges, highways, a district or region, as proposed by the people affected and in coordination with them.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 The inclusion as Heroes for Peace of every dead victim registered in the RUV [Central Victims’ Register].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 Declaring 28 August as the Remembrance Day for the Victims of the Violence.</w:t>
      </w:r>
      <w:r>
        <w:rPr>
          <w:rFonts w:ascii="Times New Roman" w:eastAsia="Times New Roman" w:hAnsi="Times New Roman" w:cs="Times New Roman"/>
          <w:noProof/>
          <w:sz w:val="24"/>
          <w:szCs w:val="24"/>
        </w:rPr>
        <w:drawing>
          <wp:inline distT="0" distB="0" distL="0" distR="0">
            <wp:extent cx="151130" cy="142875"/>
            <wp:effectExtent l="19050" t="0" r="1270" b="0"/>
            <wp:docPr id="3264" name="Imagen 326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Spain’s Law on the Victims of the Civil War and the Dictatorship (2007) states under the heading “General Acknowledgement”:</w:t>
      </w:r>
      <w:r w:rsidRPr="00BE407E">
        <w:rPr>
          <w:rFonts w:ascii="Times New Roman" w:eastAsia="Times New Roman" w:hAnsi="Times New Roman" w:cs="Times New Roman"/>
          <w:sz w:val="24"/>
          <w:szCs w:val="24"/>
        </w:rPr>
        <w:br/>
        <w:t>As an expression of all citizens’ right to moral reparation and to the restoration of personal and family memory, the radically unjust nature of all convictions, sanctions, and all forms of personal violence suffered for political, ideological or religious reasons during the Civil War as well as during the Dictatorship is hereby acknowledged and declared.</w:t>
      </w:r>
      <w:r>
        <w:rPr>
          <w:rFonts w:ascii="Times New Roman" w:eastAsia="Times New Roman" w:hAnsi="Times New Roman" w:cs="Times New Roman"/>
          <w:noProof/>
          <w:sz w:val="24"/>
          <w:szCs w:val="24"/>
        </w:rPr>
        <w:drawing>
          <wp:inline distT="0" distB="0" distL="0" distR="0">
            <wp:extent cx="151130" cy="142875"/>
            <wp:effectExtent l="19050" t="0" r="1270" b="0"/>
            <wp:docPr id="3265" name="Imagen 326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1988, the United States passed the Law on Restitution for WWII Internment of Japanese-Americans and Aleuts (1988) (as amended), the purpose of which was,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to:</w:t>
      </w:r>
      <w:r w:rsidRPr="00BE407E">
        <w:rPr>
          <w:rFonts w:ascii="Times New Roman" w:eastAsia="Times New Roman" w:hAnsi="Times New Roman" w:cs="Times New Roman"/>
          <w:sz w:val="24"/>
          <w:szCs w:val="24"/>
        </w:rPr>
        <w:br/>
        <w:t>(1) acknowledge the fundamental injustice of the evacuation, relocation, and internment of United States citizens and permanent resident aliens of Japanese ancestry during World War II;</w:t>
      </w:r>
      <w:r w:rsidRPr="00BE407E">
        <w:rPr>
          <w:rFonts w:ascii="Times New Roman" w:eastAsia="Times New Roman" w:hAnsi="Times New Roman" w:cs="Times New Roman"/>
          <w:sz w:val="24"/>
          <w:szCs w:val="24"/>
        </w:rPr>
        <w:br/>
        <w:t>(2) apologize on behalf of the people of the United States [for these acts];</w:t>
      </w:r>
      <w:r w:rsidRPr="00BE407E">
        <w:rPr>
          <w:rFonts w:ascii="Times New Roman" w:eastAsia="Times New Roman" w:hAnsi="Times New Roman" w:cs="Times New Roman"/>
          <w:sz w:val="24"/>
          <w:szCs w:val="24"/>
        </w:rPr>
        <w:br/>
        <w:t>(3) provide for a public education fund to finance efforts to inform the public about the internment of such individuals so as to prevent the recurrence of any similar event;</w:t>
      </w:r>
      <w:r w:rsidRPr="00BE407E">
        <w:rPr>
          <w:rFonts w:ascii="Times New Roman" w:eastAsia="Times New Roman" w:hAnsi="Times New Roman" w:cs="Times New Roman"/>
          <w:sz w:val="24"/>
          <w:szCs w:val="24"/>
        </w:rPr>
        <w:br/>
        <w:t>(4) make restitution to those individuals of Japanese ancestry who were interned;</w:t>
      </w:r>
      <w:r w:rsidRPr="00BE407E">
        <w:rPr>
          <w:rFonts w:ascii="Times New Roman" w:eastAsia="Times New Roman" w:hAnsi="Times New Roman" w:cs="Times New Roman"/>
          <w:sz w:val="24"/>
          <w:szCs w:val="24"/>
        </w:rPr>
        <w:br/>
        <w:t>(5) make restitution to Aleut residents of the Pribilof Islands and the Aleutian Islands west of Unimark Island, in settlement of United States obligations in equity and at law, for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injustices suffered and unreasonable hardships endured while those Aleut residents were under United States control during World War II;</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personal property taken or destroyed by the United States forces during World War II;</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community property, including community church property, taken or destroyed by United States forces during World War II;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(D) traditional village islands on Attu Island not rehabilitated after World War II for Aleut occupation or other productive use;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(6) discourage the occurrence of similar injustices and violations of civil liberties in the future; and</w:t>
      </w:r>
      <w:r w:rsidRPr="00BE407E">
        <w:rPr>
          <w:rFonts w:ascii="Times New Roman" w:eastAsia="Times New Roman" w:hAnsi="Times New Roman" w:cs="Times New Roman"/>
          <w:sz w:val="24"/>
          <w:szCs w:val="24"/>
        </w:rPr>
        <w:br/>
        <w:t>(7) make more credible and sincere any declaration of concern by the United States over violations of human rights committed by other nations.</w:t>
      </w:r>
      <w:r>
        <w:rPr>
          <w:rFonts w:ascii="Times New Roman" w:eastAsia="Times New Roman" w:hAnsi="Times New Roman" w:cs="Times New Roman"/>
          <w:noProof/>
          <w:sz w:val="24"/>
          <w:szCs w:val="24"/>
        </w:rPr>
        <w:drawing>
          <wp:inline distT="0" distB="0" distL="0" distR="0">
            <wp:extent cx="151130" cy="142875"/>
            <wp:effectExtent l="19050" t="0" r="1270" b="0"/>
            <wp:docPr id="3266" name="Imagen 326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Each department and agency of the United States Government shall review with liberality, giving full consideration to the findings of the Commission and the statement of the Congress set forth in section 2(a) [section 1989a(a) of this Appendix], any application by an eligible individual for the restitution of any position, status, or entitlement lost in whole or in part because of any discriminatory act of the United States Government against such individual which was based upon the individual’s Japanese ancestry and which occurred during the evacuation, relocation, and internment period.</w:t>
      </w:r>
      <w:r>
        <w:rPr>
          <w:rFonts w:ascii="Times New Roman" w:eastAsia="Times New Roman" w:hAnsi="Times New Roman" w:cs="Times New Roman"/>
          <w:noProof/>
          <w:sz w:val="24"/>
          <w:szCs w:val="24"/>
        </w:rPr>
        <w:drawing>
          <wp:inline distT="0" distB="0" distL="0" distR="0">
            <wp:extent cx="151130" cy="142875"/>
            <wp:effectExtent l="19050" t="0" r="1270" b="0"/>
            <wp:docPr id="3267" name="Imagen 326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Uruguay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Uruguay’s Law on Cooperation with the ICC (2006) states: </w:t>
      </w:r>
      <w:r w:rsidRPr="00BE407E">
        <w:rPr>
          <w:rFonts w:ascii="Times New Roman" w:eastAsia="Times New Roman" w:hAnsi="Times New Roman" w:cs="Times New Roman"/>
          <w:sz w:val="24"/>
          <w:szCs w:val="24"/>
        </w:rPr>
        <w:br/>
        <w:t>14.1. The State shall be responsible for the reparation of victims of the crimes set out in Titles I to III of Part II of the present law committed in the territory of the Republic or abroad by agents of the State or by persons who were not agents of the State but who acted under the authorization, support or acquiescence of State agents.</w:t>
      </w:r>
      <w:r w:rsidRPr="00BE407E">
        <w:rPr>
          <w:rFonts w:ascii="Times New Roman" w:eastAsia="Times New Roman" w:hAnsi="Times New Roman" w:cs="Times New Roman"/>
          <w:sz w:val="24"/>
          <w:szCs w:val="24"/>
        </w:rPr>
        <w:br/>
        <w:t xml:space="preserve">14.2. The reparation of the victim must be comprehensive and include … restitution and rehabilitation and must be extended to the victim’s relatives or to the group or community to which the victim belongs. “Relatives” are understood as the group of </w:t>
      </w:r>
      <w:r w:rsidRPr="00BE407E">
        <w:rPr>
          <w:rFonts w:ascii="Times New Roman" w:eastAsia="Times New Roman" w:hAnsi="Times New Roman" w:cs="Times New Roman"/>
          <w:sz w:val="24"/>
          <w:szCs w:val="24"/>
        </w:rPr>
        <w:lastRenderedPageBreak/>
        <w:t>persons united by the bond of marriage or parenthood as well as by the act of cohabiting or maintaining a common form of life.</w:t>
      </w:r>
      <w:r>
        <w:rPr>
          <w:rFonts w:ascii="Times New Roman" w:eastAsia="Times New Roman" w:hAnsi="Times New Roman" w:cs="Times New Roman"/>
          <w:noProof/>
          <w:sz w:val="24"/>
          <w:szCs w:val="24"/>
        </w:rPr>
        <w:drawing>
          <wp:inline distT="0" distB="0" distL="0" distR="0">
            <wp:extent cx="151130" cy="142875"/>
            <wp:effectExtent l="19050" t="0" r="1270" b="0"/>
            <wp:docPr id="3268" name="Imagen 326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0" w:name="SectionC_VNaCa"/>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"javascript:openUrlLight('src_VNaCa')"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V. National Case-law</w:t>
      </w:r>
      <w:r w:rsidRPr="00BE407E">
        <w:rPr>
          <w:rFonts w:ascii="Times New Roman" w:eastAsia="Times New Roman" w:hAnsi="Times New Roman" w:cs="Times New Roman"/>
          <w:sz w:val="24"/>
          <w:szCs w:val="24"/>
        </w:rPr>
        <w:fldChar w:fldCharType="end"/>
      </w:r>
      <w:bookmarkEnd w:id="460"/>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Netherlands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the </w:t>
      </w:r>
      <w:r w:rsidRPr="00BE407E">
        <w:rPr>
          <w:rFonts w:ascii="Times New Roman" w:eastAsia="Times New Roman" w:hAnsi="Times New Roman" w:cs="Times New Roman"/>
          <w:i/>
          <w:iCs/>
          <w:sz w:val="24"/>
          <w:szCs w:val="24"/>
        </w:rPr>
        <w:t>J.T. case</w:t>
      </w:r>
      <w:r w:rsidRPr="00BE407E">
        <w:rPr>
          <w:rFonts w:ascii="Times New Roman" w:eastAsia="Times New Roman" w:hAnsi="Times New Roman" w:cs="Times New Roman"/>
          <w:sz w:val="24"/>
          <w:szCs w:val="24"/>
        </w:rPr>
        <w:t xml:space="preserve"> in 1949 in which an individual had sued the State for repayment of money taken by the police during the arrest of the claimant during the occupation of the Netherlands by the German army, the District Court of The Hague held that the State of the Netherlands must repay the money to the plaintiff. The Court held that it was true that the State was not liable for all acts committed by the resistance movement (</w:t>
      </w:r>
      <w:r w:rsidRPr="00BE407E">
        <w:rPr>
          <w:rFonts w:ascii="Times New Roman" w:eastAsia="Times New Roman" w:hAnsi="Times New Roman" w:cs="Times New Roman"/>
          <w:i/>
          <w:iCs/>
          <w:sz w:val="24"/>
          <w:szCs w:val="24"/>
        </w:rPr>
        <w:t>Binnenlandse Strijdkrachten</w:t>
      </w:r>
      <w:r w:rsidRPr="00BE407E">
        <w:rPr>
          <w:rFonts w:ascii="Times New Roman" w:eastAsia="Times New Roman" w:hAnsi="Times New Roman" w:cs="Times New Roman"/>
          <w:sz w:val="24"/>
          <w:szCs w:val="24"/>
        </w:rPr>
        <w:t>) which had been organized with the consent of the government in exile during the Second World War, but since it was definitely established that the money had come into the hands of the police, restitution had to be made.</w:t>
      </w:r>
      <w:r>
        <w:rPr>
          <w:rFonts w:ascii="Times New Roman" w:eastAsia="Times New Roman" w:hAnsi="Times New Roman" w:cs="Times New Roman"/>
          <w:noProof/>
          <w:sz w:val="24"/>
          <w:szCs w:val="24"/>
        </w:rPr>
        <w:drawing>
          <wp:inline distT="0" distB="0" distL="0" distR="0">
            <wp:extent cx="151130" cy="142875"/>
            <wp:effectExtent l="19050" t="0" r="1270" b="0"/>
            <wp:docPr id="3269" name="Imagen 326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1" w:name="SectionC_VIOtNaPr"/>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"javascript:openUrlLight('src_VIOtNaPr')"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VI. Other National Practice</w:t>
      </w:r>
      <w:r w:rsidRPr="00BE407E">
        <w:rPr>
          <w:rFonts w:ascii="Times New Roman" w:eastAsia="Times New Roman" w:hAnsi="Times New Roman" w:cs="Times New Roman"/>
          <w:sz w:val="24"/>
          <w:szCs w:val="24"/>
        </w:rPr>
        <w:fldChar w:fldCharType="end"/>
      </w:r>
      <w:bookmarkEnd w:id="461"/>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Bosnia and Herzegovina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in its oral pleadings before the ICJ in the Application of the Convention on the Prevention and Punishment of the Crime of Genocide case (Bosnia and Herzegovina v. Serbia and Montenegro), Bosnia and Herzegovina stated:</w:t>
      </w:r>
      <w:r w:rsidRPr="00BE407E">
        <w:rPr>
          <w:rFonts w:ascii="Times New Roman" w:eastAsia="Times New Roman" w:hAnsi="Times New Roman" w:cs="Times New Roman"/>
          <w:sz w:val="24"/>
          <w:szCs w:val="24"/>
        </w:rPr>
        <w:br/>
        <w:t>8. It is doubtless unnecessary, Madam President, to dwell on the general principles applicable – especially since, let me repeat, the Respondent did not challenge them when they were set out in some detail in the written pleadings of Bosnia and Herzegovina. Besides, they are well known and uncontroversial. It is therefore sufficient to recall that: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1. the basic principle, enunciated by the PCIJ [Permanent Court of International Justice] in the </w:t>
      </w:r>
      <w:r w:rsidRPr="00BE407E">
        <w:rPr>
          <w:rFonts w:ascii="Times New Roman" w:eastAsia="Times New Roman" w:hAnsi="Times New Roman" w:cs="Times New Roman"/>
          <w:i/>
          <w:iCs/>
          <w:sz w:val="24"/>
          <w:szCs w:val="24"/>
        </w:rPr>
        <w:t>Factory at Chorzów</w:t>
      </w:r>
      <w:r w:rsidRPr="00BE407E">
        <w:rPr>
          <w:rFonts w:ascii="Times New Roman" w:eastAsia="Times New Roman" w:hAnsi="Times New Roman" w:cs="Times New Roman"/>
          <w:sz w:val="24"/>
          <w:szCs w:val="24"/>
        </w:rPr>
        <w:t xml:space="preserve"> case, “is that reparation must, as far as possible, wipe out all the consequences of the illegal act and re-establish the situation which would, in all probability, have existed if that act has not been committed”;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this basic principle is incorporated in Article 31 of the 2001 Articles of the International Law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 pursuant to the provisions of Article 34 of those same Articles, “[f]ull reparation for the injury caused by the internationally wrongful act shall take the form of restitution, compensation and satisfaction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4. inasmuch as making restitution means “to re-establish the situation which existed before the wrongful act was committed” – this being a quotation from the ILC [International Law Commission] – it constitutes a prime means of reparation, since it is, by definition, the one best suited to effectively ensuring full redress for the injury sustained;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5. however, to the extent that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proves materially impossible or “out of all proportion to the benefit deriving from restitution instead of compensation”, reparation may take the form of compensation involving “payment of a sum corresponding to the value which a restitution in kind would bear”;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6. and lastly, “[t]he State responsible for an internationally wrongful act is under an obligation to give satisfaction for the injury caused by that act insofar as it cannot be made good by restitution or compensation”.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i/>
          <w:iCs/>
          <w:sz w:val="24"/>
          <w:szCs w:val="24"/>
        </w:rPr>
        <w:t>1.</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br/>
        <w:t xml:space="preserve">9. In principle, as the ILC stresses in its commentaries to the Articles on State Responsibility, “[r]estitution, as the first of the forms of reparation, is of particular importance where the obligation breached … arises under a peremptory norm of </w:t>
      </w:r>
      <w:r w:rsidRPr="00BE407E">
        <w:rPr>
          <w:rFonts w:ascii="Times New Roman" w:eastAsia="Times New Roman" w:hAnsi="Times New Roman" w:cs="Times New Roman"/>
          <w:sz w:val="24"/>
          <w:szCs w:val="24"/>
        </w:rPr>
        <w:lastRenderedPageBreak/>
        <w:t>international law”. And genocide, as well as the other acts enumerated in Article III of the 1948 Convention, undoubtedly falls within this category.</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3. Satisfaction</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18. … I left out two types of injury when I listed the kinds of damage for which reparation can be made via compensation: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moral injuries caused to the applicant State;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injuries under two separate heads of responsibility: incitement to commit genocide and conspiracy to commit genocide, to say nothing of the consequences of the breaches of obligations to prevent and punish genocide.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19. This is because, to tell the truth, none of these lend themselves to pecuniary appraisal. Thus, the reparation sought by Bosnia and Herzegovina in respect of these various breaches of the 1948 Convention attributable to the Respondent does not take the form of compensation …</w:t>
      </w:r>
      <w:r w:rsidRPr="00BE407E">
        <w:rPr>
          <w:rFonts w:ascii="Times New Roman" w:eastAsia="Times New Roman" w:hAnsi="Times New Roman" w:cs="Times New Roman"/>
          <w:sz w:val="24"/>
          <w:szCs w:val="24"/>
        </w:rPr>
        <w:br/>
        <w:t>20. Of course, this does not however mean that Serbia and Montenegro is free of any obligation to provide satisfaction to Bosnia and Herzegovina in other forms. Given the judicial context of the present case, the most natural mode of satisfaction, that which springs to mind immediately, also the most common in such circumstances, is obviously a formal declaration by this Court that Serbia and Montenegro has breached its obligations under Articles I to V – inclusive – of the Convention …</w:t>
      </w:r>
      <w:r w:rsidRPr="00BE407E">
        <w:rPr>
          <w:rFonts w:ascii="Times New Roman" w:eastAsia="Times New Roman" w:hAnsi="Times New Roman" w:cs="Times New Roman"/>
          <w:sz w:val="24"/>
          <w:szCs w:val="24"/>
        </w:rPr>
        <w:br/>
        <w:t>21. Members of the Court, in its Reply Bosnia and Herzegovina also asked you, under the heading “satisfaction”, to decide that the Respondent must in fact punish the individuals responsible for genocide and the other acts listed in Article III of the Convention, including those at the most senior levels, and to that end must co-operate with the International Criminal Tribunal for the former Yugoslavia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II. Other consequences of Serbia and Montenegro’s responsibility</w:t>
      </w:r>
      <w:r w:rsidRPr="00BE407E">
        <w:rPr>
          <w:rFonts w:ascii="Times New Roman" w:eastAsia="Times New Roman" w:hAnsi="Times New Roman" w:cs="Times New Roman"/>
          <w:i/>
          <w:iCs/>
          <w:sz w:val="24"/>
          <w:szCs w:val="24"/>
        </w:rPr>
        <w:br/>
      </w:r>
      <w:r w:rsidRPr="00BE407E">
        <w:rPr>
          <w:rFonts w:ascii="Times New Roman" w:eastAsia="Times New Roman" w:hAnsi="Times New Roman" w:cs="Times New Roman"/>
          <w:sz w:val="24"/>
          <w:szCs w:val="24"/>
        </w:rPr>
        <w:t>22. Responsibility – that is to say, the whole set of consequences deriving from an internationally wrongful act – is not reflected solely in an obligation to make reparation, even though it is too often reduced to that. Thus, the ILC Articles on State Responsibility, even before referring to reparation, lay down, in two brief Articles, three other principles under which the State responsible for an internationally wrongful act is required: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to perform the obligation breached;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to cease the internationally wrongful act if it is continuing;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“to offer appropriate assurances and guarantees of non-repetition, if circumstances so require”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(although I for one am rather tempted to see these as merely a form of satisfaction).</w:t>
      </w:r>
      <w:r>
        <w:rPr>
          <w:rFonts w:ascii="Times New Roman" w:eastAsia="Times New Roman" w:hAnsi="Times New Roman" w:cs="Times New Roman"/>
          <w:noProof/>
          <w:sz w:val="24"/>
          <w:szCs w:val="24"/>
        </w:rPr>
        <w:drawing>
          <wp:inline distT="0" distB="0" distL="0" distR="0">
            <wp:extent cx="151130" cy="142875"/>
            <wp:effectExtent l="19050" t="0" r="1270" b="0"/>
            <wp:docPr id="3270" name="Imagen 327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Burundi</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2008, in its second periodic report to the Committee on the Rights of the Child, Burundi stated:</w:t>
      </w:r>
      <w:r w:rsidRPr="00BE407E">
        <w:rPr>
          <w:rFonts w:ascii="Times New Roman" w:eastAsia="Times New Roman" w:hAnsi="Times New Roman" w:cs="Times New Roman"/>
          <w:sz w:val="24"/>
          <w:szCs w:val="24"/>
        </w:rPr>
        <w:br/>
        <w:t>Reference is … made to the creation of the National Commission for the Rehabilitation of Disaster Victims by Law No. 1/17 of 13/12/2002, which defines the Commission’s objectives, competence, organization and functioning. The Commission is responsible for rehabilitating children who were victims of the Burundian conflict, in particular by providing medical care and schooling.</w:t>
      </w:r>
      <w:r>
        <w:rPr>
          <w:rFonts w:ascii="Times New Roman" w:eastAsia="Times New Roman" w:hAnsi="Times New Roman" w:cs="Times New Roman"/>
          <w:noProof/>
          <w:sz w:val="24"/>
          <w:szCs w:val="24"/>
        </w:rPr>
        <w:drawing>
          <wp:inline distT="0" distB="0" distL="0" distR="0">
            <wp:extent cx="151130" cy="142875"/>
            <wp:effectExtent l="19050" t="0" r="1270" b="0"/>
            <wp:docPr id="3271" name="Imagen 327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Canada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1988, the Canadian government concluded an agreement with the National Association of Japanese Canadians, the so-called Japanese-Canadian Redress Agreement, the terms of which provided:</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Despite perceived military necessities at the time, the forced removal and internment of Japanese Canadians during World War II and their deportation and expulsion following the war, was unjust. In retrospect, government policies of disenfranchisement, detention, confiscation and sale of private and community property, expulsion, deportation and restriction of movement, which continued after the war, were influenced by discriminatory attitudes. Japanese Canadians who were interned had their property liquidated and the proceeds of sale were used to pay for their own internment.</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Therefore, the Government of Canada, on behalf of all Canadians, does hereby: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1) acknowledge that the treatment of Japanese Canadians during and after World War II was unjust and violated principles of human rights as they are understood today;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2) pledge to ensure, to the full extent that its powers allow, that such events will not happen again; 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3) recognize, with great respect, the fortitude and determination of Japanese Canadians who, despite great stress and hardship, retain their commitment and loyalty to Canada and contribute so richly to the development of the Canadian nation.</w:t>
      </w:r>
      <w:r>
        <w:rPr>
          <w:rFonts w:ascii="Times New Roman" w:eastAsia="Times New Roman" w:hAnsi="Times New Roman" w:cs="Times New Roman"/>
          <w:noProof/>
          <w:sz w:val="24"/>
          <w:szCs w:val="24"/>
        </w:rPr>
        <w:drawing>
          <wp:inline distT="0" distB="0" distL="0" distR="0">
            <wp:extent cx="151130" cy="142875"/>
            <wp:effectExtent l="19050" t="0" r="1270" b="0"/>
            <wp:docPr id="3272" name="Imagen 327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Chile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in its fifth periodic report to the Human Rights Committee, Chile stated:</w:t>
      </w:r>
      <w:r w:rsidRPr="00BE407E">
        <w:rPr>
          <w:rFonts w:ascii="Times New Roman" w:eastAsia="Times New Roman" w:hAnsi="Times New Roman" w:cs="Times New Roman"/>
          <w:sz w:val="24"/>
          <w:szCs w:val="24"/>
        </w:rPr>
        <w:br/>
        <w:t>… [T]he Reparation Act established allowances and educational and health benefits for the spouses, mothers and children of victims. A total of 3,195 principals were recognized (2,772 victims of human rights violations and 423 victims of police violence, of whom 160 were members of the armed forces).</w:t>
      </w:r>
      <w:r>
        <w:rPr>
          <w:rFonts w:ascii="Times New Roman" w:eastAsia="Times New Roman" w:hAnsi="Times New Roman" w:cs="Times New Roman"/>
          <w:noProof/>
          <w:sz w:val="24"/>
          <w:szCs w:val="24"/>
        </w:rPr>
        <w:drawing>
          <wp:inline distT="0" distB="0" distL="0" distR="0">
            <wp:extent cx="151130" cy="142875"/>
            <wp:effectExtent l="19050" t="0" r="1270" b="0"/>
            <wp:docPr id="3273" name="Imagen 327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France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1997, the French government, created by a decree a “Study Mission on the Spoliation of Jews in France” (also known as the “Mattéoli Mission”) with the task of conducting a study of the various forms of spoliation visited upon the Jews of France during the Second World War, and of the scope and effect of post-war restitution efforts.</w:t>
      </w:r>
      <w:r>
        <w:rPr>
          <w:rFonts w:ascii="Times New Roman" w:eastAsia="Times New Roman" w:hAnsi="Times New Roman" w:cs="Times New Roman"/>
          <w:noProof/>
          <w:sz w:val="24"/>
          <w:szCs w:val="24"/>
        </w:rPr>
        <w:drawing>
          <wp:inline distT="0" distB="0" distL="0" distR="0">
            <wp:extent cx="151130" cy="142875"/>
            <wp:effectExtent l="19050" t="0" r="1270" b="0"/>
            <wp:docPr id="3274" name="Imagen 327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written statement submitted to the ICJ in </w:t>
      </w:r>
      <w:r w:rsidRPr="00BE407E">
        <w:rPr>
          <w:rFonts w:ascii="Times New Roman" w:eastAsia="Times New Roman" w:hAnsi="Times New Roman" w:cs="Times New Roman"/>
          <w:i/>
          <w:iCs/>
          <w:sz w:val="24"/>
          <w:szCs w:val="24"/>
        </w:rPr>
        <w:t>Legal Consequences of the Construction of a Wall in the Occupied Palestinian Territory</w:t>
      </w:r>
      <w:r w:rsidRPr="00BE407E">
        <w:rPr>
          <w:rFonts w:ascii="Times New Roman" w:eastAsia="Times New Roman" w:hAnsi="Times New Roman" w:cs="Times New Roman"/>
          <w:sz w:val="24"/>
          <w:szCs w:val="24"/>
        </w:rPr>
        <w:t xml:space="preserve"> in 2004, France stated:</w:t>
      </w:r>
      <w:r w:rsidRPr="00BE407E">
        <w:rPr>
          <w:rFonts w:ascii="Times New Roman" w:eastAsia="Times New Roman" w:hAnsi="Times New Roman" w:cs="Times New Roman"/>
          <w:sz w:val="24"/>
          <w:szCs w:val="24"/>
        </w:rPr>
        <w:br/>
        <w:t xml:space="preserve">63. As the Permanent Court of International Justice stated in a famous passage: “The essential principle contained in the actual notion of an illegal act … is that reparation must, as far as possible, wipe out all the consequences of the illegal act and reestablish the situation which would, in all probability, have existed if that act had not been committed” [Permanent Court of International Justice, </w:t>
      </w:r>
      <w:r w:rsidRPr="00BE407E">
        <w:rPr>
          <w:rFonts w:ascii="Times New Roman" w:eastAsia="Times New Roman" w:hAnsi="Times New Roman" w:cs="Times New Roman"/>
          <w:i/>
          <w:iCs/>
          <w:sz w:val="24"/>
          <w:szCs w:val="24"/>
        </w:rPr>
        <w:t xml:space="preserve">Factory at Chorzów, Judgment No. 13, </w:t>
      </w:r>
      <w:r w:rsidRPr="00BE407E">
        <w:rPr>
          <w:rFonts w:ascii="Times New Roman" w:eastAsia="Times New Roman" w:hAnsi="Times New Roman" w:cs="Times New Roman"/>
          <w:sz w:val="24"/>
          <w:szCs w:val="24"/>
        </w:rPr>
        <w:t xml:space="preserve">13 September 1928, </w:t>
      </w:r>
      <w:r w:rsidRPr="00BE407E">
        <w:rPr>
          <w:rFonts w:ascii="Times New Roman" w:eastAsia="Times New Roman" w:hAnsi="Times New Roman" w:cs="Times New Roman"/>
          <w:i/>
          <w:iCs/>
          <w:sz w:val="24"/>
          <w:szCs w:val="24"/>
        </w:rPr>
        <w:t>Series A, No. 17</w:t>
      </w:r>
      <w:r w:rsidRPr="00BE407E">
        <w:rPr>
          <w:rFonts w:ascii="Times New Roman" w:eastAsia="Times New Roman" w:hAnsi="Times New Roman" w:cs="Times New Roman"/>
          <w:sz w:val="24"/>
          <w:szCs w:val="24"/>
        </w:rPr>
        <w:t>, p. 47].</w:t>
      </w:r>
      <w:r w:rsidRPr="00BE407E">
        <w:rPr>
          <w:rFonts w:ascii="Times New Roman" w:eastAsia="Times New Roman" w:hAnsi="Times New Roman" w:cs="Times New Roman"/>
          <w:sz w:val="24"/>
          <w:szCs w:val="24"/>
        </w:rPr>
        <w:br/>
        <w:t xml:space="preserve">64. Restitution is the prime means of reparation. Under Article 35 of the [ILC] Draft Articles on Responsibility of States for Internationally Wrongful Acts, in this instance codifying a rule grounded in straightforward logic and supported by well-settled jurisprudence, the responsible State is required to make restitution “provided and to the extent that [it] is not materially impossible”. Now, even though it would appear from the Secretary-General’s Report that the wall is a massive structure intended tangibly to mark the Occupied Palestinian Territory, the destruction of that part of it situated on the territory and the restoration of the </w:t>
      </w:r>
      <w:r w:rsidRPr="00BE407E">
        <w:rPr>
          <w:rFonts w:ascii="Times New Roman" w:eastAsia="Times New Roman" w:hAnsi="Times New Roman" w:cs="Times New Roman"/>
          <w:i/>
          <w:iCs/>
          <w:sz w:val="24"/>
          <w:szCs w:val="24"/>
        </w:rPr>
        <w:t>status quo ante</w:t>
      </w:r>
      <w:r w:rsidRPr="00BE407E">
        <w:rPr>
          <w:rFonts w:ascii="Times New Roman" w:eastAsia="Times New Roman" w:hAnsi="Times New Roman" w:cs="Times New Roman"/>
          <w:sz w:val="24"/>
          <w:szCs w:val="24"/>
        </w:rPr>
        <w:t xml:space="preserve"> do not appear impossible.</w:t>
      </w:r>
      <w:r w:rsidRPr="00BE407E">
        <w:rPr>
          <w:rFonts w:ascii="Times New Roman" w:eastAsia="Times New Roman" w:hAnsi="Times New Roman" w:cs="Times New Roman"/>
          <w:sz w:val="24"/>
          <w:szCs w:val="24"/>
        </w:rPr>
        <w:br/>
        <w:t xml:space="preserve">65. First, while restitution often proves impossible where the prejudice arises from the destruction of property, it would always seem possible if, as in the present case, the converse is true and it is a question of demolishing an existing structure. The process can sometimes present significant practical difficulties; they alone however are not sufficient to make restitution materially impossible. Second, and most importantly, Israel has on a number of occasions underscored the temporary nature of the structure it is building, insisting moreover that it be called a “security fence”, not a “separation </w:t>
      </w:r>
      <w:r w:rsidRPr="00BE407E">
        <w:rPr>
          <w:rFonts w:ascii="Times New Roman" w:eastAsia="Times New Roman" w:hAnsi="Times New Roman" w:cs="Times New Roman"/>
          <w:sz w:val="24"/>
          <w:szCs w:val="24"/>
        </w:rPr>
        <w:lastRenderedPageBreak/>
        <w:t>wall” intended to be permanent.</w:t>
      </w:r>
      <w:r w:rsidRPr="00BE407E">
        <w:rPr>
          <w:rFonts w:ascii="Times New Roman" w:eastAsia="Times New Roman" w:hAnsi="Times New Roman" w:cs="Times New Roman"/>
          <w:sz w:val="24"/>
          <w:szCs w:val="24"/>
        </w:rPr>
        <w:br/>
        <w:t>66. At the same time Israel has clearly expressed its desire to condition any dismantling of the wall, or a change in its route, on progress in the negotiations on the final status of the occupied Palestinian territories. This is incompatible with the very spirit of the reparation process, as defined by the Permanent Court of International Justice in a famous dictum.</w:t>
      </w:r>
      <w:r w:rsidRPr="00BE407E">
        <w:rPr>
          <w:rFonts w:ascii="Times New Roman" w:eastAsia="Times New Roman" w:hAnsi="Times New Roman" w:cs="Times New Roman"/>
          <w:sz w:val="24"/>
          <w:szCs w:val="24"/>
        </w:rPr>
        <w:br/>
        <w:t xml:space="preserve">67. Finally, in order for the </w:t>
      </w:r>
      <w:r w:rsidRPr="00BE407E">
        <w:rPr>
          <w:rFonts w:ascii="Times New Roman" w:eastAsia="Times New Roman" w:hAnsi="Times New Roman" w:cs="Times New Roman"/>
          <w:i/>
          <w:iCs/>
          <w:sz w:val="24"/>
          <w:szCs w:val="24"/>
        </w:rPr>
        <w:t>status quo ante</w:t>
      </w:r>
      <w:r w:rsidRPr="00BE407E">
        <w:rPr>
          <w:rFonts w:ascii="Times New Roman" w:eastAsia="Times New Roman" w:hAnsi="Times New Roman" w:cs="Times New Roman"/>
          <w:sz w:val="24"/>
          <w:szCs w:val="24"/>
        </w:rPr>
        <w:t xml:space="preserve"> to be restored as completely as possible, it is important that the dismantling of the wall in the Occupied Palestinian Territory be accompanied by the annulment of the legal instruments having permitted its construction and, if necessary, the payment of appropriate compensation.</w:t>
      </w:r>
      <w:r>
        <w:rPr>
          <w:rFonts w:ascii="Times New Roman" w:eastAsia="Times New Roman" w:hAnsi="Times New Roman" w:cs="Times New Roman"/>
          <w:noProof/>
          <w:sz w:val="24"/>
          <w:szCs w:val="24"/>
        </w:rPr>
        <w:drawing>
          <wp:inline distT="0" distB="0" distL="0" distR="0">
            <wp:extent cx="151130" cy="142875"/>
            <wp:effectExtent l="19050" t="0" r="1270" b="0"/>
            <wp:docPr id="3275" name="Imagen 327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Guatemala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2003, in its fourth periodic report to the Committee against Torture, Guatemala stated:</w:t>
      </w:r>
      <w:r w:rsidRPr="00BE407E">
        <w:rPr>
          <w:rFonts w:ascii="Times New Roman" w:eastAsia="Times New Roman" w:hAnsi="Times New Roman" w:cs="Times New Roman"/>
          <w:sz w:val="24"/>
          <w:szCs w:val="24"/>
        </w:rPr>
        <w:br/>
        <w:t>The Peace Secretariat reports that it is implementing a pilot project offering moral and material assistance to people in the indigenous communities who have suffered violations, principally those in which, according to the Historical Clarification Commission, massacres occurred. Most of the beneficiaries suffered torture or cruel, inhuman or degrading treatment. In addition, it is running reconciliation workshops which have given rise to psychosocial, legal and moral support activities and moves to return property.</w:t>
      </w:r>
      <w:r>
        <w:rPr>
          <w:rFonts w:ascii="Times New Roman" w:eastAsia="Times New Roman" w:hAnsi="Times New Roman" w:cs="Times New Roman"/>
          <w:noProof/>
          <w:sz w:val="24"/>
          <w:szCs w:val="24"/>
        </w:rPr>
        <w:drawing>
          <wp:inline distT="0" distB="0" distL="0" distR="0">
            <wp:extent cx="151130" cy="142875"/>
            <wp:effectExtent l="19050" t="0" r="1270" b="0"/>
            <wp:docPr id="3276" name="Imagen 327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2006, during the consideration of the fourth periodic report of Guatemala before the Committee against Torture, a representative of Guatemala stated: </w:t>
      </w:r>
      <w:r w:rsidRPr="00BE407E">
        <w:rPr>
          <w:rFonts w:ascii="Times New Roman" w:eastAsia="Times New Roman" w:hAnsi="Times New Roman" w:cs="Times New Roman"/>
          <w:sz w:val="24"/>
          <w:szCs w:val="24"/>
        </w:rPr>
        <w:br/>
        <w:t>The National Compensation Programme had provided reparation for violations, inter alia in the following spheres: forced disappearances; extrajudicial execution; physical and psychological torture; forced displacement; forced recruitment of minors; sexual violence and violence against children; [and] massacres. The means of reparation included: restoring dignity to victims; psychosocial reparation and rehabilitation; material restitution; and economic rehabilitation. To date, 338 people had benefited from those programmes and 22 had received financial compensation in their capacity as victims of torture. In 2005 and 2006 a sum of approximately Q [“quetzal” is the unit of currency of Guatemala] 3,225,000 had so far been disbursed.</w:t>
      </w:r>
      <w:r>
        <w:rPr>
          <w:rFonts w:ascii="Times New Roman" w:eastAsia="Times New Roman" w:hAnsi="Times New Roman" w:cs="Times New Roman"/>
          <w:noProof/>
          <w:sz w:val="24"/>
          <w:szCs w:val="24"/>
        </w:rPr>
        <w:drawing>
          <wp:inline distT="0" distB="0" distL="0" distR="0">
            <wp:extent cx="151130" cy="142875"/>
            <wp:effectExtent l="19050" t="0" r="1270" b="0"/>
            <wp:docPr id="3277" name="Imagen 327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Kuwait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According to the Report on the Practice of Kuwait, Kuwait insisted, before the UN, on the restitution by Iraq of the cultural objects that were taken from Kuwaiti institutions during the occupation, or that compensation be paid.</w:t>
      </w:r>
      <w:r>
        <w:rPr>
          <w:rFonts w:ascii="Times New Roman" w:eastAsia="Times New Roman" w:hAnsi="Times New Roman" w:cs="Times New Roman"/>
          <w:noProof/>
          <w:sz w:val="24"/>
          <w:szCs w:val="24"/>
        </w:rPr>
        <w:drawing>
          <wp:inline distT="0" distB="0" distL="0" distR="0">
            <wp:extent cx="151130" cy="142875"/>
            <wp:effectExtent l="19050" t="0" r="1270" b="0"/>
            <wp:docPr id="3278" name="Imagen 327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Japan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1993, the Chief Cabinet Secretary of the Japanese Ministry of Foreign Affairs stated, with respect to the recruitment and abuse during the Second World War of the so-called “comfort women” by the Japanese military, that “the Government of Japan would like … to extend its sincere apologies and remorse to all those, irrespective of place of origin, who suffered immeasurable pain and incurable physical and psychological wounds as comfort women”.</w:t>
      </w:r>
      <w:r>
        <w:rPr>
          <w:rFonts w:ascii="Times New Roman" w:eastAsia="Times New Roman" w:hAnsi="Times New Roman" w:cs="Times New Roman"/>
          <w:noProof/>
          <w:sz w:val="24"/>
          <w:szCs w:val="24"/>
        </w:rPr>
        <w:drawing>
          <wp:inline distT="0" distB="0" distL="0" distR="0">
            <wp:extent cx="151130" cy="142875"/>
            <wp:effectExtent l="19050" t="0" r="1270" b="0"/>
            <wp:docPr id="3279" name="Imagen 327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 xml:space="preserve">In 1994, the Prime Minister of Japan stated: </w:t>
      </w:r>
      <w:r w:rsidRPr="00BE407E">
        <w:rPr>
          <w:rFonts w:ascii="Times New Roman" w:eastAsia="Times New Roman" w:hAnsi="Times New Roman" w:cs="Times New Roman"/>
          <w:sz w:val="24"/>
          <w:szCs w:val="24"/>
        </w:rPr>
        <w:br/>
        <w:t>On the issue of wartime “comfort women” [recruited and abused by the Japanese military during the Second World War], which seriously stained the honour and dignity of many women, I would like to … express my profound and sincere remorse and apologies.</w:t>
      </w:r>
      <w:r>
        <w:rPr>
          <w:rFonts w:ascii="Times New Roman" w:eastAsia="Times New Roman" w:hAnsi="Times New Roman" w:cs="Times New Roman"/>
          <w:noProof/>
          <w:sz w:val="24"/>
          <w:szCs w:val="24"/>
        </w:rPr>
        <w:drawing>
          <wp:inline distT="0" distB="0" distL="0" distR="0">
            <wp:extent cx="151130" cy="142875"/>
            <wp:effectExtent l="19050" t="0" r="1270" b="0"/>
            <wp:docPr id="3280" name="Imagen 328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sz w:val="24"/>
          <w:szCs w:val="24"/>
        </w:rPr>
        <w:br/>
        <w:t>In 1995, the Chief Cabinet Secretary of the Japanese Ministry of Foreign Affairs made a statement to the effect that:</w:t>
      </w:r>
      <w:r w:rsidRPr="00BE407E">
        <w:rPr>
          <w:rFonts w:ascii="Times New Roman" w:eastAsia="Times New Roman" w:hAnsi="Times New Roman" w:cs="Times New Roman"/>
          <w:sz w:val="24"/>
          <w:szCs w:val="24"/>
        </w:rPr>
        <w:br/>
        <w:t xml:space="preserve">Based on our remorse for the past … the project of the “Asian Peace and Friendship </w:t>
      </w:r>
      <w:r w:rsidRPr="00BE407E">
        <w:rPr>
          <w:rFonts w:ascii="Times New Roman" w:eastAsia="Times New Roman" w:hAnsi="Times New Roman" w:cs="Times New Roman"/>
          <w:sz w:val="24"/>
          <w:szCs w:val="24"/>
        </w:rPr>
        <w:lastRenderedPageBreak/>
        <w:t>Foundation for Women” will be undertaken as follows.</w:t>
      </w:r>
      <w:r w:rsidRPr="00BE407E">
        <w:rPr>
          <w:rFonts w:ascii="Times New Roman" w:eastAsia="Times New Roman" w:hAnsi="Times New Roman" w:cs="Times New Roman"/>
          <w:sz w:val="24"/>
          <w:szCs w:val="24"/>
        </w:rPr>
        <w:br/>
        <w:t>1. The following activities will be conducted for the former wartime comfort women, through the cooperation of the Japanese People and the Government: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 The Foundation will raise funds in the private sector as a means to enact the Japanese people’s atonement for former wartime comfort women.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ii. The Foundation will support those conducting medical and welfare projects and other similar projects which are of service to former wartime comfort women, through the use of government funding and other funds.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iii. When these projects are implemented, the Government will express the nation’s feelings of sincere remorse and apology to the former wartime comfort women.</w:t>
      </w:r>
      <w:r>
        <w:rPr>
          <w:rFonts w:ascii="Times New Roman" w:eastAsia="Times New Roman" w:hAnsi="Times New Roman" w:cs="Times New Roman"/>
          <w:noProof/>
          <w:sz w:val="24"/>
          <w:szCs w:val="24"/>
        </w:rPr>
        <w:drawing>
          <wp:inline distT="0" distB="0" distL="0" distR="0">
            <wp:extent cx="151130" cy="142875"/>
            <wp:effectExtent l="19050" t="0" r="1270" b="0"/>
            <wp:docPr id="3281" name="Imagen 328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1995, the Prime Minister of Japan, with respect to the Asian Women’s Fund established in July 1995 by the proponents from the legal, academic and NGO sectors in Japan with the support of the government of Japan to the benefit of the victims recruited and abused as “comfort women” by the Japanese military during the Second World War, offered his “profound apology to all those who, as wartime comfort women, suffered emotional and physical wounds that can never be closed”. The Prime Minister further stated:</w:t>
      </w:r>
      <w:r w:rsidRPr="00BE407E">
        <w:rPr>
          <w:rFonts w:ascii="Times New Roman" w:eastAsia="Times New Roman" w:hAnsi="Times New Roman" w:cs="Times New Roman"/>
          <w:sz w:val="24"/>
          <w:szCs w:val="24"/>
        </w:rPr>
        <w:br/>
        <w:t>Established on this occasion and involving the cooperation of the Government and citizens of Japan, the “Asian Women’s Fund” is an expression of atonement on the part of the Japanese people toward these women and supports medical, welfare, and other projects. As articulated in the proponents’ Appeal, the Government will do its utmost to ensure that the goals of the Fund are achieved.</w:t>
      </w:r>
      <w:r>
        <w:rPr>
          <w:rFonts w:ascii="Times New Roman" w:eastAsia="Times New Roman" w:hAnsi="Times New Roman" w:cs="Times New Roman"/>
          <w:noProof/>
          <w:sz w:val="24"/>
          <w:szCs w:val="24"/>
        </w:rPr>
        <w:drawing>
          <wp:inline distT="0" distB="0" distL="0" distR="0">
            <wp:extent cx="151130" cy="142875"/>
            <wp:effectExtent l="19050" t="0" r="1270" b="0"/>
            <wp:docPr id="3282" name="Imagen 328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Peru</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2004, in its fourth periodic report to the Committee against Torture, Peru stated: </w:t>
      </w:r>
      <w:r w:rsidRPr="00BE407E">
        <w:rPr>
          <w:rFonts w:ascii="Times New Roman" w:eastAsia="Times New Roman" w:hAnsi="Times New Roman" w:cs="Times New Roman"/>
          <w:sz w:val="24"/>
          <w:szCs w:val="24"/>
        </w:rPr>
        <w:br/>
        <w:t>Insofar as, according to the TRC [Truth and Reconciliation Commission], the Peruvian State has the duty to offer due compensation to all victims of violence, including torture victims, the TRC recommended a Comprehensive Plan for Reparations, … This plan makes provision for various types of reparations, including forms of symbolic, health, educational, financial, collective and other compensation.</w:t>
      </w:r>
      <w:r>
        <w:rPr>
          <w:rFonts w:ascii="Times New Roman" w:eastAsia="Times New Roman" w:hAnsi="Times New Roman" w:cs="Times New Roman"/>
          <w:noProof/>
          <w:sz w:val="24"/>
          <w:szCs w:val="24"/>
        </w:rPr>
        <w:drawing>
          <wp:inline distT="0" distB="0" distL="0" distR="0">
            <wp:extent cx="151130" cy="142875"/>
            <wp:effectExtent l="19050" t="0" r="1270" b="0"/>
            <wp:docPr id="3283" name="Imagen 328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2006, during the consideration of the fourth periodic report of Peru before the Committee against Torture, a representative of Peru stated: “Other programmes [of reparations] … [are] being developed for the provision of health care for victims of violence and for the exhumation of human remains.”</w:t>
      </w:r>
      <w:r>
        <w:rPr>
          <w:rFonts w:ascii="Times New Roman" w:eastAsia="Times New Roman" w:hAnsi="Times New Roman" w:cs="Times New Roman"/>
          <w:noProof/>
          <w:sz w:val="24"/>
          <w:szCs w:val="24"/>
        </w:rPr>
        <w:drawing>
          <wp:inline distT="0" distB="0" distL="0" distR="0">
            <wp:extent cx="151130" cy="142875"/>
            <wp:effectExtent l="19050" t="0" r="1270" b="0"/>
            <wp:docPr id="3284" name="Imagen 328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Poland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1970, during a debate in the Special Political Committee of the UN General Assembly on measures carried out by Israel in the occupied territories, Poland stated:</w:t>
      </w:r>
      <w:r w:rsidRPr="00BE407E">
        <w:rPr>
          <w:rFonts w:ascii="Times New Roman" w:eastAsia="Times New Roman" w:hAnsi="Times New Roman" w:cs="Times New Roman"/>
          <w:sz w:val="24"/>
          <w:szCs w:val="24"/>
        </w:rPr>
        <w:br/>
        <w:t>The destruction of houses and the confiscation of property, which were designed to demoralize the inhabitants of certain areas and to force them to abandon their homes, were in violation of the basic principles of international law and contrary to the provisions of article 46 of the [1907 Hague Regulations] and article 53 of the fourth Geneva Convention. Since such acts were illegal, the Government of Israel was liable … for the restitution of confiscated property.</w:t>
      </w:r>
      <w:r>
        <w:rPr>
          <w:rFonts w:ascii="Times New Roman" w:eastAsia="Times New Roman" w:hAnsi="Times New Roman" w:cs="Times New Roman"/>
          <w:noProof/>
          <w:sz w:val="24"/>
          <w:szCs w:val="24"/>
        </w:rPr>
        <w:drawing>
          <wp:inline distT="0" distB="0" distL="0" distR="0">
            <wp:extent cx="151130" cy="142875"/>
            <wp:effectExtent l="19050" t="0" r="1270" b="0"/>
            <wp:docPr id="3285" name="Imagen 328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Spain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2008, in its written replies to the Human Rights Committee concerning its fifth periodic report, Spain stated with regard to the reparation measures that have been granted to victims of torture:</w:t>
      </w:r>
      <w:r w:rsidRPr="00BE407E">
        <w:rPr>
          <w:rFonts w:ascii="Times New Roman" w:eastAsia="Times New Roman" w:hAnsi="Times New Roman" w:cs="Times New Roman"/>
          <w:sz w:val="24"/>
          <w:szCs w:val="24"/>
        </w:rPr>
        <w:br/>
        <w:t xml:space="preserve">[N]ote should be taken of the recent adoption of Act. No. 52/2007 of 26 December 2007, which recognizes and extends rights and introduces measures in favour of victims of persecution or violence during the civil war and the dictatorship; and which, with regard to compensation for victims of the Franco period (including victims of torture), </w:t>
      </w:r>
      <w:r w:rsidRPr="00BE407E">
        <w:rPr>
          <w:rFonts w:ascii="Times New Roman" w:eastAsia="Times New Roman" w:hAnsi="Times New Roman" w:cs="Times New Roman"/>
          <w:sz w:val="24"/>
          <w:szCs w:val="24"/>
        </w:rPr>
        <w:lastRenderedPageBreak/>
        <w:t>provides for the right to claim redress and personal recognition. Article 1 of the Act establishes the right to moral compensation and to the commemoration of those victims and their families. Accordingly, article 2 of the Act acknowledges and confirms the basically unjust nature of all sentences, punishments and personal violence, which occurred for political, ideological or religious reasons during the periods in question. That general assessment is complemented, as the explanatory statement of the Act indicates, with a specific procedure for obtaining a personal declaration of rehabilitation and redress under article 4 of the Act. That right may be exercised by the victims themselves, their family or the public bodies, in which the victims held an office or carried out a relevant activity.</w:t>
      </w:r>
      <w:r>
        <w:rPr>
          <w:rFonts w:ascii="Times New Roman" w:eastAsia="Times New Roman" w:hAnsi="Times New Roman" w:cs="Times New Roman"/>
          <w:noProof/>
          <w:sz w:val="24"/>
          <w:szCs w:val="24"/>
        </w:rPr>
        <w:drawing>
          <wp:inline distT="0" distB="0" distL="0" distR="0">
            <wp:extent cx="151130" cy="142875"/>
            <wp:effectExtent l="19050" t="0" r="1270" b="0"/>
            <wp:docPr id="3286" name="Imagen 328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2009, in its written replies to the Committee against Torture concerning its fifth periodic report, Spain stated:</w:t>
      </w:r>
      <w:r w:rsidRPr="00BE407E">
        <w:rPr>
          <w:rFonts w:ascii="Times New Roman" w:eastAsia="Times New Roman" w:hAnsi="Times New Roman" w:cs="Times New Roman"/>
          <w:sz w:val="24"/>
          <w:szCs w:val="24"/>
        </w:rPr>
        <w:br/>
        <w:t>167. … [T]he efforts undertaken in the last years by the Spanish State with regard to the victims of the civil war and the dictatorship … must be emphasized. The recent adoption of Law No. 52/2007 of 26 December recognized and strengthened the rights and established measures in favour of those who suffered persecution or violence during the civil war and the dictatorship, [including] the right of the victims of Francoism (including those tortured) to obtain a declaration of reparation and personal recognition.</w:t>
      </w:r>
      <w:r w:rsidRPr="00BE407E">
        <w:rPr>
          <w:rFonts w:ascii="Times New Roman" w:eastAsia="Times New Roman" w:hAnsi="Times New Roman" w:cs="Times New Roman"/>
          <w:sz w:val="24"/>
          <w:szCs w:val="24"/>
        </w:rPr>
        <w:br/>
        <w:t>168. In this way, the law recognizes in article 1 the right to moral reparation and to the recovery of the personal and family history of those who suffered persecution or violence during the civil war and the dictatorship. As an expression of this right, article 2 recognizes and declares the radically unjust nature of the sentences, punishments and other forms of violence [that were committed] against persons for political, ideological or religious reasons during the civil war, as well as those that occurred for the same reasons during the dictatorship. This generic declaration is complemented by … a special procedure to obtain a personal declaration … for all those affected, which may be exercised by them or by their families or by the public institutions for which they worked.</w:t>
      </w:r>
      <w:r>
        <w:rPr>
          <w:rFonts w:ascii="Times New Roman" w:eastAsia="Times New Roman" w:hAnsi="Times New Roman" w:cs="Times New Roman"/>
          <w:noProof/>
          <w:sz w:val="24"/>
          <w:szCs w:val="24"/>
        </w:rPr>
        <w:drawing>
          <wp:inline distT="0" distB="0" distL="0" distR="0">
            <wp:extent cx="151130" cy="142875"/>
            <wp:effectExtent l="19050" t="0" r="1270" b="0"/>
            <wp:docPr id="3287" name="Imagen 328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United States of America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concurrent resolution adopted in 2000 on the war crimes committed by the Japanese military during the Second World War, the US Congress expressed its sense that “the Government of Japan should – (1) formally issue a clear and unambiguous apology for the atrocious war crimes committed by the Japanese military during World War II”.</w:t>
      </w:r>
      <w:r>
        <w:rPr>
          <w:rFonts w:ascii="Times New Roman" w:eastAsia="Times New Roman" w:hAnsi="Times New Roman" w:cs="Times New Roman"/>
          <w:noProof/>
          <w:sz w:val="24"/>
          <w:szCs w:val="24"/>
        </w:rPr>
        <w:drawing>
          <wp:inline distT="0" distB="0" distL="0" distR="0">
            <wp:extent cx="151130" cy="142875"/>
            <wp:effectExtent l="19050" t="0" r="1270" b="0"/>
            <wp:docPr id="3288" name="Imagen 328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2001, a draft concurrent resolution was put before the US Congress for it to call upon the government of Japan to “formally issue a clear and unambiguous apology for the sexual enslavement of young women during colonial occupation of Asia and the Pacific Islands during World War II, known to the world as ‘comfort women’”.</w:t>
      </w:r>
      <w:r>
        <w:rPr>
          <w:rFonts w:ascii="Times New Roman" w:eastAsia="Times New Roman" w:hAnsi="Times New Roman" w:cs="Times New Roman"/>
          <w:noProof/>
          <w:sz w:val="24"/>
          <w:szCs w:val="24"/>
        </w:rPr>
        <w:drawing>
          <wp:inline distT="0" distB="0" distL="0" distR="0">
            <wp:extent cx="151130" cy="142875"/>
            <wp:effectExtent l="19050" t="0" r="1270" b="0"/>
            <wp:docPr id="3289" name="Imagen 328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Zimbabwe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2014, in an oral answer to a question without notice in the Senate, Zimbabwe’s Minister of Defence stated:</w:t>
      </w:r>
      <w:r w:rsidRPr="00BE407E">
        <w:rPr>
          <w:rFonts w:ascii="Times New Roman" w:eastAsia="Times New Roman" w:hAnsi="Times New Roman" w:cs="Times New Roman"/>
          <w:sz w:val="24"/>
          <w:szCs w:val="24"/>
        </w:rPr>
        <w:br/>
        <w:t xml:space="preserve">[I]t is true as we all know that during the liberation war, the Rhodesians planted a lot of landmines along our borders with Zambia, Mozambique and South Africa …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 xml:space="preserve">There are people who have lost limbs; they have been amputated by these landmines and have undergone medical treatment. Some of them have got prostheses, that is artificial limbs and that process is going on. </w:t>
      </w:r>
      <w:r w:rsidRPr="00BE407E">
        <w:rPr>
          <w:rFonts w:ascii="Times New Roman" w:eastAsia="Times New Roman" w:hAnsi="Times New Roman" w:cs="Times New Roman"/>
          <w:sz w:val="24"/>
          <w:szCs w:val="24"/>
        </w:rPr>
        <w:br/>
        <w:t>With regards to compensation in monetary terms, that is for the time being not under way but we think everything that is possible should be done to rehabilitate all those that have been injured or maimed by these landmines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In the Ministry of Defence, we are … working together with the Red Cross, so that those who have lost their limbs have got these artificial legs.</w:t>
      </w:r>
      <w:r>
        <w:rPr>
          <w:rFonts w:ascii="Times New Roman" w:eastAsia="Times New Roman" w:hAnsi="Times New Roman" w:cs="Times New Roman"/>
          <w:noProof/>
          <w:sz w:val="24"/>
          <w:szCs w:val="24"/>
        </w:rPr>
        <w:drawing>
          <wp:inline distT="0" distB="0" distL="0" distR="0">
            <wp:extent cx="151130" cy="142875"/>
            <wp:effectExtent l="19050" t="0" r="1270" b="0"/>
            <wp:docPr id="3290" name="Imagen 329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2" w:name="SectionC_VIUnNa"/>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"javascript:openUrlLight('src_VIUnNa')"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VII. United Nations</w:t>
      </w:r>
      <w:r w:rsidRPr="00BE407E">
        <w:rPr>
          <w:rFonts w:ascii="Times New Roman" w:eastAsia="Times New Roman" w:hAnsi="Times New Roman" w:cs="Times New Roman"/>
          <w:sz w:val="24"/>
          <w:szCs w:val="24"/>
        </w:rPr>
        <w:fldChar w:fldCharType="end"/>
      </w:r>
      <w:bookmarkEnd w:id="462"/>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UN Security Council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1976 on South Africa’s military activities against Angola, the UN Security Council called upon the Government of South Africa “to meet the just claims of the People’s Republic of Angola … for the restoration of the equipment and materials which its invading forces seized”.</w:t>
      </w:r>
      <w:r>
        <w:rPr>
          <w:rFonts w:ascii="Times New Roman" w:eastAsia="Times New Roman" w:hAnsi="Times New Roman" w:cs="Times New Roman"/>
          <w:noProof/>
          <w:sz w:val="24"/>
          <w:szCs w:val="24"/>
        </w:rPr>
        <w:drawing>
          <wp:inline distT="0" distB="0" distL="0" distR="0">
            <wp:extent cx="151130" cy="142875"/>
            <wp:effectExtent l="19050" t="0" r="1270" b="0"/>
            <wp:docPr id="3291" name="Imagen 329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1980, the UN Security Council, recalling Articles 1 and 49 of the 1949 Geneva Convention IV, called upon the Government of Israel</w:t>
      </w:r>
      <w:r w:rsidRPr="00BE407E">
        <w:rPr>
          <w:rFonts w:ascii="Times New Roman" w:eastAsia="Times New Roman" w:hAnsi="Times New Roman" w:cs="Times New Roman"/>
          <w:sz w:val="24"/>
          <w:szCs w:val="24"/>
        </w:rPr>
        <w:br/>
        <w:t>to rescind the illegal measures taken by the Israeli military occupation authorities in expelling the mayors of Hebron and Halhoul and the Sharia Judge of Hebron, and to facilitate the immediate return of the expelled Palestinian leaders so that they can resume the functions for which they were elected and appointed.</w:t>
      </w:r>
      <w:r>
        <w:rPr>
          <w:rFonts w:ascii="Times New Roman" w:eastAsia="Times New Roman" w:hAnsi="Times New Roman" w:cs="Times New Roman"/>
          <w:noProof/>
          <w:sz w:val="24"/>
          <w:szCs w:val="24"/>
        </w:rPr>
        <w:drawing>
          <wp:inline distT="0" distB="0" distL="0" distR="0">
            <wp:extent cx="151130" cy="142875"/>
            <wp:effectExtent l="19050" t="0" r="1270" b="0"/>
            <wp:docPr id="3292" name="Imagen 329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Resolution 687 of 1991 on Iraq, the UN Security Council noted that “despite the progress being made in fulfilling the obligations of resolution 686 (1991), many Kuwaiti and third-State nationals are still not accounted for and property remains unreturned”. It requested the UN Secretary-General “to report to the Council on the steps taken to facilitate the return of all Kuwaiti property seized by Iraq, including a list of any property that Kuwait claims has not been returned or which has not been returned intact”.</w:t>
      </w:r>
      <w:r>
        <w:rPr>
          <w:rFonts w:ascii="Times New Roman" w:eastAsia="Times New Roman" w:hAnsi="Times New Roman" w:cs="Times New Roman"/>
          <w:noProof/>
          <w:sz w:val="24"/>
          <w:szCs w:val="24"/>
        </w:rPr>
        <w:drawing>
          <wp:inline distT="0" distB="0" distL="0" distR="0">
            <wp:extent cx="151130" cy="142875"/>
            <wp:effectExtent l="19050" t="0" r="1270" b="0"/>
            <wp:docPr id="3293" name="Imagen 329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a resolution adopted in 1996 on Liberia, the UN Security Council:</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Condemns</w:t>
      </w:r>
      <w:r w:rsidRPr="00BE407E">
        <w:rPr>
          <w:rFonts w:ascii="Times New Roman" w:eastAsia="Times New Roman" w:hAnsi="Times New Roman" w:cs="Times New Roman"/>
          <w:sz w:val="24"/>
          <w:szCs w:val="24"/>
        </w:rPr>
        <w:t xml:space="preserve"> … the looting of [the] equipment, supplies and personal property [of members of ECOMOG, UNOMIL and international organizations and agencies delivering humanitarian assistance], calls upon the leaders of the factions to ensure the immediate return of looted property, and requests the Secretary-General to include in the report [with proposals for assistance which UNOMIL or other United Nations agencies could provide in support of the Liberian peace process] information on how much of the stolen property has been returned.</w:t>
      </w:r>
      <w:r>
        <w:rPr>
          <w:rFonts w:ascii="Times New Roman" w:eastAsia="Times New Roman" w:hAnsi="Times New Roman" w:cs="Times New Roman"/>
          <w:noProof/>
          <w:sz w:val="24"/>
          <w:szCs w:val="24"/>
        </w:rPr>
        <w:drawing>
          <wp:inline distT="0" distB="0" distL="0" distR="0">
            <wp:extent cx="151130" cy="142875"/>
            <wp:effectExtent l="19050" t="0" r="1270" b="0"/>
            <wp:docPr id="3294" name="Imagen 329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General Assembly</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2001, the UN General Assembly adopted a resolution entitled “Responsibility of States for internationally wrongful acts”, to which the 2001 ILC Draft Articles on State Responsibility, and thus Article 34 (“Forms of reparation”), Article 35 (“Restitution”) and Article 37 (“Satisfaction”), were annexed. In the resolution, the UN General Assembly took note of the Draft Articles and commended them to the attention o f governments “without prejudice to the question of their future adoption or other appropriate action”.</w:t>
      </w:r>
      <w:r>
        <w:rPr>
          <w:rFonts w:ascii="Times New Roman" w:eastAsia="Times New Roman" w:hAnsi="Times New Roman" w:cs="Times New Roman"/>
          <w:noProof/>
          <w:sz w:val="24"/>
          <w:szCs w:val="24"/>
        </w:rPr>
        <w:drawing>
          <wp:inline distT="0" distB="0" distL="0" distR="0">
            <wp:extent cx="151130" cy="142875"/>
            <wp:effectExtent l="19050" t="0" r="1270" b="0"/>
            <wp:docPr id="3295" name="Imagen 329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2003 on the permanent sovereignty of the Palestine people in the Occupied Palestinian Territory, including East Jerusalem, and of the Arab population in the occupied Syrian Golan over their natural resources,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Reaffirming </w:t>
      </w:r>
      <w:r w:rsidRPr="00BE407E">
        <w:rPr>
          <w:rFonts w:ascii="Times New Roman" w:eastAsia="Times New Roman" w:hAnsi="Times New Roman" w:cs="Times New Roman"/>
          <w:sz w:val="24"/>
          <w:szCs w:val="24"/>
        </w:rPr>
        <w:t>the principle of the permanent sovereignty of peoples under foreign occupation over their natural resources;</w:t>
      </w:r>
      <w:r w:rsidRPr="00BE407E">
        <w:rPr>
          <w:rFonts w:ascii="Times New Roman" w:eastAsia="Times New Roman" w:hAnsi="Times New Roman" w:cs="Times New Roman"/>
          <w:sz w:val="24"/>
          <w:szCs w:val="24"/>
        </w:rPr>
        <w:br/>
        <w:t xml:space="preserve">… </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Recognizes </w:t>
      </w:r>
      <w:r w:rsidRPr="00BE407E">
        <w:rPr>
          <w:rFonts w:ascii="Times New Roman" w:eastAsia="Times New Roman" w:hAnsi="Times New Roman" w:cs="Times New Roman"/>
          <w:sz w:val="24"/>
          <w:szCs w:val="24"/>
        </w:rPr>
        <w:t>the right of the Palestinian people to claim restitution as a result of any exploitation, loss or depletion of, or danger to, their natural resources, and expresses the hope that this issue will be dealt with in the framework of the final status negotiations between the Palestinian and Israeli sides.</w:t>
      </w:r>
      <w:r>
        <w:rPr>
          <w:rFonts w:ascii="Times New Roman" w:eastAsia="Times New Roman" w:hAnsi="Times New Roman" w:cs="Times New Roman"/>
          <w:noProof/>
          <w:sz w:val="24"/>
          <w:szCs w:val="24"/>
        </w:rPr>
        <w:drawing>
          <wp:inline distT="0" distB="0" distL="0" distR="0">
            <wp:extent cx="151130" cy="142875"/>
            <wp:effectExtent l="19050" t="0" r="1270" b="0"/>
            <wp:docPr id="3296" name="Imagen 329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In a resolution adopted in 2004 on the permanent sovereignty of the Palestine people in the Occupied Palestinian Territory, including East Jerusalem, and of the Arab population in the occupied Syrian Golan over their natural resources,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 xml:space="preserve">Reaffirming </w:t>
      </w:r>
      <w:r w:rsidRPr="00BE407E">
        <w:rPr>
          <w:rFonts w:ascii="Times New Roman" w:eastAsia="Times New Roman" w:hAnsi="Times New Roman" w:cs="Times New Roman"/>
          <w:sz w:val="24"/>
          <w:szCs w:val="24"/>
        </w:rPr>
        <w:t>the principle of the permanent sovereignty of peoples under foreign occupation over their natural resources;</w:t>
      </w:r>
      <w:r w:rsidRPr="00BE407E">
        <w:rPr>
          <w:rFonts w:ascii="Times New Roman" w:eastAsia="Times New Roman" w:hAnsi="Times New Roman" w:cs="Times New Roman"/>
          <w:sz w:val="24"/>
          <w:szCs w:val="24"/>
        </w:rPr>
        <w:br/>
        <w:t xml:space="preserve">… </w:t>
      </w:r>
      <w:r w:rsidRPr="00BE407E">
        <w:rPr>
          <w:rFonts w:ascii="Times New Roman" w:eastAsia="Times New Roman" w:hAnsi="Times New Roman" w:cs="Times New Roman"/>
          <w:sz w:val="24"/>
          <w:szCs w:val="24"/>
        </w:rPr>
        <w:br/>
        <w:t xml:space="preserve">3. </w:t>
      </w:r>
      <w:r w:rsidRPr="00BE407E">
        <w:rPr>
          <w:rFonts w:ascii="Times New Roman" w:eastAsia="Times New Roman" w:hAnsi="Times New Roman" w:cs="Times New Roman"/>
          <w:i/>
          <w:iCs/>
          <w:sz w:val="24"/>
          <w:szCs w:val="24"/>
        </w:rPr>
        <w:t xml:space="preserve">Recognizes </w:t>
      </w:r>
      <w:r w:rsidRPr="00BE407E">
        <w:rPr>
          <w:rFonts w:ascii="Times New Roman" w:eastAsia="Times New Roman" w:hAnsi="Times New Roman" w:cs="Times New Roman"/>
          <w:sz w:val="24"/>
          <w:szCs w:val="24"/>
        </w:rPr>
        <w:t>the right of the Palestinian people to claim restitution as a result of any exploitation, damage, loss or depletion, or endangerment of their natural resources, and expresses the hope that this issue will be dealt with in the framework of the final status negotiations between the Palestinian and Israeli sides.</w:t>
      </w:r>
      <w:r>
        <w:rPr>
          <w:rFonts w:ascii="Times New Roman" w:eastAsia="Times New Roman" w:hAnsi="Times New Roman" w:cs="Times New Roman"/>
          <w:noProof/>
          <w:sz w:val="24"/>
          <w:szCs w:val="24"/>
        </w:rPr>
        <w:drawing>
          <wp:inline distT="0" distB="0" distL="0" distR="0">
            <wp:extent cx="151130" cy="142875"/>
            <wp:effectExtent l="19050" t="0" r="1270" b="0"/>
            <wp:docPr id="3297" name="Imagen 329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a resolution adopted in 2005 on permanent sovereignty of the Palestinian people in the Occupied Palestinian Territory, including East Jerusalem, and of the Arab population in the occupied Syrian Golan over their natural resources, the UN General Assembly: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Reaffirming</w:t>
      </w:r>
      <w:r w:rsidRPr="00BE407E">
        <w:rPr>
          <w:rFonts w:ascii="Times New Roman" w:eastAsia="Times New Roman" w:hAnsi="Times New Roman" w:cs="Times New Roman"/>
          <w:sz w:val="24"/>
          <w:szCs w:val="24"/>
        </w:rPr>
        <w:t xml:space="preserve"> the principle of the permanent sovereignty of peoples under foreign occupation over their natural resources,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t>
      </w:r>
      <w:r w:rsidRPr="00BE407E">
        <w:rPr>
          <w:rFonts w:ascii="Times New Roman" w:eastAsia="Times New Roman" w:hAnsi="Times New Roman" w:cs="Times New Roman"/>
          <w:i/>
          <w:iCs/>
          <w:sz w:val="24"/>
          <w:szCs w:val="24"/>
        </w:rPr>
        <w:br/>
        <w:t>3. Recognizes</w:t>
      </w:r>
      <w:r w:rsidRPr="00BE407E">
        <w:rPr>
          <w:rFonts w:ascii="Times New Roman" w:eastAsia="Times New Roman" w:hAnsi="Times New Roman" w:cs="Times New Roman"/>
          <w:sz w:val="24"/>
          <w:szCs w:val="24"/>
        </w:rPr>
        <w:t xml:space="preserve"> the right of the Palestinian people to claim restitution as a result of any exploitation, damage, loss or depletion, or endangerment of their natural resources resulting from illegal measures taken by Israel, the occupying Power, in the Occupied Palestinian Territory, including East Jerusalem, and expresses the hope that this issue will be dealt with in the framework of the final status negotiations between the Palestinian and Israeli sides.</w:t>
      </w:r>
      <w:r>
        <w:rPr>
          <w:rFonts w:ascii="Times New Roman" w:eastAsia="Times New Roman" w:hAnsi="Times New Roman" w:cs="Times New Roman"/>
          <w:noProof/>
          <w:sz w:val="24"/>
          <w:szCs w:val="24"/>
        </w:rPr>
        <w:drawing>
          <wp:inline distT="0" distB="0" distL="0" distR="0">
            <wp:extent cx="151130" cy="142875"/>
            <wp:effectExtent l="19050" t="0" r="1270" b="0"/>
            <wp:docPr id="3298" name="Imagen 329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2006 on permanent sovereignty of the Palestinian people in the Occupied Palestinian Territory, including East Jerusalem, and of the Arab population in the occupied Syrian Golan over their natural resources,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Reaffirming</w:t>
      </w:r>
      <w:r w:rsidRPr="00BE407E">
        <w:rPr>
          <w:rFonts w:ascii="Times New Roman" w:eastAsia="Times New Roman" w:hAnsi="Times New Roman" w:cs="Times New Roman"/>
          <w:sz w:val="24"/>
          <w:szCs w:val="24"/>
        </w:rPr>
        <w:t xml:space="preserve"> the principle of the permanent sovereignty of peoples under foreign occupation over their natural resources,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t>
      </w:r>
      <w:r w:rsidRPr="00BE407E">
        <w:rPr>
          <w:rFonts w:ascii="Times New Roman" w:eastAsia="Times New Roman" w:hAnsi="Times New Roman" w:cs="Times New Roman"/>
          <w:i/>
          <w:iCs/>
          <w:sz w:val="24"/>
          <w:szCs w:val="24"/>
        </w:rPr>
        <w:br/>
        <w:t xml:space="preserve">Recognizes </w:t>
      </w:r>
      <w:r w:rsidRPr="00BE407E">
        <w:rPr>
          <w:rFonts w:ascii="Times New Roman" w:eastAsia="Times New Roman" w:hAnsi="Times New Roman" w:cs="Times New Roman"/>
          <w:sz w:val="24"/>
          <w:szCs w:val="24"/>
        </w:rPr>
        <w:t>the right of the Palestinian people to claim restitution as a result of any exploitation, damage, loss or depletion, or endangerment of their natural resources resulting from illegal measures taken by Israel, the occupying Power, in the Occupied Palestinian Territory, including East Jerusalem, and expresses the hope that this issue will be dealt with in the framework of the final status negotiations between the Palestinian and Israeli sides.</w:t>
      </w:r>
      <w:r>
        <w:rPr>
          <w:rFonts w:ascii="Times New Roman" w:eastAsia="Times New Roman" w:hAnsi="Times New Roman" w:cs="Times New Roman"/>
          <w:noProof/>
          <w:sz w:val="24"/>
          <w:szCs w:val="24"/>
        </w:rPr>
        <w:drawing>
          <wp:inline distT="0" distB="0" distL="0" distR="0">
            <wp:extent cx="151130" cy="142875"/>
            <wp:effectExtent l="19050" t="0" r="1270" b="0"/>
            <wp:docPr id="3299" name="Imagen 329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2007 on permanent sovereignty of the Palestinian people in the Occupied Palestinian Territory, including East Jerusalem, and of the Arab population in the occupied Syrian Golan over their natural resources, the UN General Assembly:</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Reaffirming</w:t>
      </w:r>
      <w:r w:rsidRPr="00BE407E">
        <w:rPr>
          <w:rFonts w:ascii="Times New Roman" w:eastAsia="Times New Roman" w:hAnsi="Times New Roman" w:cs="Times New Roman"/>
          <w:sz w:val="24"/>
          <w:szCs w:val="24"/>
        </w:rPr>
        <w:t xml:space="preserve"> the principle of the permanent sovereignty of peoples under foreign occupation over their natural resources,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w:t>
      </w:r>
      <w:r w:rsidRPr="00BE407E">
        <w:rPr>
          <w:rFonts w:ascii="Times New Roman" w:eastAsia="Times New Roman" w:hAnsi="Times New Roman" w:cs="Times New Roman"/>
          <w:i/>
          <w:iCs/>
          <w:sz w:val="24"/>
          <w:szCs w:val="24"/>
        </w:rPr>
        <w:br/>
        <w:t xml:space="preserve">Recognizes </w:t>
      </w:r>
      <w:r w:rsidRPr="00BE407E">
        <w:rPr>
          <w:rFonts w:ascii="Times New Roman" w:eastAsia="Times New Roman" w:hAnsi="Times New Roman" w:cs="Times New Roman"/>
          <w:sz w:val="24"/>
          <w:szCs w:val="24"/>
        </w:rPr>
        <w:t>the right of the Palestinian people to claim restitution as a result of any exploitation, damage, loss or depletion, or endangerment of their natural resources resulting from illegal measures taken by Israel, the occupying Power, in the Occupied Palestinian Territory, including East Jerusalem, and expresses the hope that this issue will be dealt with in the framework of the final status negotiations between the Palestinian and Israeli sides.</w:t>
      </w:r>
      <w:r>
        <w:rPr>
          <w:rFonts w:ascii="Times New Roman" w:eastAsia="Times New Roman" w:hAnsi="Times New Roman" w:cs="Times New Roman"/>
          <w:noProof/>
          <w:sz w:val="24"/>
          <w:szCs w:val="24"/>
        </w:rPr>
        <w:drawing>
          <wp:inline distT="0" distB="0" distL="0" distR="0">
            <wp:extent cx="151130" cy="142875"/>
            <wp:effectExtent l="19050" t="0" r="1270" b="0"/>
            <wp:docPr id="3300" name="Imagen 330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lastRenderedPageBreak/>
        <w:t>UN Economic and Social Council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2007 on economic and social repercussions of the Israeli occupation on the living conditions of the Palestinian people in the occupied Palestinian territory, including East Jerusalem, and the Arab population in the occupied Syrian Golan, ECOSOC called upon “Israel to restore and replace civilian properties, vital infrastructure, agricultural lands and governmental institutions that have been damaged or destroyed as a result of its military operations in the Occupied Palestinian Territory”.</w:t>
      </w:r>
      <w:r>
        <w:rPr>
          <w:rFonts w:ascii="Times New Roman" w:eastAsia="Times New Roman" w:hAnsi="Times New Roman" w:cs="Times New Roman"/>
          <w:noProof/>
          <w:sz w:val="24"/>
          <w:szCs w:val="24"/>
        </w:rPr>
        <w:drawing>
          <wp:inline distT="0" distB="0" distL="0" distR="0">
            <wp:extent cx="151130" cy="142875"/>
            <wp:effectExtent l="19050" t="0" r="1270" b="0"/>
            <wp:docPr id="3301" name="Imagen 330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Commission on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1998 on the situation of human rights in Afghanistan, the UN Commission on Human Rights urged all parties to the conflict to respect IHL and “to provide sufficient and effective remedies to the victims of grave violations and abuses of human rights and of accepted humanitarian rules and to bring the perpetrators to trial”.</w:t>
      </w:r>
      <w:r>
        <w:rPr>
          <w:rFonts w:ascii="Times New Roman" w:eastAsia="Times New Roman" w:hAnsi="Times New Roman" w:cs="Times New Roman"/>
          <w:noProof/>
          <w:sz w:val="24"/>
          <w:szCs w:val="24"/>
        </w:rPr>
        <w:drawing>
          <wp:inline distT="0" distB="0" distL="0" distR="0">
            <wp:extent cx="151130" cy="142875"/>
            <wp:effectExtent l="19050" t="0" r="1270" b="0"/>
            <wp:docPr id="3302" name="Imagen 330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a resolution adopted in 2005 on the right to the truth, the UN Commission on Human Rights stated that it was:</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i/>
          <w:iCs/>
          <w:sz w:val="24"/>
          <w:szCs w:val="24"/>
        </w:rPr>
        <w:t>Convinced</w:t>
      </w:r>
      <w:r w:rsidRPr="00BE407E">
        <w:rPr>
          <w:rFonts w:ascii="Times New Roman" w:eastAsia="Times New Roman" w:hAnsi="Times New Roman" w:cs="Times New Roman"/>
          <w:sz w:val="24"/>
          <w:szCs w:val="24"/>
        </w:rPr>
        <w:t xml:space="preserve"> that States should preserve archives and other evidence concerning gross violations of human rights and serious violations of international humanitarian law to facilitate knowledge of such violations, to investigate allegations and to provide victims with access to an effective remedy in accordance with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303" name="Imagen 330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xml:space="preserve">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UN Commission on Human Rights (Special Rapporteur)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1996, in a report on a mission to the Democratic People’s Republic of Korea, the Republic of Korea and Japan on the issue of military sexual slavery in wartime, the Special Rapporteur of the UN Commission on Human Rights on Violence against Women, Its Causes and Consequences recommended, </w:t>
      </w:r>
      <w:r w:rsidRPr="00BE407E">
        <w:rPr>
          <w:rFonts w:ascii="Times New Roman" w:eastAsia="Times New Roman" w:hAnsi="Times New Roman" w:cs="Times New Roman"/>
          <w:i/>
          <w:iCs/>
          <w:sz w:val="24"/>
          <w:szCs w:val="24"/>
        </w:rPr>
        <w:t>inter alia</w:t>
      </w:r>
      <w:r w:rsidRPr="00BE407E">
        <w:rPr>
          <w:rFonts w:ascii="Times New Roman" w:eastAsia="Times New Roman" w:hAnsi="Times New Roman" w:cs="Times New Roman"/>
          <w:sz w:val="24"/>
          <w:szCs w:val="24"/>
        </w:rPr>
        <w:t>, that, at the national level:</w:t>
      </w:r>
      <w:r w:rsidRPr="00BE407E">
        <w:rPr>
          <w:rFonts w:ascii="Times New Roman" w:eastAsia="Times New Roman" w:hAnsi="Times New Roman" w:cs="Times New Roman"/>
          <w:sz w:val="24"/>
          <w:szCs w:val="24"/>
        </w:rPr>
        <w:br/>
        <w:t>The Government of Japan should:</w:t>
      </w:r>
      <w:r w:rsidRPr="00BE407E">
        <w:rPr>
          <w:rFonts w:ascii="Times New Roman" w:eastAsia="Times New Roman" w:hAnsi="Times New Roman" w:cs="Times New Roman"/>
          <w:sz w:val="24"/>
          <w:szCs w:val="24"/>
        </w:rPr>
        <w:br/>
        <w:t>(a) Acknowledge that the system of comfort stations set up by the Japanese Imperial Army during the Second World War was a violation of its obligations under international law and accept legal responsibility for that violation.</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(d) Make a public apology in writing to individual women who have come forward and can be substantiated as women victims of Japanese military sexual slavery.</w:t>
      </w:r>
      <w:r>
        <w:rPr>
          <w:rFonts w:ascii="Times New Roman" w:eastAsia="Times New Roman" w:hAnsi="Times New Roman" w:cs="Times New Roman"/>
          <w:noProof/>
          <w:sz w:val="24"/>
          <w:szCs w:val="24"/>
        </w:rPr>
        <w:drawing>
          <wp:inline distT="0" distB="0" distL="0" distR="0">
            <wp:extent cx="151130" cy="142875"/>
            <wp:effectExtent l="19050" t="0" r="1270" b="0"/>
            <wp:docPr id="3304" name="Imagen 330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Law Commission</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2001, in its commentary on Article 33 of the 2001 ILC Draft Articles on State Responsibility, the International Law Commission stated that when an obligation of reparation exists towards a State, reparation does not necessarily accrue to that State’s benefit. For instance, a State’s responsibility for the breach of an obligation under a treaty concerning the protection of human rights may exist towards all the other parties to the treaty, but the individuals concerned should be regarded as the ultimate beneficiaries and in that sense as the holders of the relevant rights.</w:t>
      </w:r>
      <w:r>
        <w:rPr>
          <w:rFonts w:ascii="Times New Roman" w:eastAsia="Times New Roman" w:hAnsi="Times New Roman" w:cs="Times New Roman"/>
          <w:noProof/>
          <w:sz w:val="24"/>
          <w:szCs w:val="24"/>
        </w:rPr>
        <w:drawing>
          <wp:inline distT="0" distB="0" distL="0" distR="0">
            <wp:extent cx="151130" cy="142875"/>
            <wp:effectExtent l="19050" t="0" r="1270" b="0"/>
            <wp:docPr id="3305" name="Imagen 330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2001, in its commentary on Article 35 of the 2001 ILC Draft Articles on State Responsibility, the International Law Commission noted:</w:t>
      </w:r>
      <w:r w:rsidRPr="00BE407E">
        <w:rPr>
          <w:rFonts w:ascii="Times New Roman" w:eastAsia="Times New Roman" w:hAnsi="Times New Roman" w:cs="Times New Roman"/>
          <w:sz w:val="24"/>
          <w:szCs w:val="24"/>
        </w:rPr>
        <w:br/>
        <w:t>(1) In accordance with article 34, restitution is the first of the forms of reparation available to a State injured by an internationally wrongful act. Restitution involves the re-establishment as far as possible of the situation which existed prior to the commission of the internationally wrongful act, to the extent that any changes that have occurred in that situation may be traced to that act. In its simplest form, this involves such conduct as the release of persons wrongly detained or the return of property wrongly seized. In other cases, restitution may be a more complex act …</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w:t>
      </w:r>
      <w:r w:rsidRPr="00BE407E">
        <w:rPr>
          <w:rFonts w:ascii="Times New Roman" w:eastAsia="Times New Roman" w:hAnsi="Times New Roman" w:cs="Times New Roman"/>
          <w:sz w:val="24"/>
          <w:szCs w:val="24"/>
        </w:rPr>
        <w:br/>
        <w:t xml:space="preserve">(3) Nonetheless, because restitution most closely conforms to the general principle that the responsible State is bound to wipe out the legal and material consequences of its wrongful act by re-establishing the situation that would exist if that act had not been committed, it comes first among the forms of reparation. The primacy of restitution was confirmed by the Permanent Court [of International Justice] in the </w:t>
      </w:r>
      <w:r w:rsidRPr="00BE407E">
        <w:rPr>
          <w:rFonts w:ascii="Times New Roman" w:eastAsia="Times New Roman" w:hAnsi="Times New Roman" w:cs="Times New Roman"/>
          <w:i/>
          <w:iCs/>
          <w:sz w:val="24"/>
          <w:szCs w:val="24"/>
        </w:rPr>
        <w:t>Factory at Chorzów</w:t>
      </w:r>
      <w:r w:rsidRPr="00BE407E">
        <w:rPr>
          <w:rFonts w:ascii="Times New Roman" w:eastAsia="Times New Roman" w:hAnsi="Times New Roman" w:cs="Times New Roman"/>
          <w:sz w:val="24"/>
          <w:szCs w:val="24"/>
        </w:rPr>
        <w:t xml:space="preserve"> case when it said that the responsible State was under “the obligation to restore the undertaking and, if this be not possible, to pay its value at the time of the indemnification, which value is designed to take the place of restitution which has become impossible” …</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(5) Restitution may take the form of material restoration or return of territory, persons or property, or the reversal of some juridical act, or some combination of them. Examples of material restitution include the release of detained individuals, the handing over to a State of an individual arrested in its territory, the handing over to a State of … other types of property, including documents, works of art …</w:t>
      </w:r>
      <w:r>
        <w:rPr>
          <w:rFonts w:ascii="Times New Roman" w:eastAsia="Times New Roman" w:hAnsi="Times New Roman" w:cs="Times New Roman"/>
          <w:noProof/>
          <w:sz w:val="24"/>
          <w:szCs w:val="24"/>
        </w:rPr>
        <w:drawing>
          <wp:inline distT="0" distB="0" distL="0" distR="0">
            <wp:extent cx="151130" cy="142875"/>
            <wp:effectExtent l="19050" t="0" r="1270" b="0"/>
            <wp:docPr id="3306" name="Imagen 330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2001, in its commentary on Article 36 of the 2001 ILC Draft Articles on State Responsibility, the International Law Commission noted:</w:t>
      </w:r>
      <w:r w:rsidRPr="00BE407E">
        <w:rPr>
          <w:rFonts w:ascii="Times New Roman" w:eastAsia="Times New Roman" w:hAnsi="Times New Roman" w:cs="Times New Roman"/>
          <w:sz w:val="24"/>
          <w:szCs w:val="24"/>
        </w:rPr>
        <w:br/>
        <w:t>Satisfaction is concerned with non-material injury, specifically non-material injury to the State, on which a monetary value can be put only in a highly approximate and notional way … Satisfaction … is the remedy for those injuries, not financially assessable, which amount to an affront [of the State].</w:t>
      </w:r>
      <w:r>
        <w:rPr>
          <w:rFonts w:ascii="Times New Roman" w:eastAsia="Times New Roman" w:hAnsi="Times New Roman" w:cs="Times New Roman"/>
          <w:noProof/>
          <w:sz w:val="24"/>
          <w:szCs w:val="24"/>
        </w:rPr>
        <w:drawing>
          <wp:inline distT="0" distB="0" distL="0" distR="0">
            <wp:extent cx="151130" cy="142875"/>
            <wp:effectExtent l="19050" t="0" r="1270" b="0"/>
            <wp:docPr id="3307" name="Imagen 330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In 2001, in its commentary on Article 37 of the 2001 ILC Draft Articles on State Responsibility, the International Law Commission stated:</w:t>
      </w:r>
      <w:r w:rsidRPr="00BE407E">
        <w:rPr>
          <w:rFonts w:ascii="Times New Roman" w:eastAsia="Times New Roman" w:hAnsi="Times New Roman" w:cs="Times New Roman"/>
          <w:sz w:val="24"/>
          <w:szCs w:val="24"/>
        </w:rPr>
        <w:br/>
        <w:t>Satisfaction … is not a standard form of reparation … It is only in those cases where [restitution or compensation] have not provided full reparation that satisfaction may be required … Satisfaction … is the remedy for those injuries, not financially assessable, which amount to an affront to the State … The appropriate form of satisfaction will depend on the circumstances and cannot be prescribed in advance. Many possibilities exist, including due inquiry into the causes of an accident resulting in harm or injury, … disciplinary or penal action against the individuals whose conduct caused the intentionally wrongful act or the award of symbolic damages for non-pecuniary injury. Assurances or guarantees of non-repetition, which are dealt with in the Articles in the context of cessation, may also amount to a form of satisfaction.</w:t>
      </w:r>
      <w:r>
        <w:rPr>
          <w:rFonts w:ascii="Times New Roman" w:eastAsia="Times New Roman" w:hAnsi="Times New Roman" w:cs="Times New Roman"/>
          <w:noProof/>
          <w:sz w:val="24"/>
          <w:szCs w:val="24"/>
        </w:rPr>
        <w:drawing>
          <wp:inline distT="0" distB="0" distL="0" distR="0">
            <wp:extent cx="151130" cy="142875"/>
            <wp:effectExtent l="19050" t="0" r="1270" b="0"/>
            <wp:docPr id="3308" name="Imagen 330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3" w:name="SectionC_VIOtInOr"/>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"javascript:openUrlLight('src_VIOtInOr')"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VIII. Other International Organizations</w:t>
      </w:r>
      <w:r w:rsidRPr="00BE407E">
        <w:rPr>
          <w:rFonts w:ascii="Times New Roman" w:eastAsia="Times New Roman" w:hAnsi="Times New Roman" w:cs="Times New Roman"/>
          <w:sz w:val="24"/>
          <w:szCs w:val="24"/>
        </w:rPr>
        <w:fldChar w:fldCharType="end"/>
      </w:r>
      <w:bookmarkEnd w:id="463"/>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No data.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4" w:name="SectionC_IXInCo"/>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"javascript:openUrlLight('src_IXInCo')"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IX. International Conferences</w:t>
      </w:r>
      <w:r w:rsidRPr="00BE407E">
        <w:rPr>
          <w:rFonts w:ascii="Times New Roman" w:eastAsia="Times New Roman" w:hAnsi="Times New Roman" w:cs="Times New Roman"/>
          <w:sz w:val="24"/>
          <w:szCs w:val="24"/>
        </w:rPr>
        <w:fldChar w:fldCharType="end"/>
      </w:r>
      <w:bookmarkEnd w:id="464"/>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No data.</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5" w:name="SectionC_XInanMi"/>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"javascript:openUrlLight('src_XInanMi')"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X. International and Mixed Judicial and Quasi-judicial Bodies</w:t>
      </w:r>
      <w:r w:rsidRPr="00BE407E">
        <w:rPr>
          <w:rFonts w:ascii="Times New Roman" w:eastAsia="Times New Roman" w:hAnsi="Times New Roman" w:cs="Times New Roman"/>
          <w:sz w:val="24"/>
          <w:szCs w:val="24"/>
        </w:rPr>
        <w:fldChar w:fldCharType="end"/>
      </w:r>
      <w:bookmarkEnd w:id="465"/>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International Court of Justice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on the merits in the </w:t>
      </w:r>
      <w:r w:rsidRPr="00BE407E">
        <w:rPr>
          <w:rFonts w:ascii="Times New Roman" w:eastAsia="Times New Roman" w:hAnsi="Times New Roman" w:cs="Times New Roman"/>
          <w:i/>
          <w:iCs/>
          <w:sz w:val="24"/>
          <w:szCs w:val="24"/>
        </w:rPr>
        <w:t>Application of the Convention on the Prevention and Punishment of the Crime of Genocide case (Bosnia and Herzegovina v. Serbia and Montenegro)</w:t>
      </w:r>
      <w:r w:rsidRPr="00BE407E">
        <w:rPr>
          <w:rFonts w:ascii="Times New Roman" w:eastAsia="Times New Roman" w:hAnsi="Times New Roman" w:cs="Times New Roman"/>
          <w:sz w:val="24"/>
          <w:szCs w:val="24"/>
        </w:rPr>
        <w:t xml:space="preserve"> in 2007, the ICJ, dealing with the question of reparation for the failure to comply with the obligations under the 1948 Genocide Convention to prevent and punish genocide, stated:</w:t>
      </w:r>
      <w:r w:rsidRPr="00BE407E">
        <w:rPr>
          <w:rFonts w:ascii="Times New Roman" w:eastAsia="Times New Roman" w:hAnsi="Times New Roman" w:cs="Times New Roman"/>
          <w:sz w:val="24"/>
          <w:szCs w:val="24"/>
        </w:rPr>
        <w:br/>
        <w:t xml:space="preserve">460. The principle governing the determination of reparation for an internationally wrongful act is as stated by the Permanent Court of International Justice in the </w:t>
      </w:r>
      <w:r w:rsidRPr="00BE407E">
        <w:rPr>
          <w:rFonts w:ascii="Times New Roman" w:eastAsia="Times New Roman" w:hAnsi="Times New Roman" w:cs="Times New Roman"/>
          <w:i/>
          <w:iCs/>
          <w:sz w:val="24"/>
          <w:szCs w:val="24"/>
        </w:rPr>
        <w:t xml:space="preserve">Factory </w:t>
      </w:r>
      <w:r w:rsidRPr="00BE407E">
        <w:rPr>
          <w:rFonts w:ascii="Times New Roman" w:eastAsia="Times New Roman" w:hAnsi="Times New Roman" w:cs="Times New Roman"/>
          <w:i/>
          <w:iCs/>
          <w:sz w:val="24"/>
          <w:szCs w:val="24"/>
        </w:rPr>
        <w:lastRenderedPageBreak/>
        <w:t xml:space="preserve">at Chorzów </w:t>
      </w:r>
      <w:r w:rsidRPr="00BE407E">
        <w:rPr>
          <w:rFonts w:ascii="Times New Roman" w:eastAsia="Times New Roman" w:hAnsi="Times New Roman" w:cs="Times New Roman"/>
          <w:sz w:val="24"/>
          <w:szCs w:val="24"/>
        </w:rPr>
        <w:t>case: that “reparation must, so far as possible, wipe out all the consequences of the illegal act and reestablish the situation which would, in all probability, have existed if that act had not been committed” (</w:t>
      </w:r>
      <w:r w:rsidRPr="00BE407E">
        <w:rPr>
          <w:rFonts w:ascii="Times New Roman" w:eastAsia="Times New Roman" w:hAnsi="Times New Roman" w:cs="Times New Roman"/>
          <w:i/>
          <w:iCs/>
          <w:sz w:val="24"/>
          <w:szCs w:val="24"/>
        </w:rPr>
        <w:t>P.C.I.J. Series A, No. 17</w:t>
      </w:r>
      <w:r w:rsidRPr="00BE407E">
        <w:rPr>
          <w:rFonts w:ascii="Times New Roman" w:eastAsia="Times New Roman" w:hAnsi="Times New Roman" w:cs="Times New Roman"/>
          <w:sz w:val="24"/>
          <w:szCs w:val="24"/>
        </w:rPr>
        <w:t xml:space="preserve">, p. 47: see also Article 31 of the ILC’s Articles on State Responsibility). In the circumstances of this case, as the Applicant recognizes, it is inappropriate to ask the Court to find that the Respondent is under an obligation of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Insofar as restitution is not possible, as the Court stated in the case of the </w:t>
      </w:r>
      <w:r w:rsidRPr="00BE407E">
        <w:rPr>
          <w:rFonts w:ascii="Times New Roman" w:eastAsia="Times New Roman" w:hAnsi="Times New Roman" w:cs="Times New Roman"/>
          <w:i/>
          <w:iCs/>
          <w:sz w:val="24"/>
          <w:szCs w:val="24"/>
        </w:rPr>
        <w:t>Gabčíkovo-Nagymaros Project</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(Hungary/Slovakia)</w:t>
      </w:r>
      <w:r w:rsidRPr="00BE407E">
        <w:rPr>
          <w:rFonts w:ascii="Times New Roman" w:eastAsia="Times New Roman" w:hAnsi="Times New Roman" w:cs="Times New Roman"/>
          <w:sz w:val="24"/>
          <w:szCs w:val="24"/>
        </w:rPr>
        <w:t>, “[i]t is a well-established rule of international law that an injured State is entitled to obtain compensation from the State which has committed an internationally wrongful act for the damage caused by it” (</w:t>
      </w:r>
      <w:r w:rsidRPr="00BE407E">
        <w:rPr>
          <w:rFonts w:ascii="Times New Roman" w:eastAsia="Times New Roman" w:hAnsi="Times New Roman" w:cs="Times New Roman"/>
          <w:i/>
          <w:iCs/>
          <w:sz w:val="24"/>
          <w:szCs w:val="24"/>
        </w:rPr>
        <w:t>I.C.J. Reports 1997</w:t>
      </w:r>
      <w:r w:rsidRPr="00BE407E">
        <w:rPr>
          <w:rFonts w:ascii="Times New Roman" w:eastAsia="Times New Roman" w:hAnsi="Times New Roman" w:cs="Times New Roman"/>
          <w:sz w:val="24"/>
          <w:szCs w:val="24"/>
        </w:rPr>
        <w:t xml:space="preserve">, p. 81, para. 152.; cf. </w:t>
      </w:r>
      <w:r w:rsidRPr="00BE407E">
        <w:rPr>
          <w:rFonts w:ascii="Times New Roman" w:eastAsia="Times New Roman" w:hAnsi="Times New Roman" w:cs="Times New Roman"/>
          <w:i/>
          <w:iCs/>
          <w:sz w:val="24"/>
          <w:szCs w:val="24"/>
        </w:rPr>
        <w:t>Legal Consequences of the</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Construction of a Wall in the Occupied Palestinian Territory, Advisory Opinion, I.C.J. Reports</w:t>
      </w:r>
      <w:r w:rsidRPr="00BE407E">
        <w:rPr>
          <w:rFonts w:ascii="Times New Roman" w:eastAsia="Times New Roman" w:hAnsi="Times New Roman" w:cs="Times New Roman"/>
          <w:sz w:val="24"/>
          <w:szCs w:val="24"/>
        </w:rPr>
        <w:t xml:space="preserve"> </w:t>
      </w:r>
      <w:r w:rsidRPr="00BE407E">
        <w:rPr>
          <w:rFonts w:ascii="Times New Roman" w:eastAsia="Times New Roman" w:hAnsi="Times New Roman" w:cs="Times New Roman"/>
          <w:i/>
          <w:iCs/>
          <w:sz w:val="24"/>
          <w:szCs w:val="24"/>
        </w:rPr>
        <w:t>2004</w:t>
      </w:r>
      <w:r w:rsidRPr="00BE407E">
        <w:rPr>
          <w:rFonts w:ascii="Times New Roman" w:eastAsia="Times New Roman" w:hAnsi="Times New Roman" w:cs="Times New Roman"/>
          <w:sz w:val="24"/>
          <w:szCs w:val="24"/>
        </w:rPr>
        <w:t>, p. 198, paras. 152–153; see also Article 36 of the ILC’s Articles on State Responsibility). It is therefore appropriate to consider what were the consequences of the failure of the Respondent to comply with its obligations under the Genocide Convention to prevent and punish the crime of genocide, committed in Bosnia and Herzegovina, and what damage can be said to have been caused thereby.</w:t>
      </w:r>
      <w:r w:rsidRPr="00BE407E">
        <w:rPr>
          <w:rFonts w:ascii="Times New Roman" w:eastAsia="Times New Roman" w:hAnsi="Times New Roman" w:cs="Times New Roman"/>
          <w:sz w:val="24"/>
          <w:szCs w:val="24"/>
        </w:rPr>
        <w:br/>
        <w:t>461. The Court has found that the authorities of the Respondent could not have been unaware of the grave risk of genocide once the VRS [Army of Republika Srpska] forces had decided to take possession of the Srebrenica enclave, and that in view of its influence over the events, the Respondent must be held to have had the means of action by which it could seek to prevent genocide, and to have manifestly refrained from employing them (paragraph 438). To that extent therefore it failed to comply with its obligation of prevention under the Convention. The obligation to prevent the commission of the crime of genocide is imposed by the Genocide Convention on any State party which, in a given situation, has it in its power to contribute to restraining in any degree the commission of genocide. To make this finding, the Court did not have to decide whether the acts of genocide committed at Srebrenica would have occurred anyway even if the Respondent had done as it should have and employed the means available to it. This is because, as explained above, the obligation to prevent genocide places a State under a duty to act which is not dependent on the certainty that the action to be taken will succeed in preventing the commission of acts of genocide, or even on the likelihood of that outcome. It therefore does not follow from the Court’s reasoning above in finding a violation by the Respondent of its obligation of prevention that the atrocious suffering caused by the genocide committed at Srebrenica would not have occurred had the violation not taken place.</w:t>
      </w:r>
      <w:r w:rsidRPr="00BE407E">
        <w:rPr>
          <w:rFonts w:ascii="Times New Roman" w:eastAsia="Times New Roman" w:hAnsi="Times New Roman" w:cs="Times New Roman"/>
          <w:sz w:val="24"/>
          <w:szCs w:val="24"/>
        </w:rPr>
        <w:br/>
        <w:t xml:space="preserve">462. The Court cannot however leave it at that. Since it now has to rule on the claim for reparation, it must ascertain whether, and to what extent, the injury asserted by the Applicant is the consequence of wrongful conduct by the Respondent with the consequence that the Respondent should be required to make reparation for it, in accordance with the principle of customary international law stated above. In this context, the question just mentioned, whether the genocide at Srebrenica would have taken place even if the Respondent had attempted to prevent it by employing all means in its possession, becomes directly relevant, for the definition of the extent of the obligation of reparation borne by the Respondent as a result of its wrongful conduct. The question is whether there is a sufficiently direct and certain causal nexus between the wrongful act, the Respondent’s breach of the obligation to prevent genocide, and the injury suffered by the Applicant, consisting of all damage of any type, material or moral, caused by the acts of genocide. Such a nexus could be considered established only if the Court were able to conclude from the case as a whole and with a sufficient </w:t>
      </w:r>
      <w:r w:rsidRPr="00BE407E">
        <w:rPr>
          <w:rFonts w:ascii="Times New Roman" w:eastAsia="Times New Roman" w:hAnsi="Times New Roman" w:cs="Times New Roman"/>
          <w:sz w:val="24"/>
          <w:szCs w:val="24"/>
        </w:rPr>
        <w:lastRenderedPageBreak/>
        <w:t>degree of certainty that the genocide at Srebrenica would in fact have been averted if the Respondent had acted in compliance with its legal obligations. However, the Court clearly cannot do so. As noted above, the Respondent did have significant means of influencing the Bosnian Serb military and political authorities which it could, and therefore should, have employed in an attempt to prevent the atrocities, but it has not been shown that, in the specific context of these events, those means would have sufficed to achieve the result which the Respondent should have sought. Since the Court cannot therefore regard as proven a causal nexus between the Respondent’s violation of its obligation of prevention and the damage resulting from the genocide at Srebrenica, financial compensation is not the appropriate form of reparation for the breach of the obligation to prevent genocide.</w:t>
      </w:r>
      <w:r w:rsidRPr="00BE407E">
        <w:rPr>
          <w:rFonts w:ascii="Times New Roman" w:eastAsia="Times New Roman" w:hAnsi="Times New Roman" w:cs="Times New Roman"/>
          <w:sz w:val="24"/>
          <w:szCs w:val="24"/>
        </w:rPr>
        <w:br/>
        <w:t xml:space="preserve">463. It is however clear that the Applicant is entitled to reparation in the form of satisfaction, and this may take the most appropriate form, as the Applicant itself suggested, of a declaration in the present Judgment that the Respondent has failed to comply with the obligation imposed by the Convention to prevent the crime of genocide. As in the </w:t>
      </w:r>
      <w:r w:rsidRPr="00BE407E">
        <w:rPr>
          <w:rFonts w:ascii="Times New Roman" w:eastAsia="Times New Roman" w:hAnsi="Times New Roman" w:cs="Times New Roman"/>
          <w:i/>
          <w:iCs/>
          <w:sz w:val="24"/>
          <w:szCs w:val="24"/>
        </w:rPr>
        <w:t xml:space="preserve">Corfu Channel (United Kingdom </w:t>
      </w:r>
      <w:r w:rsidRPr="00BE407E">
        <w:rPr>
          <w:rFonts w:ascii="Times New Roman" w:eastAsia="Times New Roman" w:hAnsi="Times New Roman" w:cs="Times New Roman"/>
          <w:sz w:val="24"/>
          <w:szCs w:val="24"/>
        </w:rPr>
        <w:t xml:space="preserve">v. </w:t>
      </w:r>
      <w:r w:rsidRPr="00BE407E">
        <w:rPr>
          <w:rFonts w:ascii="Times New Roman" w:eastAsia="Times New Roman" w:hAnsi="Times New Roman" w:cs="Times New Roman"/>
          <w:i/>
          <w:iCs/>
          <w:sz w:val="24"/>
          <w:szCs w:val="24"/>
        </w:rPr>
        <w:t xml:space="preserve">Albania) </w:t>
      </w:r>
      <w:r w:rsidRPr="00BE407E">
        <w:rPr>
          <w:rFonts w:ascii="Times New Roman" w:eastAsia="Times New Roman" w:hAnsi="Times New Roman" w:cs="Times New Roman"/>
          <w:sz w:val="24"/>
          <w:szCs w:val="24"/>
        </w:rPr>
        <w:t>case, the Court considers that a declaration of this kind is “in itself appropriate satisfaction” (</w:t>
      </w:r>
      <w:r w:rsidRPr="00BE407E">
        <w:rPr>
          <w:rFonts w:ascii="Times New Roman" w:eastAsia="Times New Roman" w:hAnsi="Times New Roman" w:cs="Times New Roman"/>
          <w:i/>
          <w:iCs/>
          <w:sz w:val="24"/>
          <w:szCs w:val="24"/>
        </w:rPr>
        <w:t>Merits, Judgment, I.C.J. Reports 1949</w:t>
      </w:r>
      <w:r w:rsidRPr="00BE407E">
        <w:rPr>
          <w:rFonts w:ascii="Times New Roman" w:eastAsia="Times New Roman" w:hAnsi="Times New Roman" w:cs="Times New Roman"/>
          <w:sz w:val="24"/>
          <w:szCs w:val="24"/>
        </w:rPr>
        <w:t xml:space="preserve">, pp. 35, 36), and it will, as in that case, include such a declaration in the operative clause of the present Judgment. The Applicant acknowledges that this failure is no longer continuing, and accordingly has withdrawn the request made in the Reply that the Court declare that the Respondent “has violated </w:t>
      </w:r>
      <w:r w:rsidRPr="00BE407E">
        <w:rPr>
          <w:rFonts w:ascii="Times New Roman" w:eastAsia="Times New Roman" w:hAnsi="Times New Roman" w:cs="Times New Roman"/>
          <w:i/>
          <w:iCs/>
          <w:sz w:val="24"/>
          <w:szCs w:val="24"/>
        </w:rPr>
        <w:t xml:space="preserve">and is violating </w:t>
      </w:r>
      <w:r w:rsidRPr="00BE407E">
        <w:rPr>
          <w:rFonts w:ascii="Times New Roman" w:eastAsia="Times New Roman" w:hAnsi="Times New Roman" w:cs="Times New Roman"/>
          <w:sz w:val="24"/>
          <w:szCs w:val="24"/>
        </w:rPr>
        <w:t>the Convention” (emphasis added).</w:t>
      </w:r>
      <w:r w:rsidRPr="00BE407E">
        <w:rPr>
          <w:rFonts w:ascii="Times New Roman" w:eastAsia="Times New Roman" w:hAnsi="Times New Roman" w:cs="Times New Roman"/>
          <w:sz w:val="24"/>
          <w:szCs w:val="24"/>
        </w:rPr>
        <w:br/>
        <w:t xml:space="preserve">464. The Court now turns to the question of the appropriate reparation for the breach by the Respondent of its obligation under the Convention to punish acts of genocide; in this respect, the Applicant asserts the existence of a continuing breach, and therefore maintains </w:t>
      </w:r>
      <w:r w:rsidRPr="00BE407E">
        <w:rPr>
          <w:rFonts w:ascii="Times New Roman" w:eastAsia="Times New Roman" w:hAnsi="Times New Roman" w:cs="Times New Roman"/>
          <w:i/>
          <w:iCs/>
          <w:sz w:val="24"/>
          <w:szCs w:val="24"/>
        </w:rPr>
        <w:t xml:space="preserve">(inter alia) </w:t>
      </w:r>
      <w:r w:rsidRPr="00BE407E">
        <w:rPr>
          <w:rFonts w:ascii="Times New Roman" w:eastAsia="Times New Roman" w:hAnsi="Times New Roman" w:cs="Times New Roman"/>
          <w:sz w:val="24"/>
          <w:szCs w:val="24"/>
        </w:rPr>
        <w:t>its request for a declaration in that sense. As noted above (paragraph 440), the Applicant includes under this heading the failure “to transfer individuals accused of genocide or any other act prohibited by the Convention to the International Criminal Tribunal for the former Yugoslavia and to fully co-operate with this Tribunal”; and the Court has found that in that respect the Respondent is indeed in breach of Article VI of the Convention (paragraph 449 above). A declaration to that effect is therefore one appropriate form of satisfaction, in the same way as in relation to the breach of the obligation to prevent genocide. However, the Applicant asks the Court in this respect to decide more specifically that</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“Serbia and Montenegro shall immediately take effective steps to ensure full compliance with its obligation to punish acts of genocide under the Convention on the Prevention and Punishment of the Crime of Genocide or any other act prohibited by the Convention and to transfer individuals accused of genocide or any other act prohibited by the Convention to the International Criminal Tribunal for the former Yugoslavia and to fully co-operate with this Tribunal.”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465. It will be clear from the Court’s findings above on the question of the obligation to punish under the Convention that it is satisfied that the Respondent has outstanding obligations as regards the transfer to the ICTY of persons accused of genocide, in order to comply with its obligations under Articles I and VI of the Genocide Convention, in particular in respect of General Ratko Mladić (paragraph 448). The Court will therefore make a declaration in these terms in the operative clause of the present Judgment, which will in its view constitute appropriate satisfaction.</w:t>
      </w:r>
      <w:r w:rsidRPr="00BE407E">
        <w:rPr>
          <w:rFonts w:ascii="Times New Roman" w:eastAsia="Times New Roman" w:hAnsi="Times New Roman" w:cs="Times New Roman"/>
          <w:sz w:val="24"/>
          <w:szCs w:val="24"/>
        </w:rPr>
        <w:br/>
        <w:t xml:space="preserve">466. In its final submissions, the Applicant also requests the Court to decide “that Serbia and Montenegro shall provide specific guarantees and assurances that it will not repeat the wrongful acts complained of, the form of which guarantees and assurances is </w:t>
      </w:r>
      <w:r w:rsidRPr="00BE407E">
        <w:rPr>
          <w:rFonts w:ascii="Times New Roman" w:eastAsia="Times New Roman" w:hAnsi="Times New Roman" w:cs="Times New Roman"/>
          <w:sz w:val="24"/>
          <w:szCs w:val="24"/>
        </w:rPr>
        <w:lastRenderedPageBreak/>
        <w:t>to be determined by the Court”. As presented, this submission relates to all the wrongful acts, i.e. breaches of the Genocide Convention, attributed by the Applicant to the Respondent, thus including alleged breaches of the Respondent’s obligation not itself to commit genocide, as well as the ancillary obligations under the Convention concerning complicity, conspiracy and incitement. Insofar as the Court has not upheld these claims, the submission falls. There remains however the question whether it is appropriate to direct that the Respondent provide guarantees and assurances of non-repetition in relation to the established breaches of the obligations to prevent and punish genocide. The Court notes the reasons advanced by counsel for the Applicant at the hearings in support of the submission, which relate for the most part to “recent events [which] cannot fail to cause concern as to whether movements in Serbia and Montenegro calling for genocide have disappeared”. It considers that these indications do not constitute sufficient grounds for requiring guarantees of non-repetition. The Applicant also referred in this connection to the question of non-compliance with provisional measures, but this matter has already been examined above (paragraphs 451 to 458), and will be mentioned further below. In the circumstances, the Court considers that the declaration referred to in paragraph 465 above is sufficient as regards the Respondent’s continuing duty of punishment, and therefore does not consider that this is a case in which a direction for guarantees of non-repetition would be appropriate.</w:t>
      </w:r>
      <w:r>
        <w:rPr>
          <w:rFonts w:ascii="Times New Roman" w:eastAsia="Times New Roman" w:hAnsi="Times New Roman" w:cs="Times New Roman"/>
          <w:noProof/>
          <w:sz w:val="24"/>
          <w:szCs w:val="24"/>
        </w:rPr>
        <w:drawing>
          <wp:inline distT="0" distB="0" distL="0" distR="0">
            <wp:extent cx="151130" cy="142875"/>
            <wp:effectExtent l="19050" t="0" r="1270" b="0"/>
            <wp:docPr id="3309" name="Imagen 3309"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9"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the </w:t>
      </w:r>
      <w:r w:rsidRPr="00BE407E">
        <w:rPr>
          <w:rFonts w:ascii="Times New Roman" w:eastAsia="Times New Roman" w:hAnsi="Times New Roman" w:cs="Times New Roman"/>
          <w:i/>
          <w:iCs/>
          <w:sz w:val="24"/>
          <w:szCs w:val="24"/>
        </w:rPr>
        <w:t>Pulp Mills on the River Uruguay case</w:t>
      </w:r>
      <w:r w:rsidRPr="00BE407E">
        <w:rPr>
          <w:rFonts w:ascii="Times New Roman" w:eastAsia="Times New Roman" w:hAnsi="Times New Roman" w:cs="Times New Roman"/>
          <w:sz w:val="24"/>
          <w:szCs w:val="24"/>
        </w:rPr>
        <w:t xml:space="preserve"> in 2010, the ICJ held that restitution was an acceptable form of reparation for injury in customary international law. The ICJ stated:</w:t>
      </w:r>
      <w:r w:rsidRPr="00BE407E">
        <w:rPr>
          <w:rFonts w:ascii="Times New Roman" w:eastAsia="Times New Roman" w:hAnsi="Times New Roman" w:cs="Times New Roman"/>
          <w:sz w:val="24"/>
          <w:szCs w:val="24"/>
        </w:rPr>
        <w:br/>
        <w:t>273. The Court recalls that customary international law provides for restitution as one form of reparation for injury, restitution being the re-establishment of the situation which existed before occurrence of the wrongful act. The Court further recalls that, where restitution is materially impossible or involves a burden out of all proportion to the benefit deriving from it, reparation takes the form of compensation or satisfaction, or even both (see</w:t>
      </w:r>
      <w:r w:rsidRPr="00BE407E">
        <w:rPr>
          <w:rFonts w:ascii="Times New Roman" w:eastAsia="Times New Roman" w:hAnsi="Times New Roman" w:cs="Times New Roman"/>
          <w:i/>
          <w:iCs/>
          <w:sz w:val="24"/>
          <w:szCs w:val="24"/>
        </w:rPr>
        <w:t xml:space="preserve"> Gabčíkovo-Nagymaros Project (Hungary/Slovakia), Judgment, I.C.J. Reports 1997</w:t>
      </w:r>
      <w:r w:rsidRPr="00BE407E">
        <w:rPr>
          <w:rFonts w:ascii="Times New Roman" w:eastAsia="Times New Roman" w:hAnsi="Times New Roman" w:cs="Times New Roman"/>
          <w:sz w:val="24"/>
          <w:szCs w:val="24"/>
        </w:rPr>
        <w:t>, p. 81, para. 152;</w:t>
      </w:r>
      <w:r w:rsidRPr="00BE407E">
        <w:rPr>
          <w:rFonts w:ascii="Times New Roman" w:eastAsia="Times New Roman" w:hAnsi="Times New Roman" w:cs="Times New Roman"/>
          <w:i/>
          <w:iCs/>
          <w:sz w:val="24"/>
          <w:szCs w:val="24"/>
        </w:rPr>
        <w:t xml:space="preserve"> Legal Consequences of the Construction of a Wall in the Occupied Palestinian Territory, Advisory Opinion, I.C.J. Reports 2004 (I)</w:t>
      </w:r>
      <w:r w:rsidRPr="00BE407E">
        <w:rPr>
          <w:rFonts w:ascii="Times New Roman" w:eastAsia="Times New Roman" w:hAnsi="Times New Roman" w:cs="Times New Roman"/>
          <w:sz w:val="24"/>
          <w:szCs w:val="24"/>
        </w:rPr>
        <w:t xml:space="preserve">, p. 198, paras. 152–153; </w:t>
      </w:r>
      <w:r w:rsidRPr="00BE407E">
        <w:rPr>
          <w:rFonts w:ascii="Times New Roman" w:eastAsia="Times New Roman" w:hAnsi="Times New Roman" w:cs="Times New Roman"/>
          <w:i/>
          <w:iCs/>
          <w:sz w:val="24"/>
          <w:szCs w:val="24"/>
        </w:rPr>
        <w:t>Application of the Convention on the Prevention and Punishment of the Crime of Genocide (Bosnia and Herzegovina v. Serbia and Montenegro), Judgment, I.C.J. Reports 2007 (I)</w:t>
      </w:r>
      <w:r w:rsidRPr="00BE407E">
        <w:rPr>
          <w:rFonts w:ascii="Times New Roman" w:eastAsia="Times New Roman" w:hAnsi="Times New Roman" w:cs="Times New Roman"/>
          <w:sz w:val="24"/>
          <w:szCs w:val="24"/>
        </w:rPr>
        <w:t>, p. 233, para. 460; see also Articles 34 to 37 of the International Law Commission Articles on the Responsibility of States for Internationally Wrongful Acts).</w:t>
      </w:r>
      <w:r w:rsidRPr="00BE407E">
        <w:rPr>
          <w:rFonts w:ascii="Times New Roman" w:eastAsia="Times New Roman" w:hAnsi="Times New Roman" w:cs="Times New Roman"/>
          <w:sz w:val="24"/>
          <w:szCs w:val="24"/>
        </w:rPr>
        <w:br/>
        <w:t>274. Like other forms of reparation, restitution must be appropriate to the injury suffered, taking into account the nature of the wrongful act having caused it. As the Court has made clear,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[w]hat constitutes “reparation in an adequate form” clearly varies depending upon the concrete circumstances surrounding each case and the precise nature and scope of the injury, since the question has to be examined from the viewpoint of what is the ‘reparation in an adequate form’ that corresponds to the injury (</w:t>
      </w:r>
      <w:r w:rsidRPr="00BE407E">
        <w:rPr>
          <w:rFonts w:ascii="Times New Roman" w:eastAsia="Times New Roman" w:hAnsi="Times New Roman" w:cs="Times New Roman"/>
          <w:i/>
          <w:iCs/>
          <w:sz w:val="24"/>
          <w:szCs w:val="24"/>
        </w:rPr>
        <w:t>Avena and Other Mexican Nationals (Mexico v. United States of America), Judgment, I.C.J. Reports 2004 (I)</w:t>
      </w:r>
      <w:r w:rsidRPr="00BE407E">
        <w:rPr>
          <w:rFonts w:ascii="Times New Roman" w:eastAsia="Times New Roman" w:hAnsi="Times New Roman" w:cs="Times New Roman"/>
          <w:sz w:val="24"/>
          <w:szCs w:val="24"/>
        </w:rPr>
        <w:t>, p. 59, para. 119).</w:t>
      </w:r>
      <w:r>
        <w:rPr>
          <w:rFonts w:ascii="Times New Roman" w:eastAsia="Times New Roman" w:hAnsi="Times New Roman" w:cs="Times New Roman"/>
          <w:noProof/>
          <w:sz w:val="24"/>
          <w:szCs w:val="24"/>
        </w:rPr>
        <w:drawing>
          <wp:inline distT="0" distB="0" distL="0" distR="0">
            <wp:extent cx="151130" cy="142875"/>
            <wp:effectExtent l="19050" t="0" r="1270" b="0"/>
            <wp:docPr id="3310" name="Imagen 3310"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0"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European Court of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its judgment in </w:t>
      </w:r>
      <w:r w:rsidRPr="00BE407E">
        <w:rPr>
          <w:rFonts w:ascii="Times New Roman" w:eastAsia="Times New Roman" w:hAnsi="Times New Roman" w:cs="Times New Roman"/>
          <w:i/>
          <w:iCs/>
          <w:sz w:val="24"/>
          <w:szCs w:val="24"/>
        </w:rPr>
        <w:t>Akdivar and Others v. Turkey</w:t>
      </w:r>
      <w:r w:rsidRPr="00BE407E">
        <w:rPr>
          <w:rFonts w:ascii="Times New Roman" w:eastAsia="Times New Roman" w:hAnsi="Times New Roman" w:cs="Times New Roman"/>
          <w:sz w:val="24"/>
          <w:szCs w:val="24"/>
        </w:rPr>
        <w:t xml:space="preserve"> in 1998, the European Court of Human Rights stated:</w:t>
      </w:r>
      <w:r w:rsidRPr="00BE407E">
        <w:rPr>
          <w:rFonts w:ascii="Times New Roman" w:eastAsia="Times New Roman" w:hAnsi="Times New Roman" w:cs="Times New Roman"/>
          <w:sz w:val="24"/>
          <w:szCs w:val="24"/>
        </w:rPr>
        <w:br/>
        <w:t>45. The applicants further submitted that the Court should confirm … that the government should (1) bear the costs of necessary repairs in [their village] to enable the applicants to continue their way of life there; and (2) remove any obstacle preventing the applicants from returning to their village.</w:t>
      </w:r>
      <w:r w:rsidRPr="00BE407E">
        <w:rPr>
          <w:rFonts w:ascii="Times New Roman" w:eastAsia="Times New Roman" w:hAnsi="Times New Roman" w:cs="Times New Roman"/>
          <w:sz w:val="24"/>
          <w:szCs w:val="24"/>
        </w:rPr>
        <w:br/>
      </w:r>
      <w:r w:rsidRPr="00BE407E">
        <w:rPr>
          <w:rFonts w:ascii="Times New Roman" w:eastAsia="Times New Roman" w:hAnsi="Times New Roman" w:cs="Times New Roman"/>
          <w:sz w:val="24"/>
          <w:szCs w:val="24"/>
        </w:rPr>
        <w:lastRenderedPageBreak/>
        <w:t xml:space="preserve">In their view, such confirmation was necessary to prevent future and continuing violations of the Convention, in particular the </w:t>
      </w:r>
      <w:r w:rsidRPr="00BE407E">
        <w:rPr>
          <w:rFonts w:ascii="Times New Roman" w:eastAsia="Times New Roman" w:hAnsi="Times New Roman" w:cs="Times New Roman"/>
          <w:i/>
          <w:iCs/>
          <w:sz w:val="24"/>
          <w:szCs w:val="24"/>
        </w:rPr>
        <w:t>de facto</w:t>
      </w:r>
      <w:r w:rsidRPr="00BE407E">
        <w:rPr>
          <w:rFonts w:ascii="Times New Roman" w:eastAsia="Times New Roman" w:hAnsi="Times New Roman" w:cs="Times New Roman"/>
          <w:sz w:val="24"/>
          <w:szCs w:val="24"/>
        </w:rPr>
        <w:t xml:space="preserve"> expropriation of their property.</w:t>
      </w:r>
      <w:r w:rsidRPr="00BE407E">
        <w:rPr>
          <w:rFonts w:ascii="Times New Roman" w:eastAsia="Times New Roman" w:hAnsi="Times New Roman" w:cs="Times New Roman"/>
          <w:sz w:val="24"/>
          <w:szCs w:val="24"/>
        </w:rPr>
        <w:br/>
        <w:t>46. The government maintained that the restoration of rights is not feasible due to the emergency conditions prevailing in the region. However, resettlement will take place when the local inhabitants feel themselves to be safe from terrorist atrocities.</w:t>
      </w:r>
      <w:r w:rsidRPr="00BE407E">
        <w:rPr>
          <w:rFonts w:ascii="Times New Roman" w:eastAsia="Times New Roman" w:hAnsi="Times New Roman" w:cs="Times New Roman"/>
          <w:sz w:val="24"/>
          <w:szCs w:val="24"/>
        </w:rPr>
        <w:br/>
        <w:t>47. The Court recalls that a judgement in which it finds a breach imposes on the respondent State a legal obligation to put an end to such breach and make reparation for its consequences in such a way as to restore as far as possible the situation existing before the breach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However, if </w:t>
      </w:r>
      <w:r w:rsidRPr="00BE407E">
        <w:rPr>
          <w:rFonts w:ascii="Times New Roman" w:eastAsia="Times New Roman" w:hAnsi="Times New Roman" w:cs="Times New Roman"/>
          <w:i/>
          <w:iCs/>
          <w:sz w:val="24"/>
          <w:szCs w:val="24"/>
        </w:rPr>
        <w:t>restitutio in integrum</w:t>
      </w:r>
      <w:r w:rsidRPr="00BE407E">
        <w:rPr>
          <w:rFonts w:ascii="Times New Roman" w:eastAsia="Times New Roman" w:hAnsi="Times New Roman" w:cs="Times New Roman"/>
          <w:sz w:val="24"/>
          <w:szCs w:val="24"/>
        </w:rPr>
        <w:t xml:space="preserve"> is in practice impossible, the respondent States are free to choose the means whereby they will comply with a judgement in which the Court has found a breach, and the Court will not make consequential orders or declaratory statements in this regard.</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Inter-American Commission on Human Rights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2000, in </w:t>
      </w:r>
      <w:r w:rsidRPr="00BE407E">
        <w:rPr>
          <w:rFonts w:ascii="Times New Roman" w:eastAsia="Times New Roman" w:hAnsi="Times New Roman" w:cs="Times New Roman"/>
          <w:i/>
          <w:iCs/>
          <w:sz w:val="24"/>
          <w:szCs w:val="24"/>
        </w:rPr>
        <w:t>Monsignor Oscar Arnulfo Romero y Galdámez (El Salvador)</w:t>
      </w:r>
      <w:r w:rsidRPr="00BE407E">
        <w:rPr>
          <w:rFonts w:ascii="Times New Roman" w:eastAsia="Times New Roman" w:hAnsi="Times New Roman" w:cs="Times New Roman"/>
          <w:sz w:val="24"/>
          <w:szCs w:val="24"/>
        </w:rPr>
        <w:t>, the Inter-American Commission on Human Rights stated:</w:t>
      </w:r>
      <w:r w:rsidRPr="00BE407E">
        <w:rPr>
          <w:rFonts w:ascii="Times New Roman" w:eastAsia="Times New Roman" w:hAnsi="Times New Roman" w:cs="Times New Roman"/>
          <w:sz w:val="24"/>
          <w:szCs w:val="24"/>
        </w:rPr>
        <w:br/>
        <w:t>122. … The [Inter-American Commission on Human Rights] concludes that El Salvador has violated, to the prejudice of the victim’s relatives, the right to judicial guarantees established in Article 8(1) of the American Convention and the right to judicial protection, set forth at Article 25 of the Convention. The Commission also concludes that the Salvadoran State, by virtue of the conduct of the authorities and institutions identified in this report, is responsible for failing to carry out its duty to investigate seriously and in good faith the violation of rights recognized by the American Convention; to identify the persons responsible for that violation, place them on trial, punish them, and make reparations for the human rights violations; and for failing in its duty to guarantee rights as established in Article 1(1).</w:t>
      </w:r>
      <w:r w:rsidRPr="00BE407E">
        <w:rPr>
          <w:rFonts w:ascii="Times New Roman" w:eastAsia="Times New Roman" w:hAnsi="Times New Roman" w:cs="Times New Roman"/>
          <w:sz w:val="24"/>
          <w:szCs w:val="24"/>
        </w:rPr>
        <w:br/>
        <w:t>…</w:t>
      </w:r>
      <w:r w:rsidRPr="00BE407E">
        <w:rPr>
          <w:rFonts w:ascii="Times New Roman" w:eastAsia="Times New Roman" w:hAnsi="Times New Roman" w:cs="Times New Roman"/>
          <w:sz w:val="24"/>
          <w:szCs w:val="24"/>
        </w:rPr>
        <w:br/>
        <w:t>147. For its part, the Human Rights Committee of the United Nations has established, on several occasions, and specifically with respect to violations of the right to life, that the victims’ next-of-kin have a right to be compensated for those violations due, among other things, to the fact that they do not know the circumstances of the death and the persons responsible for the crime. The UN human rights organs have clarified and insisted that the duty to make reparations for damage is not satisfied merely by offering a sum of money to the victims’ next-of-kin. First, an end must be brought to their uncertainty and ignorance, i.e. they must be given the complete and public knowledge of the truth.</w:t>
      </w:r>
      <w:r w:rsidRPr="00BE407E">
        <w:rPr>
          <w:rFonts w:ascii="Times New Roman" w:eastAsia="Times New Roman" w:hAnsi="Times New Roman" w:cs="Times New Roman"/>
          <w:sz w:val="24"/>
          <w:szCs w:val="24"/>
        </w:rPr>
        <w:br/>
        <w:t>148. The right that all persons and society have to know the full, complete, and public truth as to the events transpired, their specific circumstances, and who participated in them is part of the right to reparation for human rights violations, with respect to satisfaction and guarantees of non-repetition. The right of a society to have full knowledge of its past is not only a mode of reparation and clarification of what has happened, but is also aimed at preventing future violations.</w:t>
      </w:r>
      <w:r>
        <w:rPr>
          <w:rFonts w:ascii="Times New Roman" w:eastAsia="Times New Roman" w:hAnsi="Times New Roman" w:cs="Times New Roman"/>
          <w:noProof/>
          <w:sz w:val="24"/>
          <w:szCs w:val="24"/>
        </w:rPr>
        <w:drawing>
          <wp:inline distT="0" distB="0" distL="0" distR="0">
            <wp:extent cx="151130" cy="142875"/>
            <wp:effectExtent l="19050" t="0" r="1270" b="0"/>
            <wp:docPr id="3311" name="Imagen 3311"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1"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Inter-American Court of Human Rights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In 2001, in the case of the </w:t>
      </w:r>
      <w:r w:rsidRPr="00BE407E">
        <w:rPr>
          <w:rFonts w:ascii="Times New Roman" w:eastAsia="Times New Roman" w:hAnsi="Times New Roman" w:cs="Times New Roman"/>
          <w:i/>
          <w:iCs/>
          <w:sz w:val="24"/>
          <w:szCs w:val="24"/>
        </w:rPr>
        <w:t>Street Children v. Guatemala</w:t>
      </w:r>
      <w:r w:rsidRPr="00BE407E">
        <w:rPr>
          <w:rFonts w:ascii="Times New Roman" w:eastAsia="Times New Roman" w:hAnsi="Times New Roman" w:cs="Times New Roman"/>
          <w:sz w:val="24"/>
          <w:szCs w:val="24"/>
        </w:rPr>
        <w:t>, the Inter-American Court of Human Rights, referring to other judgements which it had rendered, stated:</w:t>
      </w:r>
      <w:r w:rsidRPr="00BE407E">
        <w:rPr>
          <w:rFonts w:ascii="Times New Roman" w:eastAsia="Times New Roman" w:hAnsi="Times New Roman" w:cs="Times New Roman"/>
          <w:sz w:val="24"/>
          <w:szCs w:val="24"/>
        </w:rPr>
        <w:br/>
        <w:t xml:space="preserve">100. On many occasions, this Court has referred to the right of the next of kin of the victims to know what happened and the identity of the State agents responsible for the acts. “[W]henever there has been a human rights violation, the State has a duty to investigate the facts and punish those responsible, […] and this obligation must be complied with seriously and not as a mere formality”. Moreover, this Court has indicated that the State “is obliged to combat [impunity] by all available legal means, </w:t>
      </w:r>
      <w:r w:rsidRPr="00BE407E">
        <w:rPr>
          <w:rFonts w:ascii="Times New Roman" w:eastAsia="Times New Roman" w:hAnsi="Times New Roman" w:cs="Times New Roman"/>
          <w:sz w:val="24"/>
          <w:szCs w:val="24"/>
        </w:rPr>
        <w:lastRenderedPageBreak/>
        <w:t>because [impunity] encourages the chronic repetition of human rights violations and the total defenselessness of the victims and their next of kin”.</w:t>
      </w:r>
      <w:r w:rsidRPr="00BE407E">
        <w:rPr>
          <w:rFonts w:ascii="Times New Roman" w:eastAsia="Times New Roman" w:hAnsi="Times New Roman" w:cs="Times New Roman"/>
          <w:sz w:val="24"/>
          <w:szCs w:val="24"/>
        </w:rPr>
        <w:br/>
        <w:t>101. Accordingly, the Court reiterates that Guatemala is obliged to investigate the facts that generated the violations of the American Convention in the instant case, identify those responsible and punish them.</w:t>
      </w:r>
      <w:r>
        <w:rPr>
          <w:rFonts w:ascii="Times New Roman" w:eastAsia="Times New Roman" w:hAnsi="Times New Roman" w:cs="Times New Roman"/>
          <w:noProof/>
          <w:sz w:val="24"/>
          <w:szCs w:val="24"/>
        </w:rPr>
        <w:drawing>
          <wp:inline distT="0" distB="0" distL="0" distR="0">
            <wp:extent cx="151130" cy="142875"/>
            <wp:effectExtent l="19050" t="0" r="1270" b="0"/>
            <wp:docPr id="3312" name="Imagen 3312"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2"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6" w:name="SectionC_XIInReCr"/>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"javascript:openUrlLight('src_XIInReCr')"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XI. International Red Cross and Red Crescent Movement</w:t>
      </w:r>
      <w:r w:rsidRPr="00BE407E">
        <w:rPr>
          <w:rFonts w:ascii="Times New Roman" w:eastAsia="Times New Roman" w:hAnsi="Times New Roman" w:cs="Times New Roman"/>
          <w:sz w:val="24"/>
          <w:szCs w:val="24"/>
        </w:rPr>
        <w:fldChar w:fldCharType="end"/>
      </w:r>
      <w:bookmarkEnd w:id="466"/>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ICRC</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1993, in a report submitted to the UN General Assembly on the protection of the environment in time of armed conflict, the ICRC stated:</w:t>
      </w:r>
      <w:r w:rsidRPr="00BE407E">
        <w:rPr>
          <w:rFonts w:ascii="Times New Roman" w:eastAsia="Times New Roman" w:hAnsi="Times New Roman" w:cs="Times New Roman"/>
          <w:sz w:val="24"/>
          <w:szCs w:val="24"/>
        </w:rPr>
        <w:br/>
        <w:t>Article 1, common to the four Geneva Conventions and to Protocol I, stipulates that the contracting States are under an obligation “to respect and ensure respect for” those instruments. Beyond that, and on a more general level, a State is responsible for every act or omission attributable to it and amounting to a breach of an international obligation incumbent on it, including in the field of the international protection of the environment. States affected by such a breach are entitled to insist on the implementation of such rules of State responsibility, including cessation of the unlawful conduct [and] restitution.</w:t>
      </w:r>
      <w:r>
        <w:rPr>
          <w:rFonts w:ascii="Times New Roman" w:eastAsia="Times New Roman" w:hAnsi="Times New Roman" w:cs="Times New Roman"/>
          <w:noProof/>
          <w:sz w:val="24"/>
          <w:szCs w:val="24"/>
        </w:rPr>
        <w:drawing>
          <wp:inline distT="0" distB="0" distL="0" distR="0">
            <wp:extent cx="151130" cy="142875"/>
            <wp:effectExtent l="19050" t="0" r="1270" b="0"/>
            <wp:docPr id="3313" name="Imagen 3313"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3"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Back to top</w:t>
      </w:r>
    </w:p>
    <w:bookmarkStart w:id="467" w:name="SectionC_XIOt"/>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fldChar w:fldCharType="begin"/>
      </w:r>
      <w:r w:rsidRPr="00BE407E">
        <w:rPr>
          <w:rFonts w:ascii="Times New Roman" w:eastAsia="Times New Roman" w:hAnsi="Times New Roman" w:cs="Times New Roman"/>
          <w:sz w:val="24"/>
          <w:szCs w:val="24"/>
        </w:rPr>
        <w:instrText xml:space="preserve"> HYPERLINK "javascript:openUrlLight('src_XIOt')" </w:instrText>
      </w:r>
      <w:r w:rsidRPr="00BE407E">
        <w:rPr>
          <w:rFonts w:ascii="Times New Roman" w:eastAsia="Times New Roman" w:hAnsi="Times New Roman" w:cs="Times New Roman"/>
          <w:sz w:val="24"/>
          <w:szCs w:val="24"/>
        </w:rPr>
        <w:fldChar w:fldCharType="separate"/>
      </w:r>
      <w:r w:rsidRPr="00BE407E">
        <w:rPr>
          <w:rFonts w:ascii="Times New Roman" w:eastAsia="Times New Roman" w:hAnsi="Times New Roman" w:cs="Times New Roman"/>
          <w:color w:val="0000FF"/>
          <w:sz w:val="24"/>
          <w:szCs w:val="24"/>
          <w:u w:val="single"/>
        </w:rPr>
        <w:t>XII. Other</w:t>
      </w:r>
      <w:r w:rsidRPr="00BE407E">
        <w:rPr>
          <w:rFonts w:ascii="Times New Roman" w:eastAsia="Times New Roman" w:hAnsi="Times New Roman" w:cs="Times New Roman"/>
          <w:sz w:val="24"/>
          <w:szCs w:val="24"/>
        </w:rPr>
        <w:fldChar w:fldCharType="end"/>
      </w:r>
      <w:bookmarkEnd w:id="467"/>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Spanish Junta de Defensa Nacional</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In 1936, during the Spanish Civil War, in a note to the Portuguese Minister of Foreign Negotiations, the President of the Spanish Junta de Defensa Nacional, while denouncing and condemning certain acts of assassination, mistreatment and damage allegedly committed against his side and non-belligerent third parties by members of the adverse party (the “Red Forces Armed by the Government of Madrid”), apologised to the offended foreign government on the ground that the opposite side had not been able to enforce border security because it lacked the most elemental attributes of a territorial power. The President of the Spanish Junta de Defensa Nacional gave a guarantee to the Portuguese authorities that in no case would such acts be repeated and that the culprits would be prosecuted and punished. Moreover, he expressed his intention to repair the damage caused.</w:t>
      </w:r>
      <w:r>
        <w:rPr>
          <w:rFonts w:ascii="Times New Roman" w:eastAsia="Times New Roman" w:hAnsi="Times New Roman" w:cs="Times New Roman"/>
          <w:noProof/>
          <w:sz w:val="24"/>
          <w:szCs w:val="24"/>
        </w:rPr>
        <w:drawing>
          <wp:inline distT="0" distB="0" distL="0" distR="0">
            <wp:extent cx="151130" cy="142875"/>
            <wp:effectExtent l="19050" t="0" r="1270" b="0"/>
            <wp:docPr id="3314" name="Imagen 3314"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4"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American Law Institute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The Restatement (Third) of the Foreign Relations Law of the United States, adopted and promulgated by the American Law Institute in 1986, provides: </w:t>
      </w:r>
      <w:r w:rsidRPr="00BE407E">
        <w:rPr>
          <w:rFonts w:ascii="Times New Roman" w:eastAsia="Times New Roman" w:hAnsi="Times New Roman" w:cs="Times New Roman"/>
          <w:sz w:val="24"/>
          <w:szCs w:val="24"/>
        </w:rPr>
        <w:br/>
        <w:t>Under international law, a state that has violated a legal obligation to another state is required to terminate the violation and, ordinarily, to make reparation, including in appropriate circumstances restitution or compensation for loss or injury.</w:t>
      </w:r>
      <w:r>
        <w:rPr>
          <w:rFonts w:ascii="Times New Roman" w:eastAsia="Times New Roman" w:hAnsi="Times New Roman" w:cs="Times New Roman"/>
          <w:noProof/>
          <w:sz w:val="24"/>
          <w:szCs w:val="24"/>
        </w:rPr>
        <w:drawing>
          <wp:inline distT="0" distB="0" distL="0" distR="0">
            <wp:extent cx="151130" cy="142875"/>
            <wp:effectExtent l="19050" t="0" r="1270" b="0"/>
            <wp:docPr id="3315" name="Imagen 3315"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5"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r w:rsidRPr="00BE407E">
        <w:rPr>
          <w:rFonts w:ascii="Times New Roman" w:eastAsia="Times New Roman" w:hAnsi="Times New Roman" w:cs="Times New Roman"/>
          <w:sz w:val="24"/>
          <w:szCs w:val="24"/>
        </w:rPr>
        <w:br/>
        <w:t>A private person, whether natural or juridical, injured by a violation of an international obligation by a state, may bring a claim against that state or assert that violation as a defense:</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(a) in a competent international forum when the state has consented to the jurisdiction of that forum with respect to such private claims;</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(b) in a court or other tribunal of that state pursuant to its law; or</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(c) in a court or other tribunal of the injured person’s state of nationality or of a third state, pursuant to the law of such state, subject to limitations under international law.</w:t>
      </w:r>
      <w:r>
        <w:rPr>
          <w:rFonts w:ascii="Times New Roman" w:eastAsia="Times New Roman" w:hAnsi="Times New Roman" w:cs="Times New Roman"/>
          <w:noProof/>
          <w:sz w:val="24"/>
          <w:szCs w:val="24"/>
        </w:rPr>
        <w:drawing>
          <wp:inline distT="0" distB="0" distL="0" distR="0">
            <wp:extent cx="151130" cy="142875"/>
            <wp:effectExtent l="19050" t="0" r="1270" b="0"/>
            <wp:docPr id="3316" name="Imagen 3316"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6"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 xml:space="preserve">Commission for Displaced Persons and Refugees </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 xml:space="preserve">It was reported that, in the period from the beginning of its operations in March 1996 to the end of February 1999, the Commission for Displaced Persons and Refugees, established by Article VII of the Agreement on Refugees and Displaced Persons </w:t>
      </w:r>
      <w:r w:rsidRPr="00BE407E">
        <w:rPr>
          <w:rFonts w:ascii="Times New Roman" w:eastAsia="Times New Roman" w:hAnsi="Times New Roman" w:cs="Times New Roman"/>
          <w:sz w:val="24"/>
          <w:szCs w:val="24"/>
          <w:lang w:val="en-US"/>
        </w:rPr>
        <w:lastRenderedPageBreak/>
        <w:t>annexed to the 1995 Dayton Accords, had registered over 126,000 claims relating to almost 160,000 properties. It was expected that up to 500,000 claims could be submitted.</w:t>
      </w:r>
      <w:r>
        <w:rPr>
          <w:rFonts w:ascii="Times New Roman" w:eastAsia="Times New Roman" w:hAnsi="Times New Roman" w:cs="Times New Roman"/>
          <w:noProof/>
          <w:sz w:val="24"/>
          <w:szCs w:val="24"/>
        </w:rPr>
        <w:drawing>
          <wp:inline distT="0" distB="0" distL="0" distR="0">
            <wp:extent cx="151130" cy="142875"/>
            <wp:effectExtent l="19050" t="0" r="1270" b="0"/>
            <wp:docPr id="3317" name="Imagen 3317"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7"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Women’s International War Crimes Tribunal for the Trial of Japanese Military Sexual Slavery</w:t>
      </w:r>
    </w:p>
    <w:p w:rsidR="00BE407E" w:rsidRPr="00BE407E" w:rsidRDefault="00BE407E" w:rsidP="00BE407E">
      <w:pPr>
        <w:spacing w:after="0" w:line="240" w:lineRule="auto"/>
        <w:rPr>
          <w:rFonts w:ascii="Times New Roman" w:eastAsia="Times New Roman" w:hAnsi="Times New Roman" w:cs="Times New Roman"/>
          <w:sz w:val="24"/>
          <w:szCs w:val="24"/>
          <w:lang w:val="en-US"/>
        </w:rPr>
      </w:pPr>
      <w:r w:rsidRPr="00BE407E">
        <w:rPr>
          <w:rFonts w:ascii="Times New Roman" w:eastAsia="Times New Roman" w:hAnsi="Times New Roman" w:cs="Times New Roman"/>
          <w:sz w:val="24"/>
          <w:szCs w:val="24"/>
          <w:lang w:val="en-US"/>
        </w:rPr>
        <w:t>The Women’s International War Crimes Tribunal for the Trial of Japanese Military Sexual Slavery stated: “Reparation includes any or all forms that are applicable to the situation and cover all injuries suffered by the victim.”</w:t>
      </w:r>
      <w:r>
        <w:rPr>
          <w:rFonts w:ascii="Times New Roman" w:eastAsia="Times New Roman" w:hAnsi="Times New Roman" w:cs="Times New Roman"/>
          <w:noProof/>
          <w:sz w:val="24"/>
          <w:szCs w:val="24"/>
        </w:rPr>
        <w:drawing>
          <wp:inline distT="0" distB="0" distL="0" distR="0">
            <wp:extent cx="151130" cy="142875"/>
            <wp:effectExtent l="19050" t="0" r="1270" b="0"/>
            <wp:docPr id="3318" name="Imagen 3318" descr="https://ihl-databases.icrc.org/customary-ihl/eng/fn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8" descr="https://ihl-databases.icrc.org/customary-ihl/eng/fnIcon.gif"/>
                    <pic:cNvPicPr>
                      <a:picLocks noChangeAspect="1" noChangeArrowheads="1"/>
                    </pic:cNvPicPr>
                  </pic:nvPicPr>
                  <pic:blipFill>
                    <a:blip r:embed="rId4"/>
                    <a:srcRect/>
                    <a:stretch>
                      <a:fillRect/>
                    </a:stretch>
                  </pic:blipFill>
                  <pic:spPr bwMode="auto">
                    <a:xfrm>
                      <a:off x="0" y="0"/>
                      <a:ext cx="151130" cy="142875"/>
                    </a:xfrm>
                    <a:prstGeom prst="rect">
                      <a:avLst/>
                    </a:prstGeom>
                    <a:noFill/>
                    <a:ln w="9525">
                      <a:noFill/>
                      <a:miter lim="800000"/>
                      <a:headEnd/>
                      <a:tailEnd/>
                    </a:ln>
                  </pic:spPr>
                </pic:pic>
              </a:graphicData>
            </a:graphic>
          </wp:inline>
        </w:drawing>
      </w:r>
      <w:r w:rsidRPr="00BE407E">
        <w:rPr>
          <w:rFonts w:ascii="Times New Roman" w:eastAsia="Times New Roman" w:hAnsi="Times New Roman" w:cs="Times New Roman"/>
          <w:sz w:val="24"/>
          <w:szCs w:val="24"/>
          <w:lang w:val="en-US"/>
        </w:rPr>
        <w:t> </w:t>
      </w:r>
    </w:p>
    <w:p w:rsidR="00BE407E" w:rsidRPr="00BE407E" w:rsidRDefault="00BE407E" w:rsidP="00BE407E">
      <w:pPr>
        <w:spacing w:after="0" w:line="240" w:lineRule="auto"/>
        <w:rPr>
          <w:rFonts w:ascii="Times New Roman" w:eastAsia="Times New Roman" w:hAnsi="Times New Roman" w:cs="Times New Roman"/>
          <w:sz w:val="24"/>
          <w:szCs w:val="24"/>
        </w:rPr>
      </w:pPr>
      <w:r w:rsidRPr="00BE407E">
        <w:rPr>
          <w:rFonts w:ascii="Times New Roman" w:eastAsia="Times New Roman" w:hAnsi="Times New Roman" w:cs="Times New Roman"/>
          <w:sz w:val="24"/>
          <w:szCs w:val="24"/>
        </w:rPr>
        <w:t>Ejército de Liberación Nacional (ELN)</w:t>
      </w:r>
    </w:p>
    <w:p w:rsidR="00F40642" w:rsidRPr="00BE407E" w:rsidRDefault="00BE407E" w:rsidP="00BE407E">
      <w:pPr>
        <w:rPr>
          <w:lang w:val="en-US"/>
        </w:rPr>
      </w:pPr>
      <w:r w:rsidRPr="00BE407E">
        <w:rPr>
          <w:rFonts w:ascii="Times New Roman" w:eastAsia="Times New Roman" w:hAnsi="Times New Roman" w:cs="Times New Roman"/>
          <w:sz w:val="24"/>
          <w:szCs w:val="24"/>
          <w:lang w:val="en-US"/>
        </w:rPr>
        <w:t>In 2001, a provincial arm of the ELN in Colombia publicly apologised for the death of three children and the destruction of civilian houses which resulted from an attack with explosives which members of the ELN had conducted against a police station in the district of San Francisco, Oriente Antioqueño (Industrial Area). The ELN, which itself defined the attack as an “action of war”, expressed its deep and sincere condolences to all those who had been affected by the explosion and expressed its willingness to collaborate in the recuperation of the remaining objects.</w:t>
      </w:r>
    </w:p>
    <w:p w:rsidR="00F40642" w:rsidRDefault="00F40642">
      <w:pPr>
        <w:rPr>
          <w:lang w:val="en-US"/>
        </w:rPr>
      </w:pPr>
    </w:p>
    <w:p w:rsidR="00F40642" w:rsidRDefault="00F40642">
      <w:pPr>
        <w:rPr>
          <w:lang w:val="en-US"/>
        </w:rPr>
      </w:pPr>
    </w:p>
    <w:p w:rsidR="00B431DD" w:rsidRDefault="00B431DD">
      <w:pPr>
        <w:rPr>
          <w:lang w:val="en-US"/>
        </w:rPr>
      </w:pPr>
    </w:p>
    <w:p w:rsidR="00B431DD" w:rsidRDefault="00B431DD">
      <w:pPr>
        <w:rPr>
          <w:lang w:val="en-US"/>
        </w:rPr>
      </w:pPr>
    </w:p>
    <w:p w:rsidR="00B431DD" w:rsidRDefault="00B431DD">
      <w:pPr>
        <w:rPr>
          <w:lang w:val="en-US"/>
        </w:rPr>
      </w:pPr>
    </w:p>
    <w:p w:rsidR="00B431DD" w:rsidRDefault="00B431DD">
      <w:pPr>
        <w:rPr>
          <w:lang w:val="en-US"/>
        </w:rPr>
      </w:pPr>
    </w:p>
    <w:p w:rsidR="00B431DD" w:rsidRDefault="00B431DD">
      <w:pPr>
        <w:rPr>
          <w:lang w:val="en-US"/>
        </w:rPr>
      </w:pPr>
    </w:p>
    <w:p w:rsidR="00B431DD" w:rsidRDefault="00B431DD">
      <w:pPr>
        <w:rPr>
          <w:lang w:val="en-US"/>
        </w:rPr>
      </w:pPr>
    </w:p>
    <w:p w:rsidR="00490E70" w:rsidRPr="00530144" w:rsidRDefault="00490E70">
      <w:pPr>
        <w:rPr>
          <w:lang w:val="en-US"/>
        </w:rPr>
      </w:pPr>
    </w:p>
    <w:sectPr w:rsidR="00490E70" w:rsidRPr="0053014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useFELayout/>
  </w:compat>
  <w:rsids>
    <w:rsidRoot w:val="005D025A"/>
    <w:rsid w:val="00085258"/>
    <w:rsid w:val="0017585A"/>
    <w:rsid w:val="00212CC1"/>
    <w:rsid w:val="004406D2"/>
    <w:rsid w:val="00490E70"/>
    <w:rsid w:val="004D5C23"/>
    <w:rsid w:val="004D74E4"/>
    <w:rsid w:val="00530144"/>
    <w:rsid w:val="005D025A"/>
    <w:rsid w:val="00615181"/>
    <w:rsid w:val="006155D3"/>
    <w:rsid w:val="006801A6"/>
    <w:rsid w:val="007308BA"/>
    <w:rsid w:val="00784E7C"/>
    <w:rsid w:val="007D4751"/>
    <w:rsid w:val="00A52B0A"/>
    <w:rsid w:val="00AB2A03"/>
    <w:rsid w:val="00B431DD"/>
    <w:rsid w:val="00BE407E"/>
    <w:rsid w:val="00C74F6F"/>
    <w:rsid w:val="00CB5D38"/>
    <w:rsid w:val="00D32F30"/>
    <w:rsid w:val="00E848A7"/>
    <w:rsid w:val="00F40642"/>
    <w:rsid w:val="00FB00F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intro">
    <w:name w:val="intro"/>
    <w:basedOn w:val="Fuentedeprrafopredeter"/>
    <w:rsid w:val="00530144"/>
  </w:style>
  <w:style w:type="character" w:customStyle="1" w:styleId="normal0">
    <w:name w:val="normal"/>
    <w:basedOn w:val="Fuentedeprrafopredeter"/>
    <w:rsid w:val="00530144"/>
  </w:style>
  <w:style w:type="character" w:styleId="Hipervnculo">
    <w:name w:val="Hyperlink"/>
    <w:basedOn w:val="Fuentedeprrafopredeter"/>
    <w:uiPriority w:val="99"/>
    <w:semiHidden/>
    <w:unhideWhenUsed/>
    <w:rsid w:val="00530144"/>
    <w:rPr>
      <w:color w:val="0000FF"/>
      <w:u w:val="single"/>
    </w:rPr>
  </w:style>
  <w:style w:type="character" w:styleId="Hipervnculovisitado">
    <w:name w:val="FollowedHyperlink"/>
    <w:basedOn w:val="Fuentedeprrafopredeter"/>
    <w:uiPriority w:val="99"/>
    <w:semiHidden/>
    <w:unhideWhenUsed/>
    <w:rsid w:val="006155D3"/>
    <w:rPr>
      <w:color w:val="800080"/>
      <w:u w:val="single"/>
    </w:rPr>
  </w:style>
  <w:style w:type="character" w:customStyle="1" w:styleId="quote">
    <w:name w:val="quote"/>
    <w:basedOn w:val="Fuentedeprrafopredeter"/>
    <w:rsid w:val="006155D3"/>
  </w:style>
  <w:style w:type="paragraph" w:styleId="Textodeglobo">
    <w:name w:val="Balloon Text"/>
    <w:basedOn w:val="Normal"/>
    <w:link w:val="TextodegloboCar"/>
    <w:uiPriority w:val="99"/>
    <w:semiHidden/>
    <w:unhideWhenUsed/>
    <w:rsid w:val="006155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55D3"/>
    <w:rPr>
      <w:rFonts w:ascii="Tahoma" w:hAnsi="Tahoma" w:cs="Tahoma"/>
      <w:sz w:val="16"/>
      <w:szCs w:val="16"/>
    </w:rPr>
  </w:style>
  <w:style w:type="character" w:customStyle="1" w:styleId="normalgreen">
    <w:name w:val="normalgreen"/>
    <w:basedOn w:val="Fuentedeprrafopredeter"/>
    <w:rsid w:val="0017585A"/>
  </w:style>
  <w:style w:type="character" w:customStyle="1" w:styleId="quotegreen">
    <w:name w:val="quotegreen"/>
    <w:basedOn w:val="Fuentedeprrafopredeter"/>
    <w:rsid w:val="0017585A"/>
  </w:style>
  <w:style w:type="character" w:customStyle="1" w:styleId="normalbullet">
    <w:name w:val="normalbullet"/>
    <w:basedOn w:val="Fuentedeprrafopredeter"/>
    <w:rsid w:val="00615181"/>
  </w:style>
  <w:style w:type="character" w:customStyle="1" w:styleId="normalunderline">
    <w:name w:val="normalunderline"/>
    <w:basedOn w:val="Fuentedeprrafopredeter"/>
    <w:rsid w:val="00BE407E"/>
  </w:style>
  <w:style w:type="character" w:customStyle="1" w:styleId="note">
    <w:name w:val="note"/>
    <w:basedOn w:val="Fuentedeprrafopredeter"/>
    <w:rsid w:val="00BE407E"/>
  </w:style>
</w:styles>
</file>

<file path=word/webSettings.xml><?xml version="1.0" encoding="utf-8"?>
<w:webSettings xmlns:r="http://schemas.openxmlformats.org/officeDocument/2006/relationships" xmlns:w="http://schemas.openxmlformats.org/wordprocessingml/2006/main">
  <w:divs>
    <w:div w:id="114102988">
      <w:bodyDiv w:val="1"/>
      <w:marLeft w:val="0"/>
      <w:marRight w:val="0"/>
      <w:marTop w:val="0"/>
      <w:marBottom w:val="0"/>
      <w:divBdr>
        <w:top w:val="none" w:sz="0" w:space="0" w:color="auto"/>
        <w:left w:val="none" w:sz="0" w:space="0" w:color="auto"/>
        <w:bottom w:val="none" w:sz="0" w:space="0" w:color="auto"/>
        <w:right w:val="none" w:sz="0" w:space="0" w:color="auto"/>
      </w:divBdr>
      <w:divsChild>
        <w:div w:id="1942373556">
          <w:marLeft w:val="0"/>
          <w:marRight w:val="0"/>
          <w:marTop w:val="0"/>
          <w:marBottom w:val="0"/>
          <w:divBdr>
            <w:top w:val="none" w:sz="0" w:space="0" w:color="auto"/>
            <w:left w:val="none" w:sz="0" w:space="0" w:color="auto"/>
            <w:bottom w:val="none" w:sz="0" w:space="0" w:color="auto"/>
            <w:right w:val="none" w:sz="0" w:space="0" w:color="auto"/>
          </w:divBdr>
          <w:divsChild>
            <w:div w:id="702482688">
              <w:marLeft w:val="0"/>
              <w:marRight w:val="0"/>
              <w:marTop w:val="0"/>
              <w:marBottom w:val="0"/>
              <w:divBdr>
                <w:top w:val="none" w:sz="0" w:space="0" w:color="auto"/>
                <w:left w:val="none" w:sz="0" w:space="0" w:color="auto"/>
                <w:bottom w:val="none" w:sz="0" w:space="0" w:color="auto"/>
                <w:right w:val="none" w:sz="0" w:space="0" w:color="auto"/>
              </w:divBdr>
            </w:div>
            <w:div w:id="1591234977">
              <w:marLeft w:val="0"/>
              <w:marRight w:val="0"/>
              <w:marTop w:val="0"/>
              <w:marBottom w:val="0"/>
              <w:divBdr>
                <w:top w:val="none" w:sz="0" w:space="0" w:color="auto"/>
                <w:left w:val="none" w:sz="0" w:space="0" w:color="auto"/>
                <w:bottom w:val="none" w:sz="0" w:space="0" w:color="auto"/>
                <w:right w:val="none" w:sz="0" w:space="0" w:color="auto"/>
              </w:divBdr>
              <w:divsChild>
                <w:div w:id="318847730">
                  <w:marLeft w:val="0"/>
                  <w:marRight w:val="0"/>
                  <w:marTop w:val="0"/>
                  <w:marBottom w:val="0"/>
                  <w:divBdr>
                    <w:top w:val="none" w:sz="0" w:space="0" w:color="auto"/>
                    <w:left w:val="none" w:sz="0" w:space="0" w:color="auto"/>
                    <w:bottom w:val="none" w:sz="0" w:space="0" w:color="auto"/>
                    <w:right w:val="none" w:sz="0" w:space="0" w:color="auto"/>
                  </w:divBdr>
                  <w:divsChild>
                    <w:div w:id="161547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40585">
              <w:marLeft w:val="0"/>
              <w:marRight w:val="0"/>
              <w:marTop w:val="0"/>
              <w:marBottom w:val="0"/>
              <w:divBdr>
                <w:top w:val="none" w:sz="0" w:space="0" w:color="auto"/>
                <w:left w:val="none" w:sz="0" w:space="0" w:color="auto"/>
                <w:bottom w:val="none" w:sz="0" w:space="0" w:color="auto"/>
                <w:right w:val="none" w:sz="0" w:space="0" w:color="auto"/>
              </w:divBdr>
            </w:div>
            <w:div w:id="872382329">
              <w:marLeft w:val="0"/>
              <w:marRight w:val="0"/>
              <w:marTop w:val="0"/>
              <w:marBottom w:val="0"/>
              <w:divBdr>
                <w:top w:val="none" w:sz="0" w:space="0" w:color="auto"/>
                <w:left w:val="none" w:sz="0" w:space="0" w:color="auto"/>
                <w:bottom w:val="none" w:sz="0" w:space="0" w:color="auto"/>
                <w:right w:val="none" w:sz="0" w:space="0" w:color="auto"/>
              </w:divBdr>
            </w:div>
            <w:div w:id="1999841062">
              <w:marLeft w:val="0"/>
              <w:marRight w:val="0"/>
              <w:marTop w:val="0"/>
              <w:marBottom w:val="0"/>
              <w:divBdr>
                <w:top w:val="none" w:sz="0" w:space="0" w:color="auto"/>
                <w:left w:val="none" w:sz="0" w:space="0" w:color="auto"/>
                <w:bottom w:val="none" w:sz="0" w:space="0" w:color="auto"/>
                <w:right w:val="none" w:sz="0" w:space="0" w:color="auto"/>
              </w:divBdr>
            </w:div>
            <w:div w:id="2010135418">
              <w:marLeft w:val="0"/>
              <w:marRight w:val="0"/>
              <w:marTop w:val="0"/>
              <w:marBottom w:val="0"/>
              <w:divBdr>
                <w:top w:val="none" w:sz="0" w:space="0" w:color="auto"/>
                <w:left w:val="none" w:sz="0" w:space="0" w:color="auto"/>
                <w:bottom w:val="none" w:sz="0" w:space="0" w:color="auto"/>
                <w:right w:val="none" w:sz="0" w:space="0" w:color="auto"/>
              </w:divBdr>
            </w:div>
            <w:div w:id="1379011726">
              <w:marLeft w:val="0"/>
              <w:marRight w:val="0"/>
              <w:marTop w:val="0"/>
              <w:marBottom w:val="0"/>
              <w:divBdr>
                <w:top w:val="none" w:sz="0" w:space="0" w:color="auto"/>
                <w:left w:val="none" w:sz="0" w:space="0" w:color="auto"/>
                <w:bottom w:val="none" w:sz="0" w:space="0" w:color="auto"/>
                <w:right w:val="none" w:sz="0" w:space="0" w:color="auto"/>
              </w:divBdr>
            </w:div>
            <w:div w:id="1001155061">
              <w:marLeft w:val="0"/>
              <w:marRight w:val="0"/>
              <w:marTop w:val="0"/>
              <w:marBottom w:val="0"/>
              <w:divBdr>
                <w:top w:val="none" w:sz="0" w:space="0" w:color="auto"/>
                <w:left w:val="none" w:sz="0" w:space="0" w:color="auto"/>
                <w:bottom w:val="none" w:sz="0" w:space="0" w:color="auto"/>
                <w:right w:val="none" w:sz="0" w:space="0" w:color="auto"/>
              </w:divBdr>
            </w:div>
            <w:div w:id="332296416">
              <w:marLeft w:val="0"/>
              <w:marRight w:val="0"/>
              <w:marTop w:val="0"/>
              <w:marBottom w:val="0"/>
              <w:divBdr>
                <w:top w:val="none" w:sz="0" w:space="0" w:color="auto"/>
                <w:left w:val="none" w:sz="0" w:space="0" w:color="auto"/>
                <w:bottom w:val="none" w:sz="0" w:space="0" w:color="auto"/>
                <w:right w:val="none" w:sz="0" w:space="0" w:color="auto"/>
              </w:divBdr>
            </w:div>
            <w:div w:id="1916090823">
              <w:marLeft w:val="0"/>
              <w:marRight w:val="0"/>
              <w:marTop w:val="0"/>
              <w:marBottom w:val="0"/>
              <w:divBdr>
                <w:top w:val="none" w:sz="0" w:space="0" w:color="auto"/>
                <w:left w:val="none" w:sz="0" w:space="0" w:color="auto"/>
                <w:bottom w:val="none" w:sz="0" w:space="0" w:color="auto"/>
                <w:right w:val="none" w:sz="0" w:space="0" w:color="auto"/>
              </w:divBdr>
            </w:div>
            <w:div w:id="690491250">
              <w:marLeft w:val="0"/>
              <w:marRight w:val="0"/>
              <w:marTop w:val="0"/>
              <w:marBottom w:val="0"/>
              <w:divBdr>
                <w:top w:val="none" w:sz="0" w:space="0" w:color="auto"/>
                <w:left w:val="none" w:sz="0" w:space="0" w:color="auto"/>
                <w:bottom w:val="none" w:sz="0" w:space="0" w:color="auto"/>
                <w:right w:val="none" w:sz="0" w:space="0" w:color="auto"/>
              </w:divBdr>
            </w:div>
            <w:div w:id="252862118">
              <w:marLeft w:val="0"/>
              <w:marRight w:val="0"/>
              <w:marTop w:val="0"/>
              <w:marBottom w:val="0"/>
              <w:divBdr>
                <w:top w:val="none" w:sz="0" w:space="0" w:color="auto"/>
                <w:left w:val="none" w:sz="0" w:space="0" w:color="auto"/>
                <w:bottom w:val="none" w:sz="0" w:space="0" w:color="auto"/>
                <w:right w:val="none" w:sz="0" w:space="0" w:color="auto"/>
              </w:divBdr>
            </w:div>
            <w:div w:id="676735085">
              <w:marLeft w:val="0"/>
              <w:marRight w:val="0"/>
              <w:marTop w:val="0"/>
              <w:marBottom w:val="0"/>
              <w:divBdr>
                <w:top w:val="none" w:sz="0" w:space="0" w:color="auto"/>
                <w:left w:val="none" w:sz="0" w:space="0" w:color="auto"/>
                <w:bottom w:val="none" w:sz="0" w:space="0" w:color="auto"/>
                <w:right w:val="none" w:sz="0" w:space="0" w:color="auto"/>
              </w:divBdr>
            </w:div>
            <w:div w:id="2007055122">
              <w:marLeft w:val="0"/>
              <w:marRight w:val="0"/>
              <w:marTop w:val="0"/>
              <w:marBottom w:val="0"/>
              <w:divBdr>
                <w:top w:val="none" w:sz="0" w:space="0" w:color="auto"/>
                <w:left w:val="none" w:sz="0" w:space="0" w:color="auto"/>
                <w:bottom w:val="none" w:sz="0" w:space="0" w:color="auto"/>
                <w:right w:val="none" w:sz="0" w:space="0" w:color="auto"/>
              </w:divBdr>
            </w:div>
            <w:div w:id="1025717920">
              <w:marLeft w:val="0"/>
              <w:marRight w:val="0"/>
              <w:marTop w:val="0"/>
              <w:marBottom w:val="0"/>
              <w:divBdr>
                <w:top w:val="none" w:sz="0" w:space="0" w:color="auto"/>
                <w:left w:val="none" w:sz="0" w:space="0" w:color="auto"/>
                <w:bottom w:val="none" w:sz="0" w:space="0" w:color="auto"/>
                <w:right w:val="none" w:sz="0" w:space="0" w:color="auto"/>
              </w:divBdr>
            </w:div>
            <w:div w:id="948856826">
              <w:marLeft w:val="0"/>
              <w:marRight w:val="0"/>
              <w:marTop w:val="0"/>
              <w:marBottom w:val="0"/>
              <w:divBdr>
                <w:top w:val="none" w:sz="0" w:space="0" w:color="auto"/>
                <w:left w:val="none" w:sz="0" w:space="0" w:color="auto"/>
                <w:bottom w:val="none" w:sz="0" w:space="0" w:color="auto"/>
                <w:right w:val="none" w:sz="0" w:space="0" w:color="auto"/>
              </w:divBdr>
            </w:div>
            <w:div w:id="29500184">
              <w:marLeft w:val="0"/>
              <w:marRight w:val="0"/>
              <w:marTop w:val="0"/>
              <w:marBottom w:val="0"/>
              <w:divBdr>
                <w:top w:val="none" w:sz="0" w:space="0" w:color="auto"/>
                <w:left w:val="none" w:sz="0" w:space="0" w:color="auto"/>
                <w:bottom w:val="none" w:sz="0" w:space="0" w:color="auto"/>
                <w:right w:val="none" w:sz="0" w:space="0" w:color="auto"/>
              </w:divBdr>
            </w:div>
            <w:div w:id="1332752624">
              <w:marLeft w:val="0"/>
              <w:marRight w:val="0"/>
              <w:marTop w:val="0"/>
              <w:marBottom w:val="0"/>
              <w:divBdr>
                <w:top w:val="none" w:sz="0" w:space="0" w:color="auto"/>
                <w:left w:val="none" w:sz="0" w:space="0" w:color="auto"/>
                <w:bottom w:val="none" w:sz="0" w:space="0" w:color="auto"/>
                <w:right w:val="none" w:sz="0" w:space="0" w:color="auto"/>
              </w:divBdr>
            </w:div>
            <w:div w:id="78254725">
              <w:marLeft w:val="0"/>
              <w:marRight w:val="0"/>
              <w:marTop w:val="0"/>
              <w:marBottom w:val="0"/>
              <w:divBdr>
                <w:top w:val="none" w:sz="0" w:space="0" w:color="auto"/>
                <w:left w:val="none" w:sz="0" w:space="0" w:color="auto"/>
                <w:bottom w:val="none" w:sz="0" w:space="0" w:color="auto"/>
                <w:right w:val="none" w:sz="0" w:space="0" w:color="auto"/>
              </w:divBdr>
            </w:div>
            <w:div w:id="1984121841">
              <w:marLeft w:val="0"/>
              <w:marRight w:val="0"/>
              <w:marTop w:val="0"/>
              <w:marBottom w:val="0"/>
              <w:divBdr>
                <w:top w:val="none" w:sz="0" w:space="0" w:color="auto"/>
                <w:left w:val="none" w:sz="0" w:space="0" w:color="auto"/>
                <w:bottom w:val="none" w:sz="0" w:space="0" w:color="auto"/>
                <w:right w:val="none" w:sz="0" w:space="0" w:color="auto"/>
              </w:divBdr>
              <w:divsChild>
                <w:div w:id="297805120">
                  <w:marLeft w:val="0"/>
                  <w:marRight w:val="0"/>
                  <w:marTop w:val="0"/>
                  <w:marBottom w:val="0"/>
                  <w:divBdr>
                    <w:top w:val="none" w:sz="0" w:space="0" w:color="auto"/>
                    <w:left w:val="none" w:sz="0" w:space="0" w:color="auto"/>
                    <w:bottom w:val="none" w:sz="0" w:space="0" w:color="auto"/>
                    <w:right w:val="none" w:sz="0" w:space="0" w:color="auto"/>
                  </w:divBdr>
                </w:div>
                <w:div w:id="267203114">
                  <w:marLeft w:val="0"/>
                  <w:marRight w:val="0"/>
                  <w:marTop w:val="0"/>
                  <w:marBottom w:val="0"/>
                  <w:divBdr>
                    <w:top w:val="none" w:sz="0" w:space="0" w:color="auto"/>
                    <w:left w:val="none" w:sz="0" w:space="0" w:color="auto"/>
                    <w:bottom w:val="none" w:sz="0" w:space="0" w:color="auto"/>
                    <w:right w:val="none" w:sz="0" w:space="0" w:color="auto"/>
                  </w:divBdr>
                </w:div>
                <w:div w:id="424375554">
                  <w:marLeft w:val="0"/>
                  <w:marRight w:val="0"/>
                  <w:marTop w:val="0"/>
                  <w:marBottom w:val="0"/>
                  <w:divBdr>
                    <w:top w:val="none" w:sz="0" w:space="0" w:color="auto"/>
                    <w:left w:val="none" w:sz="0" w:space="0" w:color="auto"/>
                    <w:bottom w:val="none" w:sz="0" w:space="0" w:color="auto"/>
                    <w:right w:val="none" w:sz="0" w:space="0" w:color="auto"/>
                  </w:divBdr>
                </w:div>
              </w:divsChild>
            </w:div>
            <w:div w:id="1902596167">
              <w:marLeft w:val="0"/>
              <w:marRight w:val="0"/>
              <w:marTop w:val="0"/>
              <w:marBottom w:val="0"/>
              <w:divBdr>
                <w:top w:val="none" w:sz="0" w:space="0" w:color="auto"/>
                <w:left w:val="none" w:sz="0" w:space="0" w:color="auto"/>
                <w:bottom w:val="none" w:sz="0" w:space="0" w:color="auto"/>
                <w:right w:val="none" w:sz="0" w:space="0" w:color="auto"/>
              </w:divBdr>
            </w:div>
            <w:div w:id="698363065">
              <w:marLeft w:val="0"/>
              <w:marRight w:val="0"/>
              <w:marTop w:val="0"/>
              <w:marBottom w:val="0"/>
              <w:divBdr>
                <w:top w:val="none" w:sz="0" w:space="0" w:color="auto"/>
                <w:left w:val="none" w:sz="0" w:space="0" w:color="auto"/>
                <w:bottom w:val="none" w:sz="0" w:space="0" w:color="auto"/>
                <w:right w:val="none" w:sz="0" w:space="0" w:color="auto"/>
              </w:divBdr>
              <w:divsChild>
                <w:div w:id="1458908111">
                  <w:marLeft w:val="0"/>
                  <w:marRight w:val="0"/>
                  <w:marTop w:val="0"/>
                  <w:marBottom w:val="0"/>
                  <w:divBdr>
                    <w:top w:val="none" w:sz="0" w:space="0" w:color="auto"/>
                    <w:left w:val="none" w:sz="0" w:space="0" w:color="auto"/>
                    <w:bottom w:val="none" w:sz="0" w:space="0" w:color="auto"/>
                    <w:right w:val="none" w:sz="0" w:space="0" w:color="auto"/>
                  </w:divBdr>
                </w:div>
                <w:div w:id="1043091367">
                  <w:marLeft w:val="0"/>
                  <w:marRight w:val="0"/>
                  <w:marTop w:val="0"/>
                  <w:marBottom w:val="0"/>
                  <w:divBdr>
                    <w:top w:val="none" w:sz="0" w:space="0" w:color="auto"/>
                    <w:left w:val="none" w:sz="0" w:space="0" w:color="auto"/>
                    <w:bottom w:val="none" w:sz="0" w:space="0" w:color="auto"/>
                    <w:right w:val="none" w:sz="0" w:space="0" w:color="auto"/>
                  </w:divBdr>
                </w:div>
                <w:div w:id="1562868075">
                  <w:marLeft w:val="0"/>
                  <w:marRight w:val="0"/>
                  <w:marTop w:val="0"/>
                  <w:marBottom w:val="0"/>
                  <w:divBdr>
                    <w:top w:val="none" w:sz="0" w:space="0" w:color="auto"/>
                    <w:left w:val="none" w:sz="0" w:space="0" w:color="auto"/>
                    <w:bottom w:val="none" w:sz="0" w:space="0" w:color="auto"/>
                    <w:right w:val="none" w:sz="0" w:space="0" w:color="auto"/>
                  </w:divBdr>
                </w:div>
              </w:divsChild>
            </w:div>
            <w:div w:id="1174685369">
              <w:marLeft w:val="0"/>
              <w:marRight w:val="0"/>
              <w:marTop w:val="0"/>
              <w:marBottom w:val="0"/>
              <w:divBdr>
                <w:top w:val="none" w:sz="0" w:space="0" w:color="auto"/>
                <w:left w:val="none" w:sz="0" w:space="0" w:color="auto"/>
                <w:bottom w:val="none" w:sz="0" w:space="0" w:color="auto"/>
                <w:right w:val="none" w:sz="0" w:space="0" w:color="auto"/>
              </w:divBdr>
            </w:div>
            <w:div w:id="1380594701">
              <w:marLeft w:val="0"/>
              <w:marRight w:val="0"/>
              <w:marTop w:val="0"/>
              <w:marBottom w:val="0"/>
              <w:divBdr>
                <w:top w:val="none" w:sz="0" w:space="0" w:color="auto"/>
                <w:left w:val="none" w:sz="0" w:space="0" w:color="auto"/>
                <w:bottom w:val="none" w:sz="0" w:space="0" w:color="auto"/>
                <w:right w:val="none" w:sz="0" w:space="0" w:color="auto"/>
              </w:divBdr>
            </w:div>
            <w:div w:id="2055690941">
              <w:marLeft w:val="0"/>
              <w:marRight w:val="0"/>
              <w:marTop w:val="0"/>
              <w:marBottom w:val="0"/>
              <w:divBdr>
                <w:top w:val="none" w:sz="0" w:space="0" w:color="auto"/>
                <w:left w:val="none" w:sz="0" w:space="0" w:color="auto"/>
                <w:bottom w:val="none" w:sz="0" w:space="0" w:color="auto"/>
                <w:right w:val="none" w:sz="0" w:space="0" w:color="auto"/>
              </w:divBdr>
            </w:div>
            <w:div w:id="373583987">
              <w:marLeft w:val="0"/>
              <w:marRight w:val="0"/>
              <w:marTop w:val="0"/>
              <w:marBottom w:val="0"/>
              <w:divBdr>
                <w:top w:val="none" w:sz="0" w:space="0" w:color="auto"/>
                <w:left w:val="none" w:sz="0" w:space="0" w:color="auto"/>
                <w:bottom w:val="none" w:sz="0" w:space="0" w:color="auto"/>
                <w:right w:val="none" w:sz="0" w:space="0" w:color="auto"/>
              </w:divBdr>
            </w:div>
            <w:div w:id="325984995">
              <w:marLeft w:val="0"/>
              <w:marRight w:val="0"/>
              <w:marTop w:val="0"/>
              <w:marBottom w:val="0"/>
              <w:divBdr>
                <w:top w:val="none" w:sz="0" w:space="0" w:color="auto"/>
                <w:left w:val="none" w:sz="0" w:space="0" w:color="auto"/>
                <w:bottom w:val="none" w:sz="0" w:space="0" w:color="auto"/>
                <w:right w:val="none" w:sz="0" w:space="0" w:color="auto"/>
              </w:divBdr>
            </w:div>
            <w:div w:id="1809082522">
              <w:marLeft w:val="0"/>
              <w:marRight w:val="0"/>
              <w:marTop w:val="0"/>
              <w:marBottom w:val="0"/>
              <w:divBdr>
                <w:top w:val="none" w:sz="0" w:space="0" w:color="auto"/>
                <w:left w:val="none" w:sz="0" w:space="0" w:color="auto"/>
                <w:bottom w:val="none" w:sz="0" w:space="0" w:color="auto"/>
                <w:right w:val="none" w:sz="0" w:space="0" w:color="auto"/>
              </w:divBdr>
            </w:div>
            <w:div w:id="175073335">
              <w:marLeft w:val="0"/>
              <w:marRight w:val="0"/>
              <w:marTop w:val="0"/>
              <w:marBottom w:val="0"/>
              <w:divBdr>
                <w:top w:val="none" w:sz="0" w:space="0" w:color="auto"/>
                <w:left w:val="none" w:sz="0" w:space="0" w:color="auto"/>
                <w:bottom w:val="none" w:sz="0" w:space="0" w:color="auto"/>
                <w:right w:val="none" w:sz="0" w:space="0" w:color="auto"/>
              </w:divBdr>
            </w:div>
            <w:div w:id="658728122">
              <w:marLeft w:val="0"/>
              <w:marRight w:val="0"/>
              <w:marTop w:val="0"/>
              <w:marBottom w:val="0"/>
              <w:divBdr>
                <w:top w:val="none" w:sz="0" w:space="0" w:color="auto"/>
                <w:left w:val="none" w:sz="0" w:space="0" w:color="auto"/>
                <w:bottom w:val="none" w:sz="0" w:space="0" w:color="auto"/>
                <w:right w:val="none" w:sz="0" w:space="0" w:color="auto"/>
              </w:divBdr>
            </w:div>
            <w:div w:id="1309627942">
              <w:marLeft w:val="0"/>
              <w:marRight w:val="0"/>
              <w:marTop w:val="0"/>
              <w:marBottom w:val="0"/>
              <w:divBdr>
                <w:top w:val="none" w:sz="0" w:space="0" w:color="auto"/>
                <w:left w:val="none" w:sz="0" w:space="0" w:color="auto"/>
                <w:bottom w:val="none" w:sz="0" w:space="0" w:color="auto"/>
                <w:right w:val="none" w:sz="0" w:space="0" w:color="auto"/>
              </w:divBdr>
            </w:div>
            <w:div w:id="479687501">
              <w:marLeft w:val="0"/>
              <w:marRight w:val="0"/>
              <w:marTop w:val="0"/>
              <w:marBottom w:val="0"/>
              <w:divBdr>
                <w:top w:val="none" w:sz="0" w:space="0" w:color="auto"/>
                <w:left w:val="none" w:sz="0" w:space="0" w:color="auto"/>
                <w:bottom w:val="none" w:sz="0" w:space="0" w:color="auto"/>
                <w:right w:val="none" w:sz="0" w:space="0" w:color="auto"/>
              </w:divBdr>
            </w:div>
            <w:div w:id="199903922">
              <w:marLeft w:val="0"/>
              <w:marRight w:val="0"/>
              <w:marTop w:val="0"/>
              <w:marBottom w:val="0"/>
              <w:divBdr>
                <w:top w:val="none" w:sz="0" w:space="0" w:color="auto"/>
                <w:left w:val="none" w:sz="0" w:space="0" w:color="auto"/>
                <w:bottom w:val="none" w:sz="0" w:space="0" w:color="auto"/>
                <w:right w:val="none" w:sz="0" w:space="0" w:color="auto"/>
              </w:divBdr>
            </w:div>
            <w:div w:id="483662271">
              <w:marLeft w:val="0"/>
              <w:marRight w:val="0"/>
              <w:marTop w:val="0"/>
              <w:marBottom w:val="0"/>
              <w:divBdr>
                <w:top w:val="none" w:sz="0" w:space="0" w:color="auto"/>
                <w:left w:val="none" w:sz="0" w:space="0" w:color="auto"/>
                <w:bottom w:val="none" w:sz="0" w:space="0" w:color="auto"/>
                <w:right w:val="none" w:sz="0" w:space="0" w:color="auto"/>
              </w:divBdr>
            </w:div>
            <w:div w:id="1127360745">
              <w:marLeft w:val="0"/>
              <w:marRight w:val="0"/>
              <w:marTop w:val="0"/>
              <w:marBottom w:val="0"/>
              <w:divBdr>
                <w:top w:val="none" w:sz="0" w:space="0" w:color="auto"/>
                <w:left w:val="none" w:sz="0" w:space="0" w:color="auto"/>
                <w:bottom w:val="none" w:sz="0" w:space="0" w:color="auto"/>
                <w:right w:val="none" w:sz="0" w:space="0" w:color="auto"/>
              </w:divBdr>
            </w:div>
            <w:div w:id="40831861">
              <w:marLeft w:val="0"/>
              <w:marRight w:val="0"/>
              <w:marTop w:val="0"/>
              <w:marBottom w:val="0"/>
              <w:divBdr>
                <w:top w:val="none" w:sz="0" w:space="0" w:color="auto"/>
                <w:left w:val="none" w:sz="0" w:space="0" w:color="auto"/>
                <w:bottom w:val="none" w:sz="0" w:space="0" w:color="auto"/>
                <w:right w:val="none" w:sz="0" w:space="0" w:color="auto"/>
              </w:divBdr>
            </w:div>
            <w:div w:id="501744727">
              <w:marLeft w:val="0"/>
              <w:marRight w:val="0"/>
              <w:marTop w:val="0"/>
              <w:marBottom w:val="0"/>
              <w:divBdr>
                <w:top w:val="none" w:sz="0" w:space="0" w:color="auto"/>
                <w:left w:val="none" w:sz="0" w:space="0" w:color="auto"/>
                <w:bottom w:val="none" w:sz="0" w:space="0" w:color="auto"/>
                <w:right w:val="none" w:sz="0" w:space="0" w:color="auto"/>
              </w:divBdr>
            </w:div>
            <w:div w:id="2079747024">
              <w:marLeft w:val="0"/>
              <w:marRight w:val="0"/>
              <w:marTop w:val="0"/>
              <w:marBottom w:val="0"/>
              <w:divBdr>
                <w:top w:val="none" w:sz="0" w:space="0" w:color="auto"/>
                <w:left w:val="none" w:sz="0" w:space="0" w:color="auto"/>
                <w:bottom w:val="none" w:sz="0" w:space="0" w:color="auto"/>
                <w:right w:val="none" w:sz="0" w:space="0" w:color="auto"/>
              </w:divBdr>
            </w:div>
            <w:div w:id="878666807">
              <w:marLeft w:val="0"/>
              <w:marRight w:val="0"/>
              <w:marTop w:val="0"/>
              <w:marBottom w:val="0"/>
              <w:divBdr>
                <w:top w:val="none" w:sz="0" w:space="0" w:color="auto"/>
                <w:left w:val="none" w:sz="0" w:space="0" w:color="auto"/>
                <w:bottom w:val="none" w:sz="0" w:space="0" w:color="auto"/>
                <w:right w:val="none" w:sz="0" w:space="0" w:color="auto"/>
              </w:divBdr>
            </w:div>
            <w:div w:id="899554891">
              <w:marLeft w:val="0"/>
              <w:marRight w:val="0"/>
              <w:marTop w:val="0"/>
              <w:marBottom w:val="0"/>
              <w:divBdr>
                <w:top w:val="none" w:sz="0" w:space="0" w:color="auto"/>
                <w:left w:val="none" w:sz="0" w:space="0" w:color="auto"/>
                <w:bottom w:val="none" w:sz="0" w:space="0" w:color="auto"/>
                <w:right w:val="none" w:sz="0" w:space="0" w:color="auto"/>
              </w:divBdr>
            </w:div>
            <w:div w:id="602685104">
              <w:marLeft w:val="0"/>
              <w:marRight w:val="0"/>
              <w:marTop w:val="0"/>
              <w:marBottom w:val="0"/>
              <w:divBdr>
                <w:top w:val="none" w:sz="0" w:space="0" w:color="auto"/>
                <w:left w:val="none" w:sz="0" w:space="0" w:color="auto"/>
                <w:bottom w:val="none" w:sz="0" w:space="0" w:color="auto"/>
                <w:right w:val="none" w:sz="0" w:space="0" w:color="auto"/>
              </w:divBdr>
            </w:div>
            <w:div w:id="1044065899">
              <w:marLeft w:val="0"/>
              <w:marRight w:val="0"/>
              <w:marTop w:val="0"/>
              <w:marBottom w:val="0"/>
              <w:divBdr>
                <w:top w:val="none" w:sz="0" w:space="0" w:color="auto"/>
                <w:left w:val="none" w:sz="0" w:space="0" w:color="auto"/>
                <w:bottom w:val="none" w:sz="0" w:space="0" w:color="auto"/>
                <w:right w:val="none" w:sz="0" w:space="0" w:color="auto"/>
              </w:divBdr>
              <w:divsChild>
                <w:div w:id="8720767">
                  <w:marLeft w:val="0"/>
                  <w:marRight w:val="0"/>
                  <w:marTop w:val="0"/>
                  <w:marBottom w:val="0"/>
                  <w:divBdr>
                    <w:top w:val="none" w:sz="0" w:space="0" w:color="auto"/>
                    <w:left w:val="none" w:sz="0" w:space="0" w:color="auto"/>
                    <w:bottom w:val="none" w:sz="0" w:space="0" w:color="auto"/>
                    <w:right w:val="none" w:sz="0" w:space="0" w:color="auto"/>
                  </w:divBdr>
                </w:div>
                <w:div w:id="857236977">
                  <w:marLeft w:val="0"/>
                  <w:marRight w:val="0"/>
                  <w:marTop w:val="0"/>
                  <w:marBottom w:val="0"/>
                  <w:divBdr>
                    <w:top w:val="none" w:sz="0" w:space="0" w:color="auto"/>
                    <w:left w:val="none" w:sz="0" w:space="0" w:color="auto"/>
                    <w:bottom w:val="none" w:sz="0" w:space="0" w:color="auto"/>
                    <w:right w:val="none" w:sz="0" w:space="0" w:color="auto"/>
                  </w:divBdr>
                </w:div>
                <w:div w:id="2127917965">
                  <w:marLeft w:val="0"/>
                  <w:marRight w:val="0"/>
                  <w:marTop w:val="0"/>
                  <w:marBottom w:val="0"/>
                  <w:divBdr>
                    <w:top w:val="none" w:sz="0" w:space="0" w:color="auto"/>
                    <w:left w:val="none" w:sz="0" w:space="0" w:color="auto"/>
                    <w:bottom w:val="none" w:sz="0" w:space="0" w:color="auto"/>
                    <w:right w:val="none" w:sz="0" w:space="0" w:color="auto"/>
                  </w:divBdr>
                </w:div>
                <w:div w:id="380252272">
                  <w:marLeft w:val="0"/>
                  <w:marRight w:val="0"/>
                  <w:marTop w:val="0"/>
                  <w:marBottom w:val="0"/>
                  <w:divBdr>
                    <w:top w:val="none" w:sz="0" w:space="0" w:color="auto"/>
                    <w:left w:val="none" w:sz="0" w:space="0" w:color="auto"/>
                    <w:bottom w:val="none" w:sz="0" w:space="0" w:color="auto"/>
                    <w:right w:val="none" w:sz="0" w:space="0" w:color="auto"/>
                  </w:divBdr>
                </w:div>
              </w:divsChild>
            </w:div>
            <w:div w:id="1277978755">
              <w:marLeft w:val="0"/>
              <w:marRight w:val="0"/>
              <w:marTop w:val="0"/>
              <w:marBottom w:val="0"/>
              <w:divBdr>
                <w:top w:val="none" w:sz="0" w:space="0" w:color="auto"/>
                <w:left w:val="none" w:sz="0" w:space="0" w:color="auto"/>
                <w:bottom w:val="none" w:sz="0" w:space="0" w:color="auto"/>
                <w:right w:val="none" w:sz="0" w:space="0" w:color="auto"/>
              </w:divBdr>
            </w:div>
            <w:div w:id="2125617174">
              <w:marLeft w:val="0"/>
              <w:marRight w:val="0"/>
              <w:marTop w:val="0"/>
              <w:marBottom w:val="0"/>
              <w:divBdr>
                <w:top w:val="none" w:sz="0" w:space="0" w:color="auto"/>
                <w:left w:val="none" w:sz="0" w:space="0" w:color="auto"/>
                <w:bottom w:val="none" w:sz="0" w:space="0" w:color="auto"/>
                <w:right w:val="none" w:sz="0" w:space="0" w:color="auto"/>
              </w:divBdr>
            </w:div>
            <w:div w:id="1502312883">
              <w:marLeft w:val="0"/>
              <w:marRight w:val="0"/>
              <w:marTop w:val="0"/>
              <w:marBottom w:val="0"/>
              <w:divBdr>
                <w:top w:val="none" w:sz="0" w:space="0" w:color="auto"/>
                <w:left w:val="none" w:sz="0" w:space="0" w:color="auto"/>
                <w:bottom w:val="none" w:sz="0" w:space="0" w:color="auto"/>
                <w:right w:val="none" w:sz="0" w:space="0" w:color="auto"/>
              </w:divBdr>
            </w:div>
            <w:div w:id="1330478040">
              <w:marLeft w:val="0"/>
              <w:marRight w:val="0"/>
              <w:marTop w:val="0"/>
              <w:marBottom w:val="0"/>
              <w:divBdr>
                <w:top w:val="none" w:sz="0" w:space="0" w:color="auto"/>
                <w:left w:val="none" w:sz="0" w:space="0" w:color="auto"/>
                <w:bottom w:val="none" w:sz="0" w:space="0" w:color="auto"/>
                <w:right w:val="none" w:sz="0" w:space="0" w:color="auto"/>
              </w:divBdr>
              <w:divsChild>
                <w:div w:id="2095204017">
                  <w:marLeft w:val="0"/>
                  <w:marRight w:val="0"/>
                  <w:marTop w:val="0"/>
                  <w:marBottom w:val="0"/>
                  <w:divBdr>
                    <w:top w:val="none" w:sz="0" w:space="0" w:color="auto"/>
                    <w:left w:val="none" w:sz="0" w:space="0" w:color="auto"/>
                    <w:bottom w:val="none" w:sz="0" w:space="0" w:color="auto"/>
                    <w:right w:val="none" w:sz="0" w:space="0" w:color="auto"/>
                  </w:divBdr>
                </w:div>
                <w:div w:id="89861712">
                  <w:marLeft w:val="0"/>
                  <w:marRight w:val="0"/>
                  <w:marTop w:val="0"/>
                  <w:marBottom w:val="0"/>
                  <w:divBdr>
                    <w:top w:val="none" w:sz="0" w:space="0" w:color="auto"/>
                    <w:left w:val="none" w:sz="0" w:space="0" w:color="auto"/>
                    <w:bottom w:val="none" w:sz="0" w:space="0" w:color="auto"/>
                    <w:right w:val="none" w:sz="0" w:space="0" w:color="auto"/>
                  </w:divBdr>
                </w:div>
              </w:divsChild>
            </w:div>
            <w:div w:id="711149369">
              <w:marLeft w:val="0"/>
              <w:marRight w:val="0"/>
              <w:marTop w:val="0"/>
              <w:marBottom w:val="0"/>
              <w:divBdr>
                <w:top w:val="none" w:sz="0" w:space="0" w:color="auto"/>
                <w:left w:val="none" w:sz="0" w:space="0" w:color="auto"/>
                <w:bottom w:val="none" w:sz="0" w:space="0" w:color="auto"/>
                <w:right w:val="none" w:sz="0" w:space="0" w:color="auto"/>
              </w:divBdr>
            </w:div>
            <w:div w:id="2006399317">
              <w:marLeft w:val="0"/>
              <w:marRight w:val="0"/>
              <w:marTop w:val="0"/>
              <w:marBottom w:val="0"/>
              <w:divBdr>
                <w:top w:val="none" w:sz="0" w:space="0" w:color="auto"/>
                <w:left w:val="none" w:sz="0" w:space="0" w:color="auto"/>
                <w:bottom w:val="none" w:sz="0" w:space="0" w:color="auto"/>
                <w:right w:val="none" w:sz="0" w:space="0" w:color="auto"/>
              </w:divBdr>
            </w:div>
            <w:div w:id="2031954422">
              <w:marLeft w:val="0"/>
              <w:marRight w:val="0"/>
              <w:marTop w:val="0"/>
              <w:marBottom w:val="0"/>
              <w:divBdr>
                <w:top w:val="none" w:sz="0" w:space="0" w:color="auto"/>
                <w:left w:val="none" w:sz="0" w:space="0" w:color="auto"/>
                <w:bottom w:val="none" w:sz="0" w:space="0" w:color="auto"/>
                <w:right w:val="none" w:sz="0" w:space="0" w:color="auto"/>
              </w:divBdr>
            </w:div>
            <w:div w:id="1500196612">
              <w:marLeft w:val="0"/>
              <w:marRight w:val="0"/>
              <w:marTop w:val="0"/>
              <w:marBottom w:val="0"/>
              <w:divBdr>
                <w:top w:val="none" w:sz="0" w:space="0" w:color="auto"/>
                <w:left w:val="none" w:sz="0" w:space="0" w:color="auto"/>
                <w:bottom w:val="none" w:sz="0" w:space="0" w:color="auto"/>
                <w:right w:val="none" w:sz="0" w:space="0" w:color="auto"/>
              </w:divBdr>
            </w:div>
            <w:div w:id="941113210">
              <w:marLeft w:val="0"/>
              <w:marRight w:val="0"/>
              <w:marTop w:val="0"/>
              <w:marBottom w:val="0"/>
              <w:divBdr>
                <w:top w:val="none" w:sz="0" w:space="0" w:color="auto"/>
                <w:left w:val="none" w:sz="0" w:space="0" w:color="auto"/>
                <w:bottom w:val="none" w:sz="0" w:space="0" w:color="auto"/>
                <w:right w:val="none" w:sz="0" w:space="0" w:color="auto"/>
              </w:divBdr>
            </w:div>
            <w:div w:id="1237278593">
              <w:marLeft w:val="0"/>
              <w:marRight w:val="0"/>
              <w:marTop w:val="0"/>
              <w:marBottom w:val="0"/>
              <w:divBdr>
                <w:top w:val="none" w:sz="0" w:space="0" w:color="auto"/>
                <w:left w:val="none" w:sz="0" w:space="0" w:color="auto"/>
                <w:bottom w:val="none" w:sz="0" w:space="0" w:color="auto"/>
                <w:right w:val="none" w:sz="0" w:space="0" w:color="auto"/>
              </w:divBdr>
            </w:div>
            <w:div w:id="44450351">
              <w:marLeft w:val="0"/>
              <w:marRight w:val="0"/>
              <w:marTop w:val="0"/>
              <w:marBottom w:val="0"/>
              <w:divBdr>
                <w:top w:val="none" w:sz="0" w:space="0" w:color="auto"/>
                <w:left w:val="none" w:sz="0" w:space="0" w:color="auto"/>
                <w:bottom w:val="none" w:sz="0" w:space="0" w:color="auto"/>
                <w:right w:val="none" w:sz="0" w:space="0" w:color="auto"/>
              </w:divBdr>
            </w:div>
            <w:div w:id="523902187">
              <w:marLeft w:val="0"/>
              <w:marRight w:val="0"/>
              <w:marTop w:val="0"/>
              <w:marBottom w:val="0"/>
              <w:divBdr>
                <w:top w:val="none" w:sz="0" w:space="0" w:color="auto"/>
                <w:left w:val="none" w:sz="0" w:space="0" w:color="auto"/>
                <w:bottom w:val="none" w:sz="0" w:space="0" w:color="auto"/>
                <w:right w:val="none" w:sz="0" w:space="0" w:color="auto"/>
              </w:divBdr>
            </w:div>
            <w:div w:id="1371877935">
              <w:marLeft w:val="0"/>
              <w:marRight w:val="0"/>
              <w:marTop w:val="0"/>
              <w:marBottom w:val="0"/>
              <w:divBdr>
                <w:top w:val="none" w:sz="0" w:space="0" w:color="auto"/>
                <w:left w:val="none" w:sz="0" w:space="0" w:color="auto"/>
                <w:bottom w:val="none" w:sz="0" w:space="0" w:color="auto"/>
                <w:right w:val="none" w:sz="0" w:space="0" w:color="auto"/>
              </w:divBdr>
              <w:divsChild>
                <w:div w:id="12730964">
                  <w:marLeft w:val="0"/>
                  <w:marRight w:val="0"/>
                  <w:marTop w:val="0"/>
                  <w:marBottom w:val="0"/>
                  <w:divBdr>
                    <w:top w:val="none" w:sz="0" w:space="0" w:color="auto"/>
                    <w:left w:val="none" w:sz="0" w:space="0" w:color="auto"/>
                    <w:bottom w:val="none" w:sz="0" w:space="0" w:color="auto"/>
                    <w:right w:val="none" w:sz="0" w:space="0" w:color="auto"/>
                  </w:divBdr>
                </w:div>
                <w:div w:id="992682365">
                  <w:marLeft w:val="0"/>
                  <w:marRight w:val="0"/>
                  <w:marTop w:val="0"/>
                  <w:marBottom w:val="0"/>
                  <w:divBdr>
                    <w:top w:val="none" w:sz="0" w:space="0" w:color="auto"/>
                    <w:left w:val="none" w:sz="0" w:space="0" w:color="auto"/>
                    <w:bottom w:val="none" w:sz="0" w:space="0" w:color="auto"/>
                    <w:right w:val="none" w:sz="0" w:space="0" w:color="auto"/>
                  </w:divBdr>
                </w:div>
              </w:divsChild>
            </w:div>
            <w:div w:id="1391685306">
              <w:marLeft w:val="0"/>
              <w:marRight w:val="0"/>
              <w:marTop w:val="0"/>
              <w:marBottom w:val="0"/>
              <w:divBdr>
                <w:top w:val="none" w:sz="0" w:space="0" w:color="auto"/>
                <w:left w:val="none" w:sz="0" w:space="0" w:color="auto"/>
                <w:bottom w:val="none" w:sz="0" w:space="0" w:color="auto"/>
                <w:right w:val="none" w:sz="0" w:space="0" w:color="auto"/>
              </w:divBdr>
            </w:div>
            <w:div w:id="260381428">
              <w:marLeft w:val="0"/>
              <w:marRight w:val="0"/>
              <w:marTop w:val="0"/>
              <w:marBottom w:val="0"/>
              <w:divBdr>
                <w:top w:val="none" w:sz="0" w:space="0" w:color="auto"/>
                <w:left w:val="none" w:sz="0" w:space="0" w:color="auto"/>
                <w:bottom w:val="none" w:sz="0" w:space="0" w:color="auto"/>
                <w:right w:val="none" w:sz="0" w:space="0" w:color="auto"/>
              </w:divBdr>
            </w:div>
            <w:div w:id="410665934">
              <w:marLeft w:val="0"/>
              <w:marRight w:val="0"/>
              <w:marTop w:val="0"/>
              <w:marBottom w:val="0"/>
              <w:divBdr>
                <w:top w:val="none" w:sz="0" w:space="0" w:color="auto"/>
                <w:left w:val="none" w:sz="0" w:space="0" w:color="auto"/>
                <w:bottom w:val="none" w:sz="0" w:space="0" w:color="auto"/>
                <w:right w:val="none" w:sz="0" w:space="0" w:color="auto"/>
              </w:divBdr>
            </w:div>
            <w:div w:id="1596674202">
              <w:marLeft w:val="0"/>
              <w:marRight w:val="0"/>
              <w:marTop w:val="0"/>
              <w:marBottom w:val="0"/>
              <w:divBdr>
                <w:top w:val="none" w:sz="0" w:space="0" w:color="auto"/>
                <w:left w:val="none" w:sz="0" w:space="0" w:color="auto"/>
                <w:bottom w:val="none" w:sz="0" w:space="0" w:color="auto"/>
                <w:right w:val="none" w:sz="0" w:space="0" w:color="auto"/>
              </w:divBdr>
            </w:div>
            <w:div w:id="1428621528">
              <w:marLeft w:val="0"/>
              <w:marRight w:val="0"/>
              <w:marTop w:val="0"/>
              <w:marBottom w:val="0"/>
              <w:divBdr>
                <w:top w:val="none" w:sz="0" w:space="0" w:color="auto"/>
                <w:left w:val="none" w:sz="0" w:space="0" w:color="auto"/>
                <w:bottom w:val="none" w:sz="0" w:space="0" w:color="auto"/>
                <w:right w:val="none" w:sz="0" w:space="0" w:color="auto"/>
              </w:divBdr>
            </w:div>
            <w:div w:id="1032655041">
              <w:marLeft w:val="0"/>
              <w:marRight w:val="0"/>
              <w:marTop w:val="0"/>
              <w:marBottom w:val="0"/>
              <w:divBdr>
                <w:top w:val="none" w:sz="0" w:space="0" w:color="auto"/>
                <w:left w:val="none" w:sz="0" w:space="0" w:color="auto"/>
                <w:bottom w:val="none" w:sz="0" w:space="0" w:color="auto"/>
                <w:right w:val="none" w:sz="0" w:space="0" w:color="auto"/>
              </w:divBdr>
              <w:divsChild>
                <w:div w:id="1169370942">
                  <w:marLeft w:val="0"/>
                  <w:marRight w:val="0"/>
                  <w:marTop w:val="0"/>
                  <w:marBottom w:val="0"/>
                  <w:divBdr>
                    <w:top w:val="none" w:sz="0" w:space="0" w:color="auto"/>
                    <w:left w:val="none" w:sz="0" w:space="0" w:color="auto"/>
                    <w:bottom w:val="none" w:sz="0" w:space="0" w:color="auto"/>
                    <w:right w:val="none" w:sz="0" w:space="0" w:color="auto"/>
                  </w:divBdr>
                </w:div>
                <w:div w:id="1771585886">
                  <w:marLeft w:val="0"/>
                  <w:marRight w:val="0"/>
                  <w:marTop w:val="0"/>
                  <w:marBottom w:val="0"/>
                  <w:divBdr>
                    <w:top w:val="none" w:sz="0" w:space="0" w:color="auto"/>
                    <w:left w:val="none" w:sz="0" w:space="0" w:color="auto"/>
                    <w:bottom w:val="none" w:sz="0" w:space="0" w:color="auto"/>
                    <w:right w:val="none" w:sz="0" w:space="0" w:color="auto"/>
                  </w:divBdr>
                </w:div>
              </w:divsChild>
            </w:div>
            <w:div w:id="1445417471">
              <w:marLeft w:val="0"/>
              <w:marRight w:val="0"/>
              <w:marTop w:val="0"/>
              <w:marBottom w:val="0"/>
              <w:divBdr>
                <w:top w:val="none" w:sz="0" w:space="0" w:color="auto"/>
                <w:left w:val="none" w:sz="0" w:space="0" w:color="auto"/>
                <w:bottom w:val="none" w:sz="0" w:space="0" w:color="auto"/>
                <w:right w:val="none" w:sz="0" w:space="0" w:color="auto"/>
              </w:divBdr>
            </w:div>
            <w:div w:id="1081291250">
              <w:marLeft w:val="0"/>
              <w:marRight w:val="0"/>
              <w:marTop w:val="0"/>
              <w:marBottom w:val="0"/>
              <w:divBdr>
                <w:top w:val="none" w:sz="0" w:space="0" w:color="auto"/>
                <w:left w:val="none" w:sz="0" w:space="0" w:color="auto"/>
                <w:bottom w:val="none" w:sz="0" w:space="0" w:color="auto"/>
                <w:right w:val="none" w:sz="0" w:space="0" w:color="auto"/>
              </w:divBdr>
            </w:div>
            <w:div w:id="476269365">
              <w:marLeft w:val="0"/>
              <w:marRight w:val="0"/>
              <w:marTop w:val="0"/>
              <w:marBottom w:val="0"/>
              <w:divBdr>
                <w:top w:val="none" w:sz="0" w:space="0" w:color="auto"/>
                <w:left w:val="none" w:sz="0" w:space="0" w:color="auto"/>
                <w:bottom w:val="none" w:sz="0" w:space="0" w:color="auto"/>
                <w:right w:val="none" w:sz="0" w:space="0" w:color="auto"/>
              </w:divBdr>
            </w:div>
            <w:div w:id="1378580878">
              <w:marLeft w:val="0"/>
              <w:marRight w:val="0"/>
              <w:marTop w:val="0"/>
              <w:marBottom w:val="0"/>
              <w:divBdr>
                <w:top w:val="none" w:sz="0" w:space="0" w:color="auto"/>
                <w:left w:val="none" w:sz="0" w:space="0" w:color="auto"/>
                <w:bottom w:val="none" w:sz="0" w:space="0" w:color="auto"/>
                <w:right w:val="none" w:sz="0" w:space="0" w:color="auto"/>
              </w:divBdr>
            </w:div>
            <w:div w:id="1852916034">
              <w:marLeft w:val="0"/>
              <w:marRight w:val="0"/>
              <w:marTop w:val="0"/>
              <w:marBottom w:val="0"/>
              <w:divBdr>
                <w:top w:val="none" w:sz="0" w:space="0" w:color="auto"/>
                <w:left w:val="none" w:sz="0" w:space="0" w:color="auto"/>
                <w:bottom w:val="none" w:sz="0" w:space="0" w:color="auto"/>
                <w:right w:val="none" w:sz="0" w:space="0" w:color="auto"/>
              </w:divBdr>
            </w:div>
            <w:div w:id="596210599">
              <w:marLeft w:val="0"/>
              <w:marRight w:val="0"/>
              <w:marTop w:val="0"/>
              <w:marBottom w:val="0"/>
              <w:divBdr>
                <w:top w:val="none" w:sz="0" w:space="0" w:color="auto"/>
                <w:left w:val="none" w:sz="0" w:space="0" w:color="auto"/>
                <w:bottom w:val="none" w:sz="0" w:space="0" w:color="auto"/>
                <w:right w:val="none" w:sz="0" w:space="0" w:color="auto"/>
              </w:divBdr>
            </w:div>
            <w:div w:id="2134982022">
              <w:marLeft w:val="0"/>
              <w:marRight w:val="0"/>
              <w:marTop w:val="0"/>
              <w:marBottom w:val="0"/>
              <w:divBdr>
                <w:top w:val="none" w:sz="0" w:space="0" w:color="auto"/>
                <w:left w:val="none" w:sz="0" w:space="0" w:color="auto"/>
                <w:bottom w:val="none" w:sz="0" w:space="0" w:color="auto"/>
                <w:right w:val="none" w:sz="0" w:space="0" w:color="auto"/>
              </w:divBdr>
            </w:div>
            <w:div w:id="1252541829">
              <w:marLeft w:val="0"/>
              <w:marRight w:val="0"/>
              <w:marTop w:val="0"/>
              <w:marBottom w:val="0"/>
              <w:divBdr>
                <w:top w:val="none" w:sz="0" w:space="0" w:color="auto"/>
                <w:left w:val="none" w:sz="0" w:space="0" w:color="auto"/>
                <w:bottom w:val="none" w:sz="0" w:space="0" w:color="auto"/>
                <w:right w:val="none" w:sz="0" w:space="0" w:color="auto"/>
              </w:divBdr>
            </w:div>
            <w:div w:id="693069577">
              <w:marLeft w:val="0"/>
              <w:marRight w:val="0"/>
              <w:marTop w:val="0"/>
              <w:marBottom w:val="0"/>
              <w:divBdr>
                <w:top w:val="none" w:sz="0" w:space="0" w:color="auto"/>
                <w:left w:val="none" w:sz="0" w:space="0" w:color="auto"/>
                <w:bottom w:val="none" w:sz="0" w:space="0" w:color="auto"/>
                <w:right w:val="none" w:sz="0" w:space="0" w:color="auto"/>
              </w:divBdr>
            </w:div>
            <w:div w:id="1565725598">
              <w:marLeft w:val="0"/>
              <w:marRight w:val="0"/>
              <w:marTop w:val="0"/>
              <w:marBottom w:val="0"/>
              <w:divBdr>
                <w:top w:val="none" w:sz="0" w:space="0" w:color="auto"/>
                <w:left w:val="none" w:sz="0" w:space="0" w:color="auto"/>
                <w:bottom w:val="none" w:sz="0" w:space="0" w:color="auto"/>
                <w:right w:val="none" w:sz="0" w:space="0" w:color="auto"/>
              </w:divBdr>
            </w:div>
            <w:div w:id="470026482">
              <w:marLeft w:val="0"/>
              <w:marRight w:val="0"/>
              <w:marTop w:val="0"/>
              <w:marBottom w:val="0"/>
              <w:divBdr>
                <w:top w:val="none" w:sz="0" w:space="0" w:color="auto"/>
                <w:left w:val="none" w:sz="0" w:space="0" w:color="auto"/>
                <w:bottom w:val="none" w:sz="0" w:space="0" w:color="auto"/>
                <w:right w:val="none" w:sz="0" w:space="0" w:color="auto"/>
              </w:divBdr>
            </w:div>
            <w:div w:id="624315151">
              <w:marLeft w:val="0"/>
              <w:marRight w:val="0"/>
              <w:marTop w:val="0"/>
              <w:marBottom w:val="0"/>
              <w:divBdr>
                <w:top w:val="none" w:sz="0" w:space="0" w:color="auto"/>
                <w:left w:val="none" w:sz="0" w:space="0" w:color="auto"/>
                <w:bottom w:val="none" w:sz="0" w:space="0" w:color="auto"/>
                <w:right w:val="none" w:sz="0" w:space="0" w:color="auto"/>
              </w:divBdr>
            </w:div>
            <w:div w:id="695619295">
              <w:marLeft w:val="0"/>
              <w:marRight w:val="0"/>
              <w:marTop w:val="0"/>
              <w:marBottom w:val="0"/>
              <w:divBdr>
                <w:top w:val="none" w:sz="0" w:space="0" w:color="auto"/>
                <w:left w:val="none" w:sz="0" w:space="0" w:color="auto"/>
                <w:bottom w:val="none" w:sz="0" w:space="0" w:color="auto"/>
                <w:right w:val="none" w:sz="0" w:space="0" w:color="auto"/>
              </w:divBdr>
            </w:div>
            <w:div w:id="1389066153">
              <w:marLeft w:val="0"/>
              <w:marRight w:val="0"/>
              <w:marTop w:val="0"/>
              <w:marBottom w:val="0"/>
              <w:divBdr>
                <w:top w:val="none" w:sz="0" w:space="0" w:color="auto"/>
                <w:left w:val="none" w:sz="0" w:space="0" w:color="auto"/>
                <w:bottom w:val="none" w:sz="0" w:space="0" w:color="auto"/>
                <w:right w:val="none" w:sz="0" w:space="0" w:color="auto"/>
              </w:divBdr>
            </w:div>
            <w:div w:id="347561675">
              <w:marLeft w:val="0"/>
              <w:marRight w:val="0"/>
              <w:marTop w:val="0"/>
              <w:marBottom w:val="0"/>
              <w:divBdr>
                <w:top w:val="none" w:sz="0" w:space="0" w:color="auto"/>
                <w:left w:val="none" w:sz="0" w:space="0" w:color="auto"/>
                <w:bottom w:val="none" w:sz="0" w:space="0" w:color="auto"/>
                <w:right w:val="none" w:sz="0" w:space="0" w:color="auto"/>
              </w:divBdr>
              <w:divsChild>
                <w:div w:id="953488105">
                  <w:marLeft w:val="0"/>
                  <w:marRight w:val="0"/>
                  <w:marTop w:val="0"/>
                  <w:marBottom w:val="0"/>
                  <w:divBdr>
                    <w:top w:val="none" w:sz="0" w:space="0" w:color="auto"/>
                    <w:left w:val="none" w:sz="0" w:space="0" w:color="auto"/>
                    <w:bottom w:val="none" w:sz="0" w:space="0" w:color="auto"/>
                    <w:right w:val="none" w:sz="0" w:space="0" w:color="auto"/>
                  </w:divBdr>
                </w:div>
                <w:div w:id="299654514">
                  <w:marLeft w:val="0"/>
                  <w:marRight w:val="0"/>
                  <w:marTop w:val="0"/>
                  <w:marBottom w:val="0"/>
                  <w:divBdr>
                    <w:top w:val="none" w:sz="0" w:space="0" w:color="auto"/>
                    <w:left w:val="none" w:sz="0" w:space="0" w:color="auto"/>
                    <w:bottom w:val="none" w:sz="0" w:space="0" w:color="auto"/>
                    <w:right w:val="none" w:sz="0" w:space="0" w:color="auto"/>
                  </w:divBdr>
                </w:div>
              </w:divsChild>
            </w:div>
            <w:div w:id="1123426741">
              <w:marLeft w:val="0"/>
              <w:marRight w:val="0"/>
              <w:marTop w:val="0"/>
              <w:marBottom w:val="0"/>
              <w:divBdr>
                <w:top w:val="none" w:sz="0" w:space="0" w:color="auto"/>
                <w:left w:val="none" w:sz="0" w:space="0" w:color="auto"/>
                <w:bottom w:val="none" w:sz="0" w:space="0" w:color="auto"/>
                <w:right w:val="none" w:sz="0" w:space="0" w:color="auto"/>
              </w:divBdr>
            </w:div>
            <w:div w:id="494036366">
              <w:marLeft w:val="0"/>
              <w:marRight w:val="0"/>
              <w:marTop w:val="0"/>
              <w:marBottom w:val="0"/>
              <w:divBdr>
                <w:top w:val="none" w:sz="0" w:space="0" w:color="auto"/>
                <w:left w:val="none" w:sz="0" w:space="0" w:color="auto"/>
                <w:bottom w:val="none" w:sz="0" w:space="0" w:color="auto"/>
                <w:right w:val="none" w:sz="0" w:space="0" w:color="auto"/>
              </w:divBdr>
            </w:div>
            <w:div w:id="664473577">
              <w:marLeft w:val="0"/>
              <w:marRight w:val="0"/>
              <w:marTop w:val="0"/>
              <w:marBottom w:val="0"/>
              <w:divBdr>
                <w:top w:val="none" w:sz="0" w:space="0" w:color="auto"/>
                <w:left w:val="none" w:sz="0" w:space="0" w:color="auto"/>
                <w:bottom w:val="none" w:sz="0" w:space="0" w:color="auto"/>
                <w:right w:val="none" w:sz="0" w:space="0" w:color="auto"/>
              </w:divBdr>
            </w:div>
            <w:div w:id="1542327523">
              <w:marLeft w:val="0"/>
              <w:marRight w:val="0"/>
              <w:marTop w:val="0"/>
              <w:marBottom w:val="0"/>
              <w:divBdr>
                <w:top w:val="none" w:sz="0" w:space="0" w:color="auto"/>
                <w:left w:val="none" w:sz="0" w:space="0" w:color="auto"/>
                <w:bottom w:val="none" w:sz="0" w:space="0" w:color="auto"/>
                <w:right w:val="none" w:sz="0" w:space="0" w:color="auto"/>
              </w:divBdr>
            </w:div>
            <w:div w:id="1866939392">
              <w:marLeft w:val="0"/>
              <w:marRight w:val="0"/>
              <w:marTop w:val="0"/>
              <w:marBottom w:val="0"/>
              <w:divBdr>
                <w:top w:val="none" w:sz="0" w:space="0" w:color="auto"/>
                <w:left w:val="none" w:sz="0" w:space="0" w:color="auto"/>
                <w:bottom w:val="none" w:sz="0" w:space="0" w:color="auto"/>
                <w:right w:val="none" w:sz="0" w:space="0" w:color="auto"/>
              </w:divBdr>
            </w:div>
            <w:div w:id="1976327788">
              <w:marLeft w:val="0"/>
              <w:marRight w:val="0"/>
              <w:marTop w:val="0"/>
              <w:marBottom w:val="0"/>
              <w:divBdr>
                <w:top w:val="none" w:sz="0" w:space="0" w:color="auto"/>
                <w:left w:val="none" w:sz="0" w:space="0" w:color="auto"/>
                <w:bottom w:val="none" w:sz="0" w:space="0" w:color="auto"/>
                <w:right w:val="none" w:sz="0" w:space="0" w:color="auto"/>
              </w:divBdr>
            </w:div>
            <w:div w:id="96216525">
              <w:marLeft w:val="0"/>
              <w:marRight w:val="0"/>
              <w:marTop w:val="0"/>
              <w:marBottom w:val="0"/>
              <w:divBdr>
                <w:top w:val="none" w:sz="0" w:space="0" w:color="auto"/>
                <w:left w:val="none" w:sz="0" w:space="0" w:color="auto"/>
                <w:bottom w:val="none" w:sz="0" w:space="0" w:color="auto"/>
                <w:right w:val="none" w:sz="0" w:space="0" w:color="auto"/>
              </w:divBdr>
            </w:div>
            <w:div w:id="1192918305">
              <w:marLeft w:val="0"/>
              <w:marRight w:val="0"/>
              <w:marTop w:val="0"/>
              <w:marBottom w:val="0"/>
              <w:divBdr>
                <w:top w:val="none" w:sz="0" w:space="0" w:color="auto"/>
                <w:left w:val="none" w:sz="0" w:space="0" w:color="auto"/>
                <w:bottom w:val="none" w:sz="0" w:space="0" w:color="auto"/>
                <w:right w:val="none" w:sz="0" w:space="0" w:color="auto"/>
              </w:divBdr>
            </w:div>
            <w:div w:id="137260667">
              <w:marLeft w:val="0"/>
              <w:marRight w:val="0"/>
              <w:marTop w:val="0"/>
              <w:marBottom w:val="0"/>
              <w:divBdr>
                <w:top w:val="none" w:sz="0" w:space="0" w:color="auto"/>
                <w:left w:val="none" w:sz="0" w:space="0" w:color="auto"/>
                <w:bottom w:val="none" w:sz="0" w:space="0" w:color="auto"/>
                <w:right w:val="none" w:sz="0" w:space="0" w:color="auto"/>
              </w:divBdr>
            </w:div>
            <w:div w:id="503015713">
              <w:marLeft w:val="0"/>
              <w:marRight w:val="0"/>
              <w:marTop w:val="0"/>
              <w:marBottom w:val="0"/>
              <w:divBdr>
                <w:top w:val="none" w:sz="0" w:space="0" w:color="auto"/>
                <w:left w:val="none" w:sz="0" w:space="0" w:color="auto"/>
                <w:bottom w:val="none" w:sz="0" w:space="0" w:color="auto"/>
                <w:right w:val="none" w:sz="0" w:space="0" w:color="auto"/>
              </w:divBdr>
            </w:div>
            <w:div w:id="1201015026">
              <w:marLeft w:val="0"/>
              <w:marRight w:val="0"/>
              <w:marTop w:val="0"/>
              <w:marBottom w:val="0"/>
              <w:divBdr>
                <w:top w:val="none" w:sz="0" w:space="0" w:color="auto"/>
                <w:left w:val="none" w:sz="0" w:space="0" w:color="auto"/>
                <w:bottom w:val="none" w:sz="0" w:space="0" w:color="auto"/>
                <w:right w:val="none" w:sz="0" w:space="0" w:color="auto"/>
              </w:divBdr>
            </w:div>
            <w:div w:id="1081173106">
              <w:marLeft w:val="0"/>
              <w:marRight w:val="0"/>
              <w:marTop w:val="0"/>
              <w:marBottom w:val="0"/>
              <w:divBdr>
                <w:top w:val="none" w:sz="0" w:space="0" w:color="auto"/>
                <w:left w:val="none" w:sz="0" w:space="0" w:color="auto"/>
                <w:bottom w:val="none" w:sz="0" w:space="0" w:color="auto"/>
                <w:right w:val="none" w:sz="0" w:space="0" w:color="auto"/>
              </w:divBdr>
            </w:div>
            <w:div w:id="213125274">
              <w:marLeft w:val="0"/>
              <w:marRight w:val="0"/>
              <w:marTop w:val="0"/>
              <w:marBottom w:val="0"/>
              <w:divBdr>
                <w:top w:val="none" w:sz="0" w:space="0" w:color="auto"/>
                <w:left w:val="none" w:sz="0" w:space="0" w:color="auto"/>
                <w:bottom w:val="none" w:sz="0" w:space="0" w:color="auto"/>
                <w:right w:val="none" w:sz="0" w:space="0" w:color="auto"/>
              </w:divBdr>
            </w:div>
            <w:div w:id="81296590">
              <w:marLeft w:val="0"/>
              <w:marRight w:val="0"/>
              <w:marTop w:val="0"/>
              <w:marBottom w:val="0"/>
              <w:divBdr>
                <w:top w:val="none" w:sz="0" w:space="0" w:color="auto"/>
                <w:left w:val="none" w:sz="0" w:space="0" w:color="auto"/>
                <w:bottom w:val="none" w:sz="0" w:space="0" w:color="auto"/>
                <w:right w:val="none" w:sz="0" w:space="0" w:color="auto"/>
              </w:divBdr>
            </w:div>
            <w:div w:id="420762363">
              <w:marLeft w:val="0"/>
              <w:marRight w:val="0"/>
              <w:marTop w:val="0"/>
              <w:marBottom w:val="0"/>
              <w:divBdr>
                <w:top w:val="none" w:sz="0" w:space="0" w:color="auto"/>
                <w:left w:val="none" w:sz="0" w:space="0" w:color="auto"/>
                <w:bottom w:val="none" w:sz="0" w:space="0" w:color="auto"/>
                <w:right w:val="none" w:sz="0" w:space="0" w:color="auto"/>
              </w:divBdr>
            </w:div>
            <w:div w:id="2068407376">
              <w:marLeft w:val="0"/>
              <w:marRight w:val="0"/>
              <w:marTop w:val="0"/>
              <w:marBottom w:val="0"/>
              <w:divBdr>
                <w:top w:val="none" w:sz="0" w:space="0" w:color="auto"/>
                <w:left w:val="none" w:sz="0" w:space="0" w:color="auto"/>
                <w:bottom w:val="none" w:sz="0" w:space="0" w:color="auto"/>
                <w:right w:val="none" w:sz="0" w:space="0" w:color="auto"/>
              </w:divBdr>
            </w:div>
            <w:div w:id="2074767610">
              <w:marLeft w:val="0"/>
              <w:marRight w:val="0"/>
              <w:marTop w:val="0"/>
              <w:marBottom w:val="0"/>
              <w:divBdr>
                <w:top w:val="none" w:sz="0" w:space="0" w:color="auto"/>
                <w:left w:val="none" w:sz="0" w:space="0" w:color="auto"/>
                <w:bottom w:val="none" w:sz="0" w:space="0" w:color="auto"/>
                <w:right w:val="none" w:sz="0" w:space="0" w:color="auto"/>
              </w:divBdr>
            </w:div>
            <w:div w:id="1197352124">
              <w:marLeft w:val="0"/>
              <w:marRight w:val="0"/>
              <w:marTop w:val="0"/>
              <w:marBottom w:val="0"/>
              <w:divBdr>
                <w:top w:val="none" w:sz="0" w:space="0" w:color="auto"/>
                <w:left w:val="none" w:sz="0" w:space="0" w:color="auto"/>
                <w:bottom w:val="none" w:sz="0" w:space="0" w:color="auto"/>
                <w:right w:val="none" w:sz="0" w:space="0" w:color="auto"/>
              </w:divBdr>
            </w:div>
            <w:div w:id="1412851657">
              <w:marLeft w:val="0"/>
              <w:marRight w:val="0"/>
              <w:marTop w:val="0"/>
              <w:marBottom w:val="0"/>
              <w:divBdr>
                <w:top w:val="none" w:sz="0" w:space="0" w:color="auto"/>
                <w:left w:val="none" w:sz="0" w:space="0" w:color="auto"/>
                <w:bottom w:val="none" w:sz="0" w:space="0" w:color="auto"/>
                <w:right w:val="none" w:sz="0" w:space="0" w:color="auto"/>
              </w:divBdr>
            </w:div>
            <w:div w:id="893157139">
              <w:marLeft w:val="0"/>
              <w:marRight w:val="0"/>
              <w:marTop w:val="0"/>
              <w:marBottom w:val="0"/>
              <w:divBdr>
                <w:top w:val="none" w:sz="0" w:space="0" w:color="auto"/>
                <w:left w:val="none" w:sz="0" w:space="0" w:color="auto"/>
                <w:bottom w:val="none" w:sz="0" w:space="0" w:color="auto"/>
                <w:right w:val="none" w:sz="0" w:space="0" w:color="auto"/>
              </w:divBdr>
            </w:div>
            <w:div w:id="477965759">
              <w:marLeft w:val="0"/>
              <w:marRight w:val="0"/>
              <w:marTop w:val="0"/>
              <w:marBottom w:val="0"/>
              <w:divBdr>
                <w:top w:val="none" w:sz="0" w:space="0" w:color="auto"/>
                <w:left w:val="none" w:sz="0" w:space="0" w:color="auto"/>
                <w:bottom w:val="none" w:sz="0" w:space="0" w:color="auto"/>
                <w:right w:val="none" w:sz="0" w:space="0" w:color="auto"/>
              </w:divBdr>
            </w:div>
            <w:div w:id="361904730">
              <w:marLeft w:val="0"/>
              <w:marRight w:val="0"/>
              <w:marTop w:val="0"/>
              <w:marBottom w:val="0"/>
              <w:divBdr>
                <w:top w:val="none" w:sz="0" w:space="0" w:color="auto"/>
                <w:left w:val="none" w:sz="0" w:space="0" w:color="auto"/>
                <w:bottom w:val="none" w:sz="0" w:space="0" w:color="auto"/>
                <w:right w:val="none" w:sz="0" w:space="0" w:color="auto"/>
              </w:divBdr>
            </w:div>
            <w:div w:id="396591080">
              <w:marLeft w:val="0"/>
              <w:marRight w:val="0"/>
              <w:marTop w:val="0"/>
              <w:marBottom w:val="0"/>
              <w:divBdr>
                <w:top w:val="none" w:sz="0" w:space="0" w:color="auto"/>
                <w:left w:val="none" w:sz="0" w:space="0" w:color="auto"/>
                <w:bottom w:val="none" w:sz="0" w:space="0" w:color="auto"/>
                <w:right w:val="none" w:sz="0" w:space="0" w:color="auto"/>
              </w:divBdr>
            </w:div>
            <w:div w:id="305279646">
              <w:marLeft w:val="0"/>
              <w:marRight w:val="0"/>
              <w:marTop w:val="0"/>
              <w:marBottom w:val="0"/>
              <w:divBdr>
                <w:top w:val="none" w:sz="0" w:space="0" w:color="auto"/>
                <w:left w:val="none" w:sz="0" w:space="0" w:color="auto"/>
                <w:bottom w:val="none" w:sz="0" w:space="0" w:color="auto"/>
                <w:right w:val="none" w:sz="0" w:space="0" w:color="auto"/>
              </w:divBdr>
            </w:div>
            <w:div w:id="1777557469">
              <w:marLeft w:val="0"/>
              <w:marRight w:val="0"/>
              <w:marTop w:val="0"/>
              <w:marBottom w:val="0"/>
              <w:divBdr>
                <w:top w:val="none" w:sz="0" w:space="0" w:color="auto"/>
                <w:left w:val="none" w:sz="0" w:space="0" w:color="auto"/>
                <w:bottom w:val="none" w:sz="0" w:space="0" w:color="auto"/>
                <w:right w:val="none" w:sz="0" w:space="0" w:color="auto"/>
              </w:divBdr>
            </w:div>
            <w:div w:id="1395162321">
              <w:marLeft w:val="0"/>
              <w:marRight w:val="0"/>
              <w:marTop w:val="0"/>
              <w:marBottom w:val="0"/>
              <w:divBdr>
                <w:top w:val="none" w:sz="0" w:space="0" w:color="auto"/>
                <w:left w:val="none" w:sz="0" w:space="0" w:color="auto"/>
                <w:bottom w:val="none" w:sz="0" w:space="0" w:color="auto"/>
                <w:right w:val="none" w:sz="0" w:space="0" w:color="auto"/>
              </w:divBdr>
            </w:div>
            <w:div w:id="2038115940">
              <w:marLeft w:val="0"/>
              <w:marRight w:val="0"/>
              <w:marTop w:val="0"/>
              <w:marBottom w:val="0"/>
              <w:divBdr>
                <w:top w:val="none" w:sz="0" w:space="0" w:color="auto"/>
                <w:left w:val="none" w:sz="0" w:space="0" w:color="auto"/>
                <w:bottom w:val="none" w:sz="0" w:space="0" w:color="auto"/>
                <w:right w:val="none" w:sz="0" w:space="0" w:color="auto"/>
              </w:divBdr>
            </w:div>
            <w:div w:id="1260144777">
              <w:marLeft w:val="0"/>
              <w:marRight w:val="0"/>
              <w:marTop w:val="0"/>
              <w:marBottom w:val="0"/>
              <w:divBdr>
                <w:top w:val="none" w:sz="0" w:space="0" w:color="auto"/>
                <w:left w:val="none" w:sz="0" w:space="0" w:color="auto"/>
                <w:bottom w:val="none" w:sz="0" w:space="0" w:color="auto"/>
                <w:right w:val="none" w:sz="0" w:space="0" w:color="auto"/>
              </w:divBdr>
            </w:div>
            <w:div w:id="2057267251">
              <w:marLeft w:val="0"/>
              <w:marRight w:val="0"/>
              <w:marTop w:val="0"/>
              <w:marBottom w:val="0"/>
              <w:divBdr>
                <w:top w:val="none" w:sz="0" w:space="0" w:color="auto"/>
                <w:left w:val="none" w:sz="0" w:space="0" w:color="auto"/>
                <w:bottom w:val="none" w:sz="0" w:space="0" w:color="auto"/>
                <w:right w:val="none" w:sz="0" w:space="0" w:color="auto"/>
              </w:divBdr>
              <w:divsChild>
                <w:div w:id="1385639182">
                  <w:marLeft w:val="0"/>
                  <w:marRight w:val="0"/>
                  <w:marTop w:val="0"/>
                  <w:marBottom w:val="0"/>
                  <w:divBdr>
                    <w:top w:val="none" w:sz="0" w:space="0" w:color="auto"/>
                    <w:left w:val="none" w:sz="0" w:space="0" w:color="auto"/>
                    <w:bottom w:val="none" w:sz="0" w:space="0" w:color="auto"/>
                    <w:right w:val="none" w:sz="0" w:space="0" w:color="auto"/>
                  </w:divBdr>
                </w:div>
                <w:div w:id="282731885">
                  <w:marLeft w:val="0"/>
                  <w:marRight w:val="0"/>
                  <w:marTop w:val="0"/>
                  <w:marBottom w:val="0"/>
                  <w:divBdr>
                    <w:top w:val="none" w:sz="0" w:space="0" w:color="auto"/>
                    <w:left w:val="none" w:sz="0" w:space="0" w:color="auto"/>
                    <w:bottom w:val="none" w:sz="0" w:space="0" w:color="auto"/>
                    <w:right w:val="none" w:sz="0" w:space="0" w:color="auto"/>
                  </w:divBdr>
                </w:div>
                <w:div w:id="1321883584">
                  <w:marLeft w:val="0"/>
                  <w:marRight w:val="0"/>
                  <w:marTop w:val="0"/>
                  <w:marBottom w:val="0"/>
                  <w:divBdr>
                    <w:top w:val="none" w:sz="0" w:space="0" w:color="auto"/>
                    <w:left w:val="none" w:sz="0" w:space="0" w:color="auto"/>
                    <w:bottom w:val="none" w:sz="0" w:space="0" w:color="auto"/>
                    <w:right w:val="none" w:sz="0" w:space="0" w:color="auto"/>
                  </w:divBdr>
                </w:div>
              </w:divsChild>
            </w:div>
            <w:div w:id="507715288">
              <w:marLeft w:val="0"/>
              <w:marRight w:val="0"/>
              <w:marTop w:val="0"/>
              <w:marBottom w:val="0"/>
              <w:divBdr>
                <w:top w:val="none" w:sz="0" w:space="0" w:color="auto"/>
                <w:left w:val="none" w:sz="0" w:space="0" w:color="auto"/>
                <w:bottom w:val="none" w:sz="0" w:space="0" w:color="auto"/>
                <w:right w:val="none" w:sz="0" w:space="0" w:color="auto"/>
              </w:divBdr>
            </w:div>
            <w:div w:id="1527133684">
              <w:marLeft w:val="0"/>
              <w:marRight w:val="0"/>
              <w:marTop w:val="0"/>
              <w:marBottom w:val="0"/>
              <w:divBdr>
                <w:top w:val="none" w:sz="0" w:space="0" w:color="auto"/>
                <w:left w:val="none" w:sz="0" w:space="0" w:color="auto"/>
                <w:bottom w:val="none" w:sz="0" w:space="0" w:color="auto"/>
                <w:right w:val="none" w:sz="0" w:space="0" w:color="auto"/>
              </w:divBdr>
            </w:div>
            <w:div w:id="2007708135">
              <w:marLeft w:val="0"/>
              <w:marRight w:val="0"/>
              <w:marTop w:val="0"/>
              <w:marBottom w:val="0"/>
              <w:divBdr>
                <w:top w:val="none" w:sz="0" w:space="0" w:color="auto"/>
                <w:left w:val="none" w:sz="0" w:space="0" w:color="auto"/>
                <w:bottom w:val="none" w:sz="0" w:space="0" w:color="auto"/>
                <w:right w:val="none" w:sz="0" w:space="0" w:color="auto"/>
              </w:divBdr>
            </w:div>
            <w:div w:id="1016613387">
              <w:marLeft w:val="0"/>
              <w:marRight w:val="0"/>
              <w:marTop w:val="0"/>
              <w:marBottom w:val="0"/>
              <w:divBdr>
                <w:top w:val="none" w:sz="0" w:space="0" w:color="auto"/>
                <w:left w:val="none" w:sz="0" w:space="0" w:color="auto"/>
                <w:bottom w:val="none" w:sz="0" w:space="0" w:color="auto"/>
                <w:right w:val="none" w:sz="0" w:space="0" w:color="auto"/>
              </w:divBdr>
              <w:divsChild>
                <w:div w:id="343827197">
                  <w:marLeft w:val="0"/>
                  <w:marRight w:val="0"/>
                  <w:marTop w:val="0"/>
                  <w:marBottom w:val="0"/>
                  <w:divBdr>
                    <w:top w:val="none" w:sz="0" w:space="0" w:color="auto"/>
                    <w:left w:val="none" w:sz="0" w:space="0" w:color="auto"/>
                    <w:bottom w:val="none" w:sz="0" w:space="0" w:color="auto"/>
                    <w:right w:val="none" w:sz="0" w:space="0" w:color="auto"/>
                  </w:divBdr>
                </w:div>
                <w:div w:id="406926958">
                  <w:marLeft w:val="0"/>
                  <w:marRight w:val="0"/>
                  <w:marTop w:val="0"/>
                  <w:marBottom w:val="0"/>
                  <w:divBdr>
                    <w:top w:val="none" w:sz="0" w:space="0" w:color="auto"/>
                    <w:left w:val="none" w:sz="0" w:space="0" w:color="auto"/>
                    <w:bottom w:val="none" w:sz="0" w:space="0" w:color="auto"/>
                    <w:right w:val="none" w:sz="0" w:space="0" w:color="auto"/>
                  </w:divBdr>
                </w:div>
              </w:divsChild>
            </w:div>
            <w:div w:id="399058201">
              <w:marLeft w:val="0"/>
              <w:marRight w:val="0"/>
              <w:marTop w:val="0"/>
              <w:marBottom w:val="0"/>
              <w:divBdr>
                <w:top w:val="none" w:sz="0" w:space="0" w:color="auto"/>
                <w:left w:val="none" w:sz="0" w:space="0" w:color="auto"/>
                <w:bottom w:val="none" w:sz="0" w:space="0" w:color="auto"/>
                <w:right w:val="none" w:sz="0" w:space="0" w:color="auto"/>
              </w:divBdr>
            </w:div>
            <w:div w:id="1380325499">
              <w:marLeft w:val="0"/>
              <w:marRight w:val="0"/>
              <w:marTop w:val="0"/>
              <w:marBottom w:val="0"/>
              <w:divBdr>
                <w:top w:val="none" w:sz="0" w:space="0" w:color="auto"/>
                <w:left w:val="none" w:sz="0" w:space="0" w:color="auto"/>
                <w:bottom w:val="none" w:sz="0" w:space="0" w:color="auto"/>
                <w:right w:val="none" w:sz="0" w:space="0" w:color="auto"/>
              </w:divBdr>
            </w:div>
            <w:div w:id="1143963461">
              <w:marLeft w:val="0"/>
              <w:marRight w:val="0"/>
              <w:marTop w:val="0"/>
              <w:marBottom w:val="0"/>
              <w:divBdr>
                <w:top w:val="none" w:sz="0" w:space="0" w:color="auto"/>
                <w:left w:val="none" w:sz="0" w:space="0" w:color="auto"/>
                <w:bottom w:val="none" w:sz="0" w:space="0" w:color="auto"/>
                <w:right w:val="none" w:sz="0" w:space="0" w:color="auto"/>
              </w:divBdr>
            </w:div>
            <w:div w:id="671297282">
              <w:marLeft w:val="0"/>
              <w:marRight w:val="0"/>
              <w:marTop w:val="0"/>
              <w:marBottom w:val="0"/>
              <w:divBdr>
                <w:top w:val="none" w:sz="0" w:space="0" w:color="auto"/>
                <w:left w:val="none" w:sz="0" w:space="0" w:color="auto"/>
                <w:bottom w:val="none" w:sz="0" w:space="0" w:color="auto"/>
                <w:right w:val="none" w:sz="0" w:space="0" w:color="auto"/>
              </w:divBdr>
            </w:div>
            <w:div w:id="140849610">
              <w:marLeft w:val="0"/>
              <w:marRight w:val="0"/>
              <w:marTop w:val="0"/>
              <w:marBottom w:val="0"/>
              <w:divBdr>
                <w:top w:val="none" w:sz="0" w:space="0" w:color="auto"/>
                <w:left w:val="none" w:sz="0" w:space="0" w:color="auto"/>
                <w:bottom w:val="none" w:sz="0" w:space="0" w:color="auto"/>
                <w:right w:val="none" w:sz="0" w:space="0" w:color="auto"/>
              </w:divBdr>
            </w:div>
            <w:div w:id="682587112">
              <w:marLeft w:val="0"/>
              <w:marRight w:val="0"/>
              <w:marTop w:val="0"/>
              <w:marBottom w:val="0"/>
              <w:divBdr>
                <w:top w:val="none" w:sz="0" w:space="0" w:color="auto"/>
                <w:left w:val="none" w:sz="0" w:space="0" w:color="auto"/>
                <w:bottom w:val="none" w:sz="0" w:space="0" w:color="auto"/>
                <w:right w:val="none" w:sz="0" w:space="0" w:color="auto"/>
              </w:divBdr>
            </w:div>
            <w:div w:id="98838265">
              <w:marLeft w:val="0"/>
              <w:marRight w:val="0"/>
              <w:marTop w:val="0"/>
              <w:marBottom w:val="0"/>
              <w:divBdr>
                <w:top w:val="none" w:sz="0" w:space="0" w:color="auto"/>
                <w:left w:val="none" w:sz="0" w:space="0" w:color="auto"/>
                <w:bottom w:val="none" w:sz="0" w:space="0" w:color="auto"/>
                <w:right w:val="none" w:sz="0" w:space="0" w:color="auto"/>
              </w:divBdr>
              <w:divsChild>
                <w:div w:id="1126195107">
                  <w:marLeft w:val="0"/>
                  <w:marRight w:val="0"/>
                  <w:marTop w:val="0"/>
                  <w:marBottom w:val="0"/>
                  <w:divBdr>
                    <w:top w:val="none" w:sz="0" w:space="0" w:color="auto"/>
                    <w:left w:val="none" w:sz="0" w:space="0" w:color="auto"/>
                    <w:bottom w:val="none" w:sz="0" w:space="0" w:color="auto"/>
                    <w:right w:val="none" w:sz="0" w:space="0" w:color="auto"/>
                  </w:divBdr>
                </w:div>
                <w:div w:id="124012575">
                  <w:marLeft w:val="0"/>
                  <w:marRight w:val="0"/>
                  <w:marTop w:val="0"/>
                  <w:marBottom w:val="0"/>
                  <w:divBdr>
                    <w:top w:val="none" w:sz="0" w:space="0" w:color="auto"/>
                    <w:left w:val="none" w:sz="0" w:space="0" w:color="auto"/>
                    <w:bottom w:val="none" w:sz="0" w:space="0" w:color="auto"/>
                    <w:right w:val="none" w:sz="0" w:space="0" w:color="auto"/>
                  </w:divBdr>
                </w:div>
                <w:div w:id="1574466335">
                  <w:marLeft w:val="0"/>
                  <w:marRight w:val="0"/>
                  <w:marTop w:val="0"/>
                  <w:marBottom w:val="0"/>
                  <w:divBdr>
                    <w:top w:val="none" w:sz="0" w:space="0" w:color="auto"/>
                    <w:left w:val="none" w:sz="0" w:space="0" w:color="auto"/>
                    <w:bottom w:val="none" w:sz="0" w:space="0" w:color="auto"/>
                    <w:right w:val="none" w:sz="0" w:space="0" w:color="auto"/>
                  </w:divBdr>
                </w:div>
                <w:div w:id="424302842">
                  <w:marLeft w:val="0"/>
                  <w:marRight w:val="0"/>
                  <w:marTop w:val="0"/>
                  <w:marBottom w:val="0"/>
                  <w:divBdr>
                    <w:top w:val="none" w:sz="0" w:space="0" w:color="auto"/>
                    <w:left w:val="none" w:sz="0" w:space="0" w:color="auto"/>
                    <w:bottom w:val="none" w:sz="0" w:space="0" w:color="auto"/>
                    <w:right w:val="none" w:sz="0" w:space="0" w:color="auto"/>
                  </w:divBdr>
                </w:div>
              </w:divsChild>
            </w:div>
            <w:div w:id="1159805542">
              <w:marLeft w:val="0"/>
              <w:marRight w:val="0"/>
              <w:marTop w:val="0"/>
              <w:marBottom w:val="0"/>
              <w:divBdr>
                <w:top w:val="none" w:sz="0" w:space="0" w:color="auto"/>
                <w:left w:val="none" w:sz="0" w:space="0" w:color="auto"/>
                <w:bottom w:val="none" w:sz="0" w:space="0" w:color="auto"/>
                <w:right w:val="none" w:sz="0" w:space="0" w:color="auto"/>
              </w:divBdr>
            </w:div>
            <w:div w:id="1901555475">
              <w:marLeft w:val="0"/>
              <w:marRight w:val="0"/>
              <w:marTop w:val="0"/>
              <w:marBottom w:val="0"/>
              <w:divBdr>
                <w:top w:val="none" w:sz="0" w:space="0" w:color="auto"/>
                <w:left w:val="none" w:sz="0" w:space="0" w:color="auto"/>
                <w:bottom w:val="none" w:sz="0" w:space="0" w:color="auto"/>
                <w:right w:val="none" w:sz="0" w:space="0" w:color="auto"/>
              </w:divBdr>
            </w:div>
            <w:div w:id="1633704840">
              <w:marLeft w:val="0"/>
              <w:marRight w:val="0"/>
              <w:marTop w:val="0"/>
              <w:marBottom w:val="0"/>
              <w:divBdr>
                <w:top w:val="none" w:sz="0" w:space="0" w:color="auto"/>
                <w:left w:val="none" w:sz="0" w:space="0" w:color="auto"/>
                <w:bottom w:val="none" w:sz="0" w:space="0" w:color="auto"/>
                <w:right w:val="none" w:sz="0" w:space="0" w:color="auto"/>
              </w:divBdr>
            </w:div>
            <w:div w:id="362053104">
              <w:marLeft w:val="0"/>
              <w:marRight w:val="0"/>
              <w:marTop w:val="0"/>
              <w:marBottom w:val="0"/>
              <w:divBdr>
                <w:top w:val="none" w:sz="0" w:space="0" w:color="auto"/>
                <w:left w:val="none" w:sz="0" w:space="0" w:color="auto"/>
                <w:bottom w:val="none" w:sz="0" w:space="0" w:color="auto"/>
                <w:right w:val="none" w:sz="0" w:space="0" w:color="auto"/>
              </w:divBdr>
            </w:div>
            <w:div w:id="260309030">
              <w:marLeft w:val="0"/>
              <w:marRight w:val="0"/>
              <w:marTop w:val="0"/>
              <w:marBottom w:val="0"/>
              <w:divBdr>
                <w:top w:val="none" w:sz="0" w:space="0" w:color="auto"/>
                <w:left w:val="none" w:sz="0" w:space="0" w:color="auto"/>
                <w:bottom w:val="none" w:sz="0" w:space="0" w:color="auto"/>
                <w:right w:val="none" w:sz="0" w:space="0" w:color="auto"/>
              </w:divBdr>
            </w:div>
            <w:div w:id="1096750537">
              <w:marLeft w:val="0"/>
              <w:marRight w:val="0"/>
              <w:marTop w:val="0"/>
              <w:marBottom w:val="0"/>
              <w:divBdr>
                <w:top w:val="none" w:sz="0" w:space="0" w:color="auto"/>
                <w:left w:val="none" w:sz="0" w:space="0" w:color="auto"/>
                <w:bottom w:val="none" w:sz="0" w:space="0" w:color="auto"/>
                <w:right w:val="none" w:sz="0" w:space="0" w:color="auto"/>
              </w:divBdr>
            </w:div>
            <w:div w:id="16662559">
              <w:marLeft w:val="0"/>
              <w:marRight w:val="0"/>
              <w:marTop w:val="0"/>
              <w:marBottom w:val="0"/>
              <w:divBdr>
                <w:top w:val="none" w:sz="0" w:space="0" w:color="auto"/>
                <w:left w:val="none" w:sz="0" w:space="0" w:color="auto"/>
                <w:bottom w:val="none" w:sz="0" w:space="0" w:color="auto"/>
                <w:right w:val="none" w:sz="0" w:space="0" w:color="auto"/>
              </w:divBdr>
              <w:divsChild>
                <w:div w:id="1315137925">
                  <w:marLeft w:val="0"/>
                  <w:marRight w:val="0"/>
                  <w:marTop w:val="0"/>
                  <w:marBottom w:val="0"/>
                  <w:divBdr>
                    <w:top w:val="none" w:sz="0" w:space="0" w:color="auto"/>
                    <w:left w:val="none" w:sz="0" w:space="0" w:color="auto"/>
                    <w:bottom w:val="none" w:sz="0" w:space="0" w:color="auto"/>
                    <w:right w:val="none" w:sz="0" w:space="0" w:color="auto"/>
                  </w:divBdr>
                </w:div>
                <w:div w:id="933854153">
                  <w:marLeft w:val="0"/>
                  <w:marRight w:val="0"/>
                  <w:marTop w:val="0"/>
                  <w:marBottom w:val="0"/>
                  <w:divBdr>
                    <w:top w:val="none" w:sz="0" w:space="0" w:color="auto"/>
                    <w:left w:val="none" w:sz="0" w:space="0" w:color="auto"/>
                    <w:bottom w:val="none" w:sz="0" w:space="0" w:color="auto"/>
                    <w:right w:val="none" w:sz="0" w:space="0" w:color="auto"/>
                  </w:divBdr>
                </w:div>
                <w:div w:id="1936400046">
                  <w:marLeft w:val="0"/>
                  <w:marRight w:val="0"/>
                  <w:marTop w:val="0"/>
                  <w:marBottom w:val="0"/>
                  <w:divBdr>
                    <w:top w:val="none" w:sz="0" w:space="0" w:color="auto"/>
                    <w:left w:val="none" w:sz="0" w:space="0" w:color="auto"/>
                    <w:bottom w:val="none" w:sz="0" w:space="0" w:color="auto"/>
                    <w:right w:val="none" w:sz="0" w:space="0" w:color="auto"/>
                  </w:divBdr>
                </w:div>
              </w:divsChild>
            </w:div>
            <w:div w:id="13069832">
              <w:marLeft w:val="0"/>
              <w:marRight w:val="0"/>
              <w:marTop w:val="0"/>
              <w:marBottom w:val="0"/>
              <w:divBdr>
                <w:top w:val="none" w:sz="0" w:space="0" w:color="auto"/>
                <w:left w:val="none" w:sz="0" w:space="0" w:color="auto"/>
                <w:bottom w:val="none" w:sz="0" w:space="0" w:color="auto"/>
                <w:right w:val="none" w:sz="0" w:space="0" w:color="auto"/>
              </w:divBdr>
            </w:div>
            <w:div w:id="1138570337">
              <w:marLeft w:val="0"/>
              <w:marRight w:val="0"/>
              <w:marTop w:val="0"/>
              <w:marBottom w:val="0"/>
              <w:divBdr>
                <w:top w:val="none" w:sz="0" w:space="0" w:color="auto"/>
                <w:left w:val="none" w:sz="0" w:space="0" w:color="auto"/>
                <w:bottom w:val="none" w:sz="0" w:space="0" w:color="auto"/>
                <w:right w:val="none" w:sz="0" w:space="0" w:color="auto"/>
              </w:divBdr>
              <w:divsChild>
                <w:div w:id="1129322995">
                  <w:marLeft w:val="0"/>
                  <w:marRight w:val="0"/>
                  <w:marTop w:val="0"/>
                  <w:marBottom w:val="0"/>
                  <w:divBdr>
                    <w:top w:val="none" w:sz="0" w:space="0" w:color="auto"/>
                    <w:left w:val="none" w:sz="0" w:space="0" w:color="auto"/>
                    <w:bottom w:val="none" w:sz="0" w:space="0" w:color="auto"/>
                    <w:right w:val="none" w:sz="0" w:space="0" w:color="auto"/>
                  </w:divBdr>
                </w:div>
                <w:div w:id="52387014">
                  <w:marLeft w:val="0"/>
                  <w:marRight w:val="0"/>
                  <w:marTop w:val="0"/>
                  <w:marBottom w:val="0"/>
                  <w:divBdr>
                    <w:top w:val="none" w:sz="0" w:space="0" w:color="auto"/>
                    <w:left w:val="none" w:sz="0" w:space="0" w:color="auto"/>
                    <w:bottom w:val="none" w:sz="0" w:space="0" w:color="auto"/>
                    <w:right w:val="none" w:sz="0" w:space="0" w:color="auto"/>
                  </w:divBdr>
                </w:div>
                <w:div w:id="778329056">
                  <w:marLeft w:val="0"/>
                  <w:marRight w:val="0"/>
                  <w:marTop w:val="0"/>
                  <w:marBottom w:val="0"/>
                  <w:divBdr>
                    <w:top w:val="none" w:sz="0" w:space="0" w:color="auto"/>
                    <w:left w:val="none" w:sz="0" w:space="0" w:color="auto"/>
                    <w:bottom w:val="none" w:sz="0" w:space="0" w:color="auto"/>
                    <w:right w:val="none" w:sz="0" w:space="0" w:color="auto"/>
                  </w:divBdr>
                </w:div>
              </w:divsChild>
            </w:div>
            <w:div w:id="36977874">
              <w:marLeft w:val="0"/>
              <w:marRight w:val="0"/>
              <w:marTop w:val="0"/>
              <w:marBottom w:val="0"/>
              <w:divBdr>
                <w:top w:val="none" w:sz="0" w:space="0" w:color="auto"/>
                <w:left w:val="none" w:sz="0" w:space="0" w:color="auto"/>
                <w:bottom w:val="none" w:sz="0" w:space="0" w:color="auto"/>
                <w:right w:val="none" w:sz="0" w:space="0" w:color="auto"/>
              </w:divBdr>
            </w:div>
            <w:div w:id="1705209799">
              <w:marLeft w:val="0"/>
              <w:marRight w:val="0"/>
              <w:marTop w:val="0"/>
              <w:marBottom w:val="0"/>
              <w:divBdr>
                <w:top w:val="none" w:sz="0" w:space="0" w:color="auto"/>
                <w:left w:val="none" w:sz="0" w:space="0" w:color="auto"/>
                <w:bottom w:val="none" w:sz="0" w:space="0" w:color="auto"/>
                <w:right w:val="none" w:sz="0" w:space="0" w:color="auto"/>
              </w:divBdr>
            </w:div>
            <w:div w:id="1366295481">
              <w:marLeft w:val="0"/>
              <w:marRight w:val="0"/>
              <w:marTop w:val="0"/>
              <w:marBottom w:val="0"/>
              <w:divBdr>
                <w:top w:val="none" w:sz="0" w:space="0" w:color="auto"/>
                <w:left w:val="none" w:sz="0" w:space="0" w:color="auto"/>
                <w:bottom w:val="none" w:sz="0" w:space="0" w:color="auto"/>
                <w:right w:val="none" w:sz="0" w:space="0" w:color="auto"/>
              </w:divBdr>
            </w:div>
            <w:div w:id="1631201951">
              <w:marLeft w:val="0"/>
              <w:marRight w:val="0"/>
              <w:marTop w:val="0"/>
              <w:marBottom w:val="0"/>
              <w:divBdr>
                <w:top w:val="none" w:sz="0" w:space="0" w:color="auto"/>
                <w:left w:val="none" w:sz="0" w:space="0" w:color="auto"/>
                <w:bottom w:val="none" w:sz="0" w:space="0" w:color="auto"/>
                <w:right w:val="none" w:sz="0" w:space="0" w:color="auto"/>
              </w:divBdr>
            </w:div>
            <w:div w:id="552927987">
              <w:marLeft w:val="0"/>
              <w:marRight w:val="0"/>
              <w:marTop w:val="0"/>
              <w:marBottom w:val="0"/>
              <w:divBdr>
                <w:top w:val="none" w:sz="0" w:space="0" w:color="auto"/>
                <w:left w:val="none" w:sz="0" w:space="0" w:color="auto"/>
                <w:bottom w:val="none" w:sz="0" w:space="0" w:color="auto"/>
                <w:right w:val="none" w:sz="0" w:space="0" w:color="auto"/>
              </w:divBdr>
            </w:div>
            <w:div w:id="768232332">
              <w:marLeft w:val="0"/>
              <w:marRight w:val="0"/>
              <w:marTop w:val="0"/>
              <w:marBottom w:val="0"/>
              <w:divBdr>
                <w:top w:val="none" w:sz="0" w:space="0" w:color="auto"/>
                <w:left w:val="none" w:sz="0" w:space="0" w:color="auto"/>
                <w:bottom w:val="none" w:sz="0" w:space="0" w:color="auto"/>
                <w:right w:val="none" w:sz="0" w:space="0" w:color="auto"/>
              </w:divBdr>
            </w:div>
            <w:div w:id="1515874097">
              <w:marLeft w:val="0"/>
              <w:marRight w:val="0"/>
              <w:marTop w:val="0"/>
              <w:marBottom w:val="0"/>
              <w:divBdr>
                <w:top w:val="none" w:sz="0" w:space="0" w:color="auto"/>
                <w:left w:val="none" w:sz="0" w:space="0" w:color="auto"/>
                <w:bottom w:val="none" w:sz="0" w:space="0" w:color="auto"/>
                <w:right w:val="none" w:sz="0" w:space="0" w:color="auto"/>
              </w:divBdr>
            </w:div>
            <w:div w:id="1559442310">
              <w:marLeft w:val="0"/>
              <w:marRight w:val="0"/>
              <w:marTop w:val="0"/>
              <w:marBottom w:val="0"/>
              <w:divBdr>
                <w:top w:val="none" w:sz="0" w:space="0" w:color="auto"/>
                <w:left w:val="none" w:sz="0" w:space="0" w:color="auto"/>
                <w:bottom w:val="none" w:sz="0" w:space="0" w:color="auto"/>
                <w:right w:val="none" w:sz="0" w:space="0" w:color="auto"/>
              </w:divBdr>
            </w:div>
            <w:div w:id="658849420">
              <w:marLeft w:val="0"/>
              <w:marRight w:val="0"/>
              <w:marTop w:val="0"/>
              <w:marBottom w:val="0"/>
              <w:divBdr>
                <w:top w:val="none" w:sz="0" w:space="0" w:color="auto"/>
                <w:left w:val="none" w:sz="0" w:space="0" w:color="auto"/>
                <w:bottom w:val="none" w:sz="0" w:space="0" w:color="auto"/>
                <w:right w:val="none" w:sz="0" w:space="0" w:color="auto"/>
              </w:divBdr>
              <w:divsChild>
                <w:div w:id="975840037">
                  <w:marLeft w:val="0"/>
                  <w:marRight w:val="0"/>
                  <w:marTop w:val="0"/>
                  <w:marBottom w:val="0"/>
                  <w:divBdr>
                    <w:top w:val="none" w:sz="0" w:space="0" w:color="auto"/>
                    <w:left w:val="none" w:sz="0" w:space="0" w:color="auto"/>
                    <w:bottom w:val="none" w:sz="0" w:space="0" w:color="auto"/>
                    <w:right w:val="none" w:sz="0" w:space="0" w:color="auto"/>
                  </w:divBdr>
                </w:div>
                <w:div w:id="1591504671">
                  <w:marLeft w:val="0"/>
                  <w:marRight w:val="0"/>
                  <w:marTop w:val="0"/>
                  <w:marBottom w:val="0"/>
                  <w:divBdr>
                    <w:top w:val="none" w:sz="0" w:space="0" w:color="auto"/>
                    <w:left w:val="none" w:sz="0" w:space="0" w:color="auto"/>
                    <w:bottom w:val="none" w:sz="0" w:space="0" w:color="auto"/>
                    <w:right w:val="none" w:sz="0" w:space="0" w:color="auto"/>
                  </w:divBdr>
                </w:div>
                <w:div w:id="535243012">
                  <w:marLeft w:val="0"/>
                  <w:marRight w:val="0"/>
                  <w:marTop w:val="0"/>
                  <w:marBottom w:val="0"/>
                  <w:divBdr>
                    <w:top w:val="none" w:sz="0" w:space="0" w:color="auto"/>
                    <w:left w:val="none" w:sz="0" w:space="0" w:color="auto"/>
                    <w:bottom w:val="none" w:sz="0" w:space="0" w:color="auto"/>
                    <w:right w:val="none" w:sz="0" w:space="0" w:color="auto"/>
                  </w:divBdr>
                </w:div>
                <w:div w:id="237132423">
                  <w:marLeft w:val="0"/>
                  <w:marRight w:val="0"/>
                  <w:marTop w:val="0"/>
                  <w:marBottom w:val="0"/>
                  <w:divBdr>
                    <w:top w:val="none" w:sz="0" w:space="0" w:color="auto"/>
                    <w:left w:val="none" w:sz="0" w:space="0" w:color="auto"/>
                    <w:bottom w:val="none" w:sz="0" w:space="0" w:color="auto"/>
                    <w:right w:val="none" w:sz="0" w:space="0" w:color="auto"/>
                  </w:divBdr>
                </w:div>
                <w:div w:id="354425692">
                  <w:marLeft w:val="0"/>
                  <w:marRight w:val="0"/>
                  <w:marTop w:val="0"/>
                  <w:marBottom w:val="0"/>
                  <w:divBdr>
                    <w:top w:val="none" w:sz="0" w:space="0" w:color="auto"/>
                    <w:left w:val="none" w:sz="0" w:space="0" w:color="auto"/>
                    <w:bottom w:val="none" w:sz="0" w:space="0" w:color="auto"/>
                    <w:right w:val="none" w:sz="0" w:space="0" w:color="auto"/>
                  </w:divBdr>
                </w:div>
              </w:divsChild>
            </w:div>
            <w:div w:id="302973137">
              <w:marLeft w:val="0"/>
              <w:marRight w:val="0"/>
              <w:marTop w:val="0"/>
              <w:marBottom w:val="0"/>
              <w:divBdr>
                <w:top w:val="none" w:sz="0" w:space="0" w:color="auto"/>
                <w:left w:val="none" w:sz="0" w:space="0" w:color="auto"/>
                <w:bottom w:val="none" w:sz="0" w:space="0" w:color="auto"/>
                <w:right w:val="none" w:sz="0" w:space="0" w:color="auto"/>
              </w:divBdr>
            </w:div>
            <w:div w:id="1618559203">
              <w:marLeft w:val="0"/>
              <w:marRight w:val="0"/>
              <w:marTop w:val="0"/>
              <w:marBottom w:val="0"/>
              <w:divBdr>
                <w:top w:val="none" w:sz="0" w:space="0" w:color="auto"/>
                <w:left w:val="none" w:sz="0" w:space="0" w:color="auto"/>
                <w:bottom w:val="none" w:sz="0" w:space="0" w:color="auto"/>
                <w:right w:val="none" w:sz="0" w:space="0" w:color="auto"/>
              </w:divBdr>
            </w:div>
            <w:div w:id="1624731597">
              <w:marLeft w:val="0"/>
              <w:marRight w:val="0"/>
              <w:marTop w:val="0"/>
              <w:marBottom w:val="0"/>
              <w:divBdr>
                <w:top w:val="none" w:sz="0" w:space="0" w:color="auto"/>
                <w:left w:val="none" w:sz="0" w:space="0" w:color="auto"/>
                <w:bottom w:val="none" w:sz="0" w:space="0" w:color="auto"/>
                <w:right w:val="none" w:sz="0" w:space="0" w:color="auto"/>
              </w:divBdr>
            </w:div>
            <w:div w:id="982198345">
              <w:marLeft w:val="0"/>
              <w:marRight w:val="0"/>
              <w:marTop w:val="0"/>
              <w:marBottom w:val="0"/>
              <w:divBdr>
                <w:top w:val="none" w:sz="0" w:space="0" w:color="auto"/>
                <w:left w:val="none" w:sz="0" w:space="0" w:color="auto"/>
                <w:bottom w:val="none" w:sz="0" w:space="0" w:color="auto"/>
                <w:right w:val="none" w:sz="0" w:space="0" w:color="auto"/>
              </w:divBdr>
            </w:div>
            <w:div w:id="99419271">
              <w:marLeft w:val="0"/>
              <w:marRight w:val="0"/>
              <w:marTop w:val="0"/>
              <w:marBottom w:val="0"/>
              <w:divBdr>
                <w:top w:val="none" w:sz="0" w:space="0" w:color="auto"/>
                <w:left w:val="none" w:sz="0" w:space="0" w:color="auto"/>
                <w:bottom w:val="none" w:sz="0" w:space="0" w:color="auto"/>
                <w:right w:val="none" w:sz="0" w:space="0" w:color="auto"/>
              </w:divBdr>
            </w:div>
            <w:div w:id="742801922">
              <w:marLeft w:val="0"/>
              <w:marRight w:val="0"/>
              <w:marTop w:val="0"/>
              <w:marBottom w:val="0"/>
              <w:divBdr>
                <w:top w:val="none" w:sz="0" w:space="0" w:color="auto"/>
                <w:left w:val="none" w:sz="0" w:space="0" w:color="auto"/>
                <w:bottom w:val="none" w:sz="0" w:space="0" w:color="auto"/>
                <w:right w:val="none" w:sz="0" w:space="0" w:color="auto"/>
              </w:divBdr>
            </w:div>
            <w:div w:id="510918908">
              <w:marLeft w:val="0"/>
              <w:marRight w:val="0"/>
              <w:marTop w:val="0"/>
              <w:marBottom w:val="0"/>
              <w:divBdr>
                <w:top w:val="none" w:sz="0" w:space="0" w:color="auto"/>
                <w:left w:val="none" w:sz="0" w:space="0" w:color="auto"/>
                <w:bottom w:val="none" w:sz="0" w:space="0" w:color="auto"/>
                <w:right w:val="none" w:sz="0" w:space="0" w:color="auto"/>
              </w:divBdr>
              <w:divsChild>
                <w:div w:id="1761217602">
                  <w:marLeft w:val="0"/>
                  <w:marRight w:val="0"/>
                  <w:marTop w:val="0"/>
                  <w:marBottom w:val="0"/>
                  <w:divBdr>
                    <w:top w:val="none" w:sz="0" w:space="0" w:color="auto"/>
                    <w:left w:val="none" w:sz="0" w:space="0" w:color="auto"/>
                    <w:bottom w:val="none" w:sz="0" w:space="0" w:color="auto"/>
                    <w:right w:val="none" w:sz="0" w:space="0" w:color="auto"/>
                  </w:divBdr>
                </w:div>
                <w:div w:id="1180660421">
                  <w:marLeft w:val="0"/>
                  <w:marRight w:val="0"/>
                  <w:marTop w:val="0"/>
                  <w:marBottom w:val="0"/>
                  <w:divBdr>
                    <w:top w:val="none" w:sz="0" w:space="0" w:color="auto"/>
                    <w:left w:val="none" w:sz="0" w:space="0" w:color="auto"/>
                    <w:bottom w:val="none" w:sz="0" w:space="0" w:color="auto"/>
                    <w:right w:val="none" w:sz="0" w:space="0" w:color="auto"/>
                  </w:divBdr>
                </w:div>
              </w:divsChild>
            </w:div>
            <w:div w:id="1132599803">
              <w:marLeft w:val="0"/>
              <w:marRight w:val="0"/>
              <w:marTop w:val="0"/>
              <w:marBottom w:val="0"/>
              <w:divBdr>
                <w:top w:val="none" w:sz="0" w:space="0" w:color="auto"/>
                <w:left w:val="none" w:sz="0" w:space="0" w:color="auto"/>
                <w:bottom w:val="none" w:sz="0" w:space="0" w:color="auto"/>
                <w:right w:val="none" w:sz="0" w:space="0" w:color="auto"/>
              </w:divBdr>
            </w:div>
            <w:div w:id="976715052">
              <w:marLeft w:val="0"/>
              <w:marRight w:val="0"/>
              <w:marTop w:val="0"/>
              <w:marBottom w:val="0"/>
              <w:divBdr>
                <w:top w:val="none" w:sz="0" w:space="0" w:color="auto"/>
                <w:left w:val="none" w:sz="0" w:space="0" w:color="auto"/>
                <w:bottom w:val="none" w:sz="0" w:space="0" w:color="auto"/>
                <w:right w:val="none" w:sz="0" w:space="0" w:color="auto"/>
              </w:divBdr>
            </w:div>
            <w:div w:id="739252588">
              <w:marLeft w:val="0"/>
              <w:marRight w:val="0"/>
              <w:marTop w:val="0"/>
              <w:marBottom w:val="0"/>
              <w:divBdr>
                <w:top w:val="none" w:sz="0" w:space="0" w:color="auto"/>
                <w:left w:val="none" w:sz="0" w:space="0" w:color="auto"/>
                <w:bottom w:val="none" w:sz="0" w:space="0" w:color="auto"/>
                <w:right w:val="none" w:sz="0" w:space="0" w:color="auto"/>
              </w:divBdr>
            </w:div>
            <w:div w:id="1643273923">
              <w:marLeft w:val="0"/>
              <w:marRight w:val="0"/>
              <w:marTop w:val="0"/>
              <w:marBottom w:val="0"/>
              <w:divBdr>
                <w:top w:val="none" w:sz="0" w:space="0" w:color="auto"/>
                <w:left w:val="none" w:sz="0" w:space="0" w:color="auto"/>
                <w:bottom w:val="none" w:sz="0" w:space="0" w:color="auto"/>
                <w:right w:val="none" w:sz="0" w:space="0" w:color="auto"/>
              </w:divBdr>
            </w:div>
            <w:div w:id="1935431444">
              <w:marLeft w:val="0"/>
              <w:marRight w:val="0"/>
              <w:marTop w:val="0"/>
              <w:marBottom w:val="0"/>
              <w:divBdr>
                <w:top w:val="none" w:sz="0" w:space="0" w:color="auto"/>
                <w:left w:val="none" w:sz="0" w:space="0" w:color="auto"/>
                <w:bottom w:val="none" w:sz="0" w:space="0" w:color="auto"/>
                <w:right w:val="none" w:sz="0" w:space="0" w:color="auto"/>
              </w:divBdr>
            </w:div>
            <w:div w:id="823817346">
              <w:marLeft w:val="0"/>
              <w:marRight w:val="0"/>
              <w:marTop w:val="0"/>
              <w:marBottom w:val="0"/>
              <w:divBdr>
                <w:top w:val="none" w:sz="0" w:space="0" w:color="auto"/>
                <w:left w:val="none" w:sz="0" w:space="0" w:color="auto"/>
                <w:bottom w:val="none" w:sz="0" w:space="0" w:color="auto"/>
                <w:right w:val="none" w:sz="0" w:space="0" w:color="auto"/>
              </w:divBdr>
            </w:div>
            <w:div w:id="1110666747">
              <w:marLeft w:val="0"/>
              <w:marRight w:val="0"/>
              <w:marTop w:val="0"/>
              <w:marBottom w:val="0"/>
              <w:divBdr>
                <w:top w:val="none" w:sz="0" w:space="0" w:color="auto"/>
                <w:left w:val="none" w:sz="0" w:space="0" w:color="auto"/>
                <w:bottom w:val="none" w:sz="0" w:space="0" w:color="auto"/>
                <w:right w:val="none" w:sz="0" w:space="0" w:color="auto"/>
              </w:divBdr>
            </w:div>
            <w:div w:id="1804928464">
              <w:marLeft w:val="0"/>
              <w:marRight w:val="0"/>
              <w:marTop w:val="0"/>
              <w:marBottom w:val="0"/>
              <w:divBdr>
                <w:top w:val="none" w:sz="0" w:space="0" w:color="auto"/>
                <w:left w:val="none" w:sz="0" w:space="0" w:color="auto"/>
                <w:bottom w:val="none" w:sz="0" w:space="0" w:color="auto"/>
                <w:right w:val="none" w:sz="0" w:space="0" w:color="auto"/>
              </w:divBdr>
            </w:div>
            <w:div w:id="1994333210">
              <w:marLeft w:val="0"/>
              <w:marRight w:val="0"/>
              <w:marTop w:val="0"/>
              <w:marBottom w:val="0"/>
              <w:divBdr>
                <w:top w:val="none" w:sz="0" w:space="0" w:color="auto"/>
                <w:left w:val="none" w:sz="0" w:space="0" w:color="auto"/>
                <w:bottom w:val="none" w:sz="0" w:space="0" w:color="auto"/>
                <w:right w:val="none" w:sz="0" w:space="0" w:color="auto"/>
              </w:divBdr>
            </w:div>
            <w:div w:id="672072075">
              <w:marLeft w:val="0"/>
              <w:marRight w:val="0"/>
              <w:marTop w:val="0"/>
              <w:marBottom w:val="0"/>
              <w:divBdr>
                <w:top w:val="none" w:sz="0" w:space="0" w:color="auto"/>
                <w:left w:val="none" w:sz="0" w:space="0" w:color="auto"/>
                <w:bottom w:val="none" w:sz="0" w:space="0" w:color="auto"/>
                <w:right w:val="none" w:sz="0" w:space="0" w:color="auto"/>
              </w:divBdr>
            </w:div>
            <w:div w:id="1250039983">
              <w:marLeft w:val="0"/>
              <w:marRight w:val="0"/>
              <w:marTop w:val="0"/>
              <w:marBottom w:val="0"/>
              <w:divBdr>
                <w:top w:val="none" w:sz="0" w:space="0" w:color="auto"/>
                <w:left w:val="none" w:sz="0" w:space="0" w:color="auto"/>
                <w:bottom w:val="none" w:sz="0" w:space="0" w:color="auto"/>
                <w:right w:val="none" w:sz="0" w:space="0" w:color="auto"/>
              </w:divBdr>
            </w:div>
            <w:div w:id="131021388">
              <w:marLeft w:val="0"/>
              <w:marRight w:val="0"/>
              <w:marTop w:val="0"/>
              <w:marBottom w:val="0"/>
              <w:divBdr>
                <w:top w:val="none" w:sz="0" w:space="0" w:color="auto"/>
                <w:left w:val="none" w:sz="0" w:space="0" w:color="auto"/>
                <w:bottom w:val="none" w:sz="0" w:space="0" w:color="auto"/>
                <w:right w:val="none" w:sz="0" w:space="0" w:color="auto"/>
              </w:divBdr>
            </w:div>
            <w:div w:id="2081441437">
              <w:marLeft w:val="0"/>
              <w:marRight w:val="0"/>
              <w:marTop w:val="0"/>
              <w:marBottom w:val="0"/>
              <w:divBdr>
                <w:top w:val="none" w:sz="0" w:space="0" w:color="auto"/>
                <w:left w:val="none" w:sz="0" w:space="0" w:color="auto"/>
                <w:bottom w:val="none" w:sz="0" w:space="0" w:color="auto"/>
                <w:right w:val="none" w:sz="0" w:space="0" w:color="auto"/>
              </w:divBdr>
            </w:div>
            <w:div w:id="471220582">
              <w:marLeft w:val="0"/>
              <w:marRight w:val="0"/>
              <w:marTop w:val="0"/>
              <w:marBottom w:val="0"/>
              <w:divBdr>
                <w:top w:val="none" w:sz="0" w:space="0" w:color="auto"/>
                <w:left w:val="none" w:sz="0" w:space="0" w:color="auto"/>
                <w:bottom w:val="none" w:sz="0" w:space="0" w:color="auto"/>
                <w:right w:val="none" w:sz="0" w:space="0" w:color="auto"/>
              </w:divBdr>
            </w:div>
            <w:div w:id="31196606">
              <w:marLeft w:val="0"/>
              <w:marRight w:val="0"/>
              <w:marTop w:val="0"/>
              <w:marBottom w:val="0"/>
              <w:divBdr>
                <w:top w:val="none" w:sz="0" w:space="0" w:color="auto"/>
                <w:left w:val="none" w:sz="0" w:space="0" w:color="auto"/>
                <w:bottom w:val="none" w:sz="0" w:space="0" w:color="auto"/>
                <w:right w:val="none" w:sz="0" w:space="0" w:color="auto"/>
              </w:divBdr>
            </w:div>
            <w:div w:id="1470593135">
              <w:marLeft w:val="0"/>
              <w:marRight w:val="0"/>
              <w:marTop w:val="0"/>
              <w:marBottom w:val="0"/>
              <w:divBdr>
                <w:top w:val="none" w:sz="0" w:space="0" w:color="auto"/>
                <w:left w:val="none" w:sz="0" w:space="0" w:color="auto"/>
                <w:bottom w:val="none" w:sz="0" w:space="0" w:color="auto"/>
                <w:right w:val="none" w:sz="0" w:space="0" w:color="auto"/>
              </w:divBdr>
              <w:divsChild>
                <w:div w:id="1706179426">
                  <w:marLeft w:val="0"/>
                  <w:marRight w:val="0"/>
                  <w:marTop w:val="0"/>
                  <w:marBottom w:val="0"/>
                  <w:divBdr>
                    <w:top w:val="none" w:sz="0" w:space="0" w:color="auto"/>
                    <w:left w:val="none" w:sz="0" w:space="0" w:color="auto"/>
                    <w:bottom w:val="none" w:sz="0" w:space="0" w:color="auto"/>
                    <w:right w:val="none" w:sz="0" w:space="0" w:color="auto"/>
                  </w:divBdr>
                </w:div>
                <w:div w:id="658313556">
                  <w:marLeft w:val="0"/>
                  <w:marRight w:val="0"/>
                  <w:marTop w:val="0"/>
                  <w:marBottom w:val="0"/>
                  <w:divBdr>
                    <w:top w:val="none" w:sz="0" w:space="0" w:color="auto"/>
                    <w:left w:val="none" w:sz="0" w:space="0" w:color="auto"/>
                    <w:bottom w:val="none" w:sz="0" w:space="0" w:color="auto"/>
                    <w:right w:val="none" w:sz="0" w:space="0" w:color="auto"/>
                  </w:divBdr>
                </w:div>
              </w:divsChild>
            </w:div>
            <w:div w:id="1633709087">
              <w:marLeft w:val="0"/>
              <w:marRight w:val="0"/>
              <w:marTop w:val="0"/>
              <w:marBottom w:val="0"/>
              <w:divBdr>
                <w:top w:val="none" w:sz="0" w:space="0" w:color="auto"/>
                <w:left w:val="none" w:sz="0" w:space="0" w:color="auto"/>
                <w:bottom w:val="none" w:sz="0" w:space="0" w:color="auto"/>
                <w:right w:val="none" w:sz="0" w:space="0" w:color="auto"/>
              </w:divBdr>
            </w:div>
            <w:div w:id="110251816">
              <w:marLeft w:val="0"/>
              <w:marRight w:val="0"/>
              <w:marTop w:val="0"/>
              <w:marBottom w:val="0"/>
              <w:divBdr>
                <w:top w:val="none" w:sz="0" w:space="0" w:color="auto"/>
                <w:left w:val="none" w:sz="0" w:space="0" w:color="auto"/>
                <w:bottom w:val="none" w:sz="0" w:space="0" w:color="auto"/>
                <w:right w:val="none" w:sz="0" w:space="0" w:color="auto"/>
              </w:divBdr>
            </w:div>
            <w:div w:id="1353723842">
              <w:marLeft w:val="0"/>
              <w:marRight w:val="0"/>
              <w:marTop w:val="0"/>
              <w:marBottom w:val="0"/>
              <w:divBdr>
                <w:top w:val="none" w:sz="0" w:space="0" w:color="auto"/>
                <w:left w:val="none" w:sz="0" w:space="0" w:color="auto"/>
                <w:bottom w:val="none" w:sz="0" w:space="0" w:color="auto"/>
                <w:right w:val="none" w:sz="0" w:space="0" w:color="auto"/>
              </w:divBdr>
            </w:div>
            <w:div w:id="1122768808">
              <w:marLeft w:val="0"/>
              <w:marRight w:val="0"/>
              <w:marTop w:val="0"/>
              <w:marBottom w:val="0"/>
              <w:divBdr>
                <w:top w:val="none" w:sz="0" w:space="0" w:color="auto"/>
                <w:left w:val="none" w:sz="0" w:space="0" w:color="auto"/>
                <w:bottom w:val="none" w:sz="0" w:space="0" w:color="auto"/>
                <w:right w:val="none" w:sz="0" w:space="0" w:color="auto"/>
              </w:divBdr>
            </w:div>
            <w:div w:id="455947228">
              <w:marLeft w:val="0"/>
              <w:marRight w:val="0"/>
              <w:marTop w:val="0"/>
              <w:marBottom w:val="0"/>
              <w:divBdr>
                <w:top w:val="none" w:sz="0" w:space="0" w:color="auto"/>
                <w:left w:val="none" w:sz="0" w:space="0" w:color="auto"/>
                <w:bottom w:val="none" w:sz="0" w:space="0" w:color="auto"/>
                <w:right w:val="none" w:sz="0" w:space="0" w:color="auto"/>
              </w:divBdr>
            </w:div>
            <w:div w:id="523715729">
              <w:marLeft w:val="0"/>
              <w:marRight w:val="0"/>
              <w:marTop w:val="0"/>
              <w:marBottom w:val="0"/>
              <w:divBdr>
                <w:top w:val="none" w:sz="0" w:space="0" w:color="auto"/>
                <w:left w:val="none" w:sz="0" w:space="0" w:color="auto"/>
                <w:bottom w:val="none" w:sz="0" w:space="0" w:color="auto"/>
                <w:right w:val="none" w:sz="0" w:space="0" w:color="auto"/>
              </w:divBdr>
            </w:div>
            <w:div w:id="84962185">
              <w:marLeft w:val="0"/>
              <w:marRight w:val="0"/>
              <w:marTop w:val="0"/>
              <w:marBottom w:val="0"/>
              <w:divBdr>
                <w:top w:val="none" w:sz="0" w:space="0" w:color="auto"/>
                <w:left w:val="none" w:sz="0" w:space="0" w:color="auto"/>
                <w:bottom w:val="none" w:sz="0" w:space="0" w:color="auto"/>
                <w:right w:val="none" w:sz="0" w:space="0" w:color="auto"/>
              </w:divBdr>
            </w:div>
            <w:div w:id="301621553">
              <w:marLeft w:val="0"/>
              <w:marRight w:val="0"/>
              <w:marTop w:val="0"/>
              <w:marBottom w:val="0"/>
              <w:divBdr>
                <w:top w:val="none" w:sz="0" w:space="0" w:color="auto"/>
                <w:left w:val="none" w:sz="0" w:space="0" w:color="auto"/>
                <w:bottom w:val="none" w:sz="0" w:space="0" w:color="auto"/>
                <w:right w:val="none" w:sz="0" w:space="0" w:color="auto"/>
              </w:divBdr>
            </w:div>
            <w:div w:id="948969313">
              <w:marLeft w:val="0"/>
              <w:marRight w:val="0"/>
              <w:marTop w:val="0"/>
              <w:marBottom w:val="0"/>
              <w:divBdr>
                <w:top w:val="none" w:sz="0" w:space="0" w:color="auto"/>
                <w:left w:val="none" w:sz="0" w:space="0" w:color="auto"/>
                <w:bottom w:val="none" w:sz="0" w:space="0" w:color="auto"/>
                <w:right w:val="none" w:sz="0" w:space="0" w:color="auto"/>
              </w:divBdr>
            </w:div>
            <w:div w:id="1853688472">
              <w:marLeft w:val="0"/>
              <w:marRight w:val="0"/>
              <w:marTop w:val="0"/>
              <w:marBottom w:val="0"/>
              <w:divBdr>
                <w:top w:val="none" w:sz="0" w:space="0" w:color="auto"/>
                <w:left w:val="none" w:sz="0" w:space="0" w:color="auto"/>
                <w:bottom w:val="none" w:sz="0" w:space="0" w:color="auto"/>
                <w:right w:val="none" w:sz="0" w:space="0" w:color="auto"/>
              </w:divBdr>
            </w:div>
            <w:div w:id="1693409319">
              <w:marLeft w:val="0"/>
              <w:marRight w:val="0"/>
              <w:marTop w:val="0"/>
              <w:marBottom w:val="0"/>
              <w:divBdr>
                <w:top w:val="none" w:sz="0" w:space="0" w:color="auto"/>
                <w:left w:val="none" w:sz="0" w:space="0" w:color="auto"/>
                <w:bottom w:val="none" w:sz="0" w:space="0" w:color="auto"/>
                <w:right w:val="none" w:sz="0" w:space="0" w:color="auto"/>
              </w:divBdr>
            </w:div>
            <w:div w:id="1457333348">
              <w:marLeft w:val="0"/>
              <w:marRight w:val="0"/>
              <w:marTop w:val="0"/>
              <w:marBottom w:val="0"/>
              <w:divBdr>
                <w:top w:val="none" w:sz="0" w:space="0" w:color="auto"/>
                <w:left w:val="none" w:sz="0" w:space="0" w:color="auto"/>
                <w:bottom w:val="none" w:sz="0" w:space="0" w:color="auto"/>
                <w:right w:val="none" w:sz="0" w:space="0" w:color="auto"/>
              </w:divBdr>
            </w:div>
            <w:div w:id="716314784">
              <w:marLeft w:val="0"/>
              <w:marRight w:val="0"/>
              <w:marTop w:val="0"/>
              <w:marBottom w:val="0"/>
              <w:divBdr>
                <w:top w:val="none" w:sz="0" w:space="0" w:color="auto"/>
                <w:left w:val="none" w:sz="0" w:space="0" w:color="auto"/>
                <w:bottom w:val="none" w:sz="0" w:space="0" w:color="auto"/>
                <w:right w:val="none" w:sz="0" w:space="0" w:color="auto"/>
              </w:divBdr>
            </w:div>
            <w:div w:id="967390799">
              <w:marLeft w:val="0"/>
              <w:marRight w:val="0"/>
              <w:marTop w:val="0"/>
              <w:marBottom w:val="0"/>
              <w:divBdr>
                <w:top w:val="none" w:sz="0" w:space="0" w:color="auto"/>
                <w:left w:val="none" w:sz="0" w:space="0" w:color="auto"/>
                <w:bottom w:val="none" w:sz="0" w:space="0" w:color="auto"/>
                <w:right w:val="none" w:sz="0" w:space="0" w:color="auto"/>
              </w:divBdr>
            </w:div>
            <w:div w:id="320083138">
              <w:marLeft w:val="0"/>
              <w:marRight w:val="0"/>
              <w:marTop w:val="0"/>
              <w:marBottom w:val="0"/>
              <w:divBdr>
                <w:top w:val="none" w:sz="0" w:space="0" w:color="auto"/>
                <w:left w:val="none" w:sz="0" w:space="0" w:color="auto"/>
                <w:bottom w:val="none" w:sz="0" w:space="0" w:color="auto"/>
                <w:right w:val="none" w:sz="0" w:space="0" w:color="auto"/>
              </w:divBdr>
            </w:div>
            <w:div w:id="1565876350">
              <w:marLeft w:val="0"/>
              <w:marRight w:val="0"/>
              <w:marTop w:val="0"/>
              <w:marBottom w:val="0"/>
              <w:divBdr>
                <w:top w:val="none" w:sz="0" w:space="0" w:color="auto"/>
                <w:left w:val="none" w:sz="0" w:space="0" w:color="auto"/>
                <w:bottom w:val="none" w:sz="0" w:space="0" w:color="auto"/>
                <w:right w:val="none" w:sz="0" w:space="0" w:color="auto"/>
              </w:divBdr>
              <w:divsChild>
                <w:div w:id="1383483383">
                  <w:marLeft w:val="0"/>
                  <w:marRight w:val="0"/>
                  <w:marTop w:val="0"/>
                  <w:marBottom w:val="0"/>
                  <w:divBdr>
                    <w:top w:val="none" w:sz="0" w:space="0" w:color="auto"/>
                    <w:left w:val="none" w:sz="0" w:space="0" w:color="auto"/>
                    <w:bottom w:val="none" w:sz="0" w:space="0" w:color="auto"/>
                    <w:right w:val="none" w:sz="0" w:space="0" w:color="auto"/>
                  </w:divBdr>
                </w:div>
                <w:div w:id="1685859567">
                  <w:marLeft w:val="0"/>
                  <w:marRight w:val="0"/>
                  <w:marTop w:val="0"/>
                  <w:marBottom w:val="0"/>
                  <w:divBdr>
                    <w:top w:val="none" w:sz="0" w:space="0" w:color="auto"/>
                    <w:left w:val="none" w:sz="0" w:space="0" w:color="auto"/>
                    <w:bottom w:val="none" w:sz="0" w:space="0" w:color="auto"/>
                    <w:right w:val="none" w:sz="0" w:space="0" w:color="auto"/>
                  </w:divBdr>
                </w:div>
              </w:divsChild>
            </w:div>
            <w:div w:id="1856188358">
              <w:marLeft w:val="0"/>
              <w:marRight w:val="0"/>
              <w:marTop w:val="0"/>
              <w:marBottom w:val="0"/>
              <w:divBdr>
                <w:top w:val="none" w:sz="0" w:space="0" w:color="auto"/>
                <w:left w:val="none" w:sz="0" w:space="0" w:color="auto"/>
                <w:bottom w:val="none" w:sz="0" w:space="0" w:color="auto"/>
                <w:right w:val="none" w:sz="0" w:space="0" w:color="auto"/>
              </w:divBdr>
            </w:div>
            <w:div w:id="507909728">
              <w:marLeft w:val="0"/>
              <w:marRight w:val="0"/>
              <w:marTop w:val="0"/>
              <w:marBottom w:val="0"/>
              <w:divBdr>
                <w:top w:val="none" w:sz="0" w:space="0" w:color="auto"/>
                <w:left w:val="none" w:sz="0" w:space="0" w:color="auto"/>
                <w:bottom w:val="none" w:sz="0" w:space="0" w:color="auto"/>
                <w:right w:val="none" w:sz="0" w:space="0" w:color="auto"/>
              </w:divBdr>
              <w:divsChild>
                <w:div w:id="1411003391">
                  <w:marLeft w:val="0"/>
                  <w:marRight w:val="0"/>
                  <w:marTop w:val="0"/>
                  <w:marBottom w:val="0"/>
                  <w:divBdr>
                    <w:top w:val="none" w:sz="0" w:space="0" w:color="auto"/>
                    <w:left w:val="none" w:sz="0" w:space="0" w:color="auto"/>
                    <w:bottom w:val="none" w:sz="0" w:space="0" w:color="auto"/>
                    <w:right w:val="none" w:sz="0" w:space="0" w:color="auto"/>
                  </w:divBdr>
                </w:div>
                <w:div w:id="1229656119">
                  <w:marLeft w:val="0"/>
                  <w:marRight w:val="0"/>
                  <w:marTop w:val="0"/>
                  <w:marBottom w:val="0"/>
                  <w:divBdr>
                    <w:top w:val="none" w:sz="0" w:space="0" w:color="auto"/>
                    <w:left w:val="none" w:sz="0" w:space="0" w:color="auto"/>
                    <w:bottom w:val="none" w:sz="0" w:space="0" w:color="auto"/>
                    <w:right w:val="none" w:sz="0" w:space="0" w:color="auto"/>
                  </w:divBdr>
                </w:div>
              </w:divsChild>
            </w:div>
            <w:div w:id="2033337787">
              <w:marLeft w:val="0"/>
              <w:marRight w:val="0"/>
              <w:marTop w:val="0"/>
              <w:marBottom w:val="0"/>
              <w:divBdr>
                <w:top w:val="none" w:sz="0" w:space="0" w:color="auto"/>
                <w:left w:val="none" w:sz="0" w:space="0" w:color="auto"/>
                <w:bottom w:val="none" w:sz="0" w:space="0" w:color="auto"/>
                <w:right w:val="none" w:sz="0" w:space="0" w:color="auto"/>
              </w:divBdr>
            </w:div>
            <w:div w:id="1526476030">
              <w:marLeft w:val="0"/>
              <w:marRight w:val="0"/>
              <w:marTop w:val="0"/>
              <w:marBottom w:val="0"/>
              <w:divBdr>
                <w:top w:val="none" w:sz="0" w:space="0" w:color="auto"/>
                <w:left w:val="none" w:sz="0" w:space="0" w:color="auto"/>
                <w:bottom w:val="none" w:sz="0" w:space="0" w:color="auto"/>
                <w:right w:val="none" w:sz="0" w:space="0" w:color="auto"/>
              </w:divBdr>
              <w:divsChild>
                <w:div w:id="1054767945">
                  <w:marLeft w:val="0"/>
                  <w:marRight w:val="0"/>
                  <w:marTop w:val="0"/>
                  <w:marBottom w:val="0"/>
                  <w:divBdr>
                    <w:top w:val="none" w:sz="0" w:space="0" w:color="auto"/>
                    <w:left w:val="none" w:sz="0" w:space="0" w:color="auto"/>
                    <w:bottom w:val="none" w:sz="0" w:space="0" w:color="auto"/>
                    <w:right w:val="none" w:sz="0" w:space="0" w:color="auto"/>
                  </w:divBdr>
                </w:div>
                <w:div w:id="1503280438">
                  <w:marLeft w:val="0"/>
                  <w:marRight w:val="0"/>
                  <w:marTop w:val="0"/>
                  <w:marBottom w:val="0"/>
                  <w:divBdr>
                    <w:top w:val="none" w:sz="0" w:space="0" w:color="auto"/>
                    <w:left w:val="none" w:sz="0" w:space="0" w:color="auto"/>
                    <w:bottom w:val="none" w:sz="0" w:space="0" w:color="auto"/>
                    <w:right w:val="none" w:sz="0" w:space="0" w:color="auto"/>
                  </w:divBdr>
                </w:div>
              </w:divsChild>
            </w:div>
            <w:div w:id="505049285">
              <w:marLeft w:val="0"/>
              <w:marRight w:val="0"/>
              <w:marTop w:val="0"/>
              <w:marBottom w:val="0"/>
              <w:divBdr>
                <w:top w:val="none" w:sz="0" w:space="0" w:color="auto"/>
                <w:left w:val="none" w:sz="0" w:space="0" w:color="auto"/>
                <w:bottom w:val="none" w:sz="0" w:space="0" w:color="auto"/>
                <w:right w:val="none" w:sz="0" w:space="0" w:color="auto"/>
              </w:divBdr>
            </w:div>
            <w:div w:id="1578125571">
              <w:marLeft w:val="0"/>
              <w:marRight w:val="0"/>
              <w:marTop w:val="0"/>
              <w:marBottom w:val="0"/>
              <w:divBdr>
                <w:top w:val="none" w:sz="0" w:space="0" w:color="auto"/>
                <w:left w:val="none" w:sz="0" w:space="0" w:color="auto"/>
                <w:bottom w:val="none" w:sz="0" w:space="0" w:color="auto"/>
                <w:right w:val="none" w:sz="0" w:space="0" w:color="auto"/>
              </w:divBdr>
            </w:div>
            <w:div w:id="369768595">
              <w:marLeft w:val="0"/>
              <w:marRight w:val="0"/>
              <w:marTop w:val="0"/>
              <w:marBottom w:val="0"/>
              <w:divBdr>
                <w:top w:val="none" w:sz="0" w:space="0" w:color="auto"/>
                <w:left w:val="none" w:sz="0" w:space="0" w:color="auto"/>
                <w:bottom w:val="none" w:sz="0" w:space="0" w:color="auto"/>
                <w:right w:val="none" w:sz="0" w:space="0" w:color="auto"/>
              </w:divBdr>
            </w:div>
            <w:div w:id="2128112443">
              <w:marLeft w:val="0"/>
              <w:marRight w:val="0"/>
              <w:marTop w:val="0"/>
              <w:marBottom w:val="0"/>
              <w:divBdr>
                <w:top w:val="none" w:sz="0" w:space="0" w:color="auto"/>
                <w:left w:val="none" w:sz="0" w:space="0" w:color="auto"/>
                <w:bottom w:val="none" w:sz="0" w:space="0" w:color="auto"/>
                <w:right w:val="none" w:sz="0" w:space="0" w:color="auto"/>
              </w:divBdr>
            </w:div>
            <w:div w:id="1368679594">
              <w:marLeft w:val="0"/>
              <w:marRight w:val="0"/>
              <w:marTop w:val="0"/>
              <w:marBottom w:val="0"/>
              <w:divBdr>
                <w:top w:val="none" w:sz="0" w:space="0" w:color="auto"/>
                <w:left w:val="none" w:sz="0" w:space="0" w:color="auto"/>
                <w:bottom w:val="none" w:sz="0" w:space="0" w:color="auto"/>
                <w:right w:val="none" w:sz="0" w:space="0" w:color="auto"/>
              </w:divBdr>
            </w:div>
            <w:div w:id="1810855288">
              <w:marLeft w:val="0"/>
              <w:marRight w:val="0"/>
              <w:marTop w:val="0"/>
              <w:marBottom w:val="0"/>
              <w:divBdr>
                <w:top w:val="none" w:sz="0" w:space="0" w:color="auto"/>
                <w:left w:val="none" w:sz="0" w:space="0" w:color="auto"/>
                <w:bottom w:val="none" w:sz="0" w:space="0" w:color="auto"/>
                <w:right w:val="none" w:sz="0" w:space="0" w:color="auto"/>
              </w:divBdr>
            </w:div>
            <w:div w:id="412970962">
              <w:marLeft w:val="0"/>
              <w:marRight w:val="0"/>
              <w:marTop w:val="0"/>
              <w:marBottom w:val="0"/>
              <w:divBdr>
                <w:top w:val="none" w:sz="0" w:space="0" w:color="auto"/>
                <w:left w:val="none" w:sz="0" w:space="0" w:color="auto"/>
                <w:bottom w:val="none" w:sz="0" w:space="0" w:color="auto"/>
                <w:right w:val="none" w:sz="0" w:space="0" w:color="auto"/>
              </w:divBdr>
            </w:div>
            <w:div w:id="1934707736">
              <w:marLeft w:val="0"/>
              <w:marRight w:val="0"/>
              <w:marTop w:val="0"/>
              <w:marBottom w:val="0"/>
              <w:divBdr>
                <w:top w:val="none" w:sz="0" w:space="0" w:color="auto"/>
                <w:left w:val="none" w:sz="0" w:space="0" w:color="auto"/>
                <w:bottom w:val="none" w:sz="0" w:space="0" w:color="auto"/>
                <w:right w:val="none" w:sz="0" w:space="0" w:color="auto"/>
              </w:divBdr>
            </w:div>
            <w:div w:id="902790601">
              <w:marLeft w:val="0"/>
              <w:marRight w:val="0"/>
              <w:marTop w:val="0"/>
              <w:marBottom w:val="0"/>
              <w:divBdr>
                <w:top w:val="none" w:sz="0" w:space="0" w:color="auto"/>
                <w:left w:val="none" w:sz="0" w:space="0" w:color="auto"/>
                <w:bottom w:val="none" w:sz="0" w:space="0" w:color="auto"/>
                <w:right w:val="none" w:sz="0" w:space="0" w:color="auto"/>
              </w:divBdr>
              <w:divsChild>
                <w:div w:id="1694958414">
                  <w:marLeft w:val="0"/>
                  <w:marRight w:val="0"/>
                  <w:marTop w:val="0"/>
                  <w:marBottom w:val="0"/>
                  <w:divBdr>
                    <w:top w:val="none" w:sz="0" w:space="0" w:color="auto"/>
                    <w:left w:val="none" w:sz="0" w:space="0" w:color="auto"/>
                    <w:bottom w:val="none" w:sz="0" w:space="0" w:color="auto"/>
                    <w:right w:val="none" w:sz="0" w:space="0" w:color="auto"/>
                  </w:divBdr>
                </w:div>
                <w:div w:id="1216117116">
                  <w:marLeft w:val="0"/>
                  <w:marRight w:val="0"/>
                  <w:marTop w:val="0"/>
                  <w:marBottom w:val="0"/>
                  <w:divBdr>
                    <w:top w:val="none" w:sz="0" w:space="0" w:color="auto"/>
                    <w:left w:val="none" w:sz="0" w:space="0" w:color="auto"/>
                    <w:bottom w:val="none" w:sz="0" w:space="0" w:color="auto"/>
                    <w:right w:val="none" w:sz="0" w:space="0" w:color="auto"/>
                  </w:divBdr>
                </w:div>
              </w:divsChild>
            </w:div>
            <w:div w:id="682779011">
              <w:marLeft w:val="0"/>
              <w:marRight w:val="0"/>
              <w:marTop w:val="0"/>
              <w:marBottom w:val="0"/>
              <w:divBdr>
                <w:top w:val="none" w:sz="0" w:space="0" w:color="auto"/>
                <w:left w:val="none" w:sz="0" w:space="0" w:color="auto"/>
                <w:bottom w:val="none" w:sz="0" w:space="0" w:color="auto"/>
                <w:right w:val="none" w:sz="0" w:space="0" w:color="auto"/>
              </w:divBdr>
            </w:div>
            <w:div w:id="217975668">
              <w:marLeft w:val="0"/>
              <w:marRight w:val="0"/>
              <w:marTop w:val="0"/>
              <w:marBottom w:val="0"/>
              <w:divBdr>
                <w:top w:val="none" w:sz="0" w:space="0" w:color="auto"/>
                <w:left w:val="none" w:sz="0" w:space="0" w:color="auto"/>
                <w:bottom w:val="none" w:sz="0" w:space="0" w:color="auto"/>
                <w:right w:val="none" w:sz="0" w:space="0" w:color="auto"/>
              </w:divBdr>
            </w:div>
            <w:div w:id="1743328039">
              <w:marLeft w:val="0"/>
              <w:marRight w:val="0"/>
              <w:marTop w:val="0"/>
              <w:marBottom w:val="0"/>
              <w:divBdr>
                <w:top w:val="none" w:sz="0" w:space="0" w:color="auto"/>
                <w:left w:val="none" w:sz="0" w:space="0" w:color="auto"/>
                <w:bottom w:val="none" w:sz="0" w:space="0" w:color="auto"/>
                <w:right w:val="none" w:sz="0" w:space="0" w:color="auto"/>
              </w:divBdr>
            </w:div>
            <w:div w:id="1388264407">
              <w:marLeft w:val="0"/>
              <w:marRight w:val="0"/>
              <w:marTop w:val="0"/>
              <w:marBottom w:val="0"/>
              <w:divBdr>
                <w:top w:val="none" w:sz="0" w:space="0" w:color="auto"/>
                <w:left w:val="none" w:sz="0" w:space="0" w:color="auto"/>
                <w:bottom w:val="none" w:sz="0" w:space="0" w:color="auto"/>
                <w:right w:val="none" w:sz="0" w:space="0" w:color="auto"/>
              </w:divBdr>
            </w:div>
            <w:div w:id="1157723799">
              <w:marLeft w:val="0"/>
              <w:marRight w:val="0"/>
              <w:marTop w:val="0"/>
              <w:marBottom w:val="0"/>
              <w:divBdr>
                <w:top w:val="none" w:sz="0" w:space="0" w:color="auto"/>
                <w:left w:val="none" w:sz="0" w:space="0" w:color="auto"/>
                <w:bottom w:val="none" w:sz="0" w:space="0" w:color="auto"/>
                <w:right w:val="none" w:sz="0" w:space="0" w:color="auto"/>
              </w:divBdr>
            </w:div>
            <w:div w:id="826943956">
              <w:marLeft w:val="0"/>
              <w:marRight w:val="0"/>
              <w:marTop w:val="0"/>
              <w:marBottom w:val="0"/>
              <w:divBdr>
                <w:top w:val="none" w:sz="0" w:space="0" w:color="auto"/>
                <w:left w:val="none" w:sz="0" w:space="0" w:color="auto"/>
                <w:bottom w:val="none" w:sz="0" w:space="0" w:color="auto"/>
                <w:right w:val="none" w:sz="0" w:space="0" w:color="auto"/>
              </w:divBdr>
            </w:div>
            <w:div w:id="837382695">
              <w:marLeft w:val="0"/>
              <w:marRight w:val="0"/>
              <w:marTop w:val="0"/>
              <w:marBottom w:val="0"/>
              <w:divBdr>
                <w:top w:val="none" w:sz="0" w:space="0" w:color="auto"/>
                <w:left w:val="none" w:sz="0" w:space="0" w:color="auto"/>
                <w:bottom w:val="none" w:sz="0" w:space="0" w:color="auto"/>
                <w:right w:val="none" w:sz="0" w:space="0" w:color="auto"/>
              </w:divBdr>
            </w:div>
            <w:div w:id="826752659">
              <w:marLeft w:val="0"/>
              <w:marRight w:val="0"/>
              <w:marTop w:val="0"/>
              <w:marBottom w:val="0"/>
              <w:divBdr>
                <w:top w:val="none" w:sz="0" w:space="0" w:color="auto"/>
                <w:left w:val="none" w:sz="0" w:space="0" w:color="auto"/>
                <w:bottom w:val="none" w:sz="0" w:space="0" w:color="auto"/>
                <w:right w:val="none" w:sz="0" w:space="0" w:color="auto"/>
              </w:divBdr>
              <w:divsChild>
                <w:div w:id="1952320045">
                  <w:marLeft w:val="0"/>
                  <w:marRight w:val="0"/>
                  <w:marTop w:val="0"/>
                  <w:marBottom w:val="0"/>
                  <w:divBdr>
                    <w:top w:val="none" w:sz="0" w:space="0" w:color="auto"/>
                    <w:left w:val="none" w:sz="0" w:space="0" w:color="auto"/>
                    <w:bottom w:val="none" w:sz="0" w:space="0" w:color="auto"/>
                    <w:right w:val="none" w:sz="0" w:space="0" w:color="auto"/>
                  </w:divBdr>
                </w:div>
                <w:div w:id="1977644751">
                  <w:marLeft w:val="0"/>
                  <w:marRight w:val="0"/>
                  <w:marTop w:val="0"/>
                  <w:marBottom w:val="0"/>
                  <w:divBdr>
                    <w:top w:val="none" w:sz="0" w:space="0" w:color="auto"/>
                    <w:left w:val="none" w:sz="0" w:space="0" w:color="auto"/>
                    <w:bottom w:val="none" w:sz="0" w:space="0" w:color="auto"/>
                    <w:right w:val="none" w:sz="0" w:space="0" w:color="auto"/>
                  </w:divBdr>
                </w:div>
                <w:div w:id="207882404">
                  <w:marLeft w:val="0"/>
                  <w:marRight w:val="0"/>
                  <w:marTop w:val="0"/>
                  <w:marBottom w:val="0"/>
                  <w:divBdr>
                    <w:top w:val="none" w:sz="0" w:space="0" w:color="auto"/>
                    <w:left w:val="none" w:sz="0" w:space="0" w:color="auto"/>
                    <w:bottom w:val="none" w:sz="0" w:space="0" w:color="auto"/>
                    <w:right w:val="none" w:sz="0" w:space="0" w:color="auto"/>
                  </w:divBdr>
                </w:div>
                <w:div w:id="92359698">
                  <w:marLeft w:val="0"/>
                  <w:marRight w:val="0"/>
                  <w:marTop w:val="0"/>
                  <w:marBottom w:val="0"/>
                  <w:divBdr>
                    <w:top w:val="none" w:sz="0" w:space="0" w:color="auto"/>
                    <w:left w:val="none" w:sz="0" w:space="0" w:color="auto"/>
                    <w:bottom w:val="none" w:sz="0" w:space="0" w:color="auto"/>
                    <w:right w:val="none" w:sz="0" w:space="0" w:color="auto"/>
                  </w:divBdr>
                </w:div>
                <w:div w:id="1771047652">
                  <w:marLeft w:val="0"/>
                  <w:marRight w:val="0"/>
                  <w:marTop w:val="0"/>
                  <w:marBottom w:val="0"/>
                  <w:divBdr>
                    <w:top w:val="none" w:sz="0" w:space="0" w:color="auto"/>
                    <w:left w:val="none" w:sz="0" w:space="0" w:color="auto"/>
                    <w:bottom w:val="none" w:sz="0" w:space="0" w:color="auto"/>
                    <w:right w:val="none" w:sz="0" w:space="0" w:color="auto"/>
                  </w:divBdr>
                </w:div>
                <w:div w:id="1174299004">
                  <w:marLeft w:val="0"/>
                  <w:marRight w:val="0"/>
                  <w:marTop w:val="0"/>
                  <w:marBottom w:val="0"/>
                  <w:divBdr>
                    <w:top w:val="none" w:sz="0" w:space="0" w:color="auto"/>
                    <w:left w:val="none" w:sz="0" w:space="0" w:color="auto"/>
                    <w:bottom w:val="none" w:sz="0" w:space="0" w:color="auto"/>
                    <w:right w:val="none" w:sz="0" w:space="0" w:color="auto"/>
                  </w:divBdr>
                </w:div>
                <w:div w:id="53093061">
                  <w:marLeft w:val="0"/>
                  <w:marRight w:val="0"/>
                  <w:marTop w:val="0"/>
                  <w:marBottom w:val="0"/>
                  <w:divBdr>
                    <w:top w:val="none" w:sz="0" w:space="0" w:color="auto"/>
                    <w:left w:val="none" w:sz="0" w:space="0" w:color="auto"/>
                    <w:bottom w:val="none" w:sz="0" w:space="0" w:color="auto"/>
                    <w:right w:val="none" w:sz="0" w:space="0" w:color="auto"/>
                  </w:divBdr>
                </w:div>
                <w:div w:id="9379358">
                  <w:marLeft w:val="0"/>
                  <w:marRight w:val="0"/>
                  <w:marTop w:val="0"/>
                  <w:marBottom w:val="0"/>
                  <w:divBdr>
                    <w:top w:val="none" w:sz="0" w:space="0" w:color="auto"/>
                    <w:left w:val="none" w:sz="0" w:space="0" w:color="auto"/>
                    <w:bottom w:val="none" w:sz="0" w:space="0" w:color="auto"/>
                    <w:right w:val="none" w:sz="0" w:space="0" w:color="auto"/>
                  </w:divBdr>
                </w:div>
                <w:div w:id="1914121310">
                  <w:marLeft w:val="0"/>
                  <w:marRight w:val="0"/>
                  <w:marTop w:val="0"/>
                  <w:marBottom w:val="0"/>
                  <w:divBdr>
                    <w:top w:val="none" w:sz="0" w:space="0" w:color="auto"/>
                    <w:left w:val="none" w:sz="0" w:space="0" w:color="auto"/>
                    <w:bottom w:val="none" w:sz="0" w:space="0" w:color="auto"/>
                    <w:right w:val="none" w:sz="0" w:space="0" w:color="auto"/>
                  </w:divBdr>
                </w:div>
              </w:divsChild>
            </w:div>
            <w:div w:id="447893746">
              <w:marLeft w:val="0"/>
              <w:marRight w:val="0"/>
              <w:marTop w:val="0"/>
              <w:marBottom w:val="0"/>
              <w:divBdr>
                <w:top w:val="none" w:sz="0" w:space="0" w:color="auto"/>
                <w:left w:val="none" w:sz="0" w:space="0" w:color="auto"/>
                <w:bottom w:val="none" w:sz="0" w:space="0" w:color="auto"/>
                <w:right w:val="none" w:sz="0" w:space="0" w:color="auto"/>
              </w:divBdr>
            </w:div>
            <w:div w:id="66998538">
              <w:marLeft w:val="0"/>
              <w:marRight w:val="0"/>
              <w:marTop w:val="0"/>
              <w:marBottom w:val="0"/>
              <w:divBdr>
                <w:top w:val="none" w:sz="0" w:space="0" w:color="auto"/>
                <w:left w:val="none" w:sz="0" w:space="0" w:color="auto"/>
                <w:bottom w:val="none" w:sz="0" w:space="0" w:color="auto"/>
                <w:right w:val="none" w:sz="0" w:space="0" w:color="auto"/>
              </w:divBdr>
              <w:divsChild>
                <w:div w:id="50857271">
                  <w:marLeft w:val="0"/>
                  <w:marRight w:val="0"/>
                  <w:marTop w:val="0"/>
                  <w:marBottom w:val="0"/>
                  <w:divBdr>
                    <w:top w:val="none" w:sz="0" w:space="0" w:color="auto"/>
                    <w:left w:val="none" w:sz="0" w:space="0" w:color="auto"/>
                    <w:bottom w:val="none" w:sz="0" w:space="0" w:color="auto"/>
                    <w:right w:val="none" w:sz="0" w:space="0" w:color="auto"/>
                  </w:divBdr>
                </w:div>
                <w:div w:id="366414901">
                  <w:marLeft w:val="0"/>
                  <w:marRight w:val="0"/>
                  <w:marTop w:val="0"/>
                  <w:marBottom w:val="0"/>
                  <w:divBdr>
                    <w:top w:val="none" w:sz="0" w:space="0" w:color="auto"/>
                    <w:left w:val="none" w:sz="0" w:space="0" w:color="auto"/>
                    <w:bottom w:val="none" w:sz="0" w:space="0" w:color="auto"/>
                    <w:right w:val="none" w:sz="0" w:space="0" w:color="auto"/>
                  </w:divBdr>
                </w:div>
                <w:div w:id="1615018895">
                  <w:marLeft w:val="0"/>
                  <w:marRight w:val="0"/>
                  <w:marTop w:val="0"/>
                  <w:marBottom w:val="0"/>
                  <w:divBdr>
                    <w:top w:val="none" w:sz="0" w:space="0" w:color="auto"/>
                    <w:left w:val="none" w:sz="0" w:space="0" w:color="auto"/>
                    <w:bottom w:val="none" w:sz="0" w:space="0" w:color="auto"/>
                    <w:right w:val="none" w:sz="0" w:space="0" w:color="auto"/>
                  </w:divBdr>
                </w:div>
              </w:divsChild>
            </w:div>
            <w:div w:id="302778205">
              <w:marLeft w:val="0"/>
              <w:marRight w:val="0"/>
              <w:marTop w:val="0"/>
              <w:marBottom w:val="0"/>
              <w:divBdr>
                <w:top w:val="none" w:sz="0" w:space="0" w:color="auto"/>
                <w:left w:val="none" w:sz="0" w:space="0" w:color="auto"/>
                <w:bottom w:val="none" w:sz="0" w:space="0" w:color="auto"/>
                <w:right w:val="none" w:sz="0" w:space="0" w:color="auto"/>
              </w:divBdr>
            </w:div>
            <w:div w:id="2514903">
              <w:marLeft w:val="0"/>
              <w:marRight w:val="0"/>
              <w:marTop w:val="0"/>
              <w:marBottom w:val="0"/>
              <w:divBdr>
                <w:top w:val="none" w:sz="0" w:space="0" w:color="auto"/>
                <w:left w:val="none" w:sz="0" w:space="0" w:color="auto"/>
                <w:bottom w:val="none" w:sz="0" w:space="0" w:color="auto"/>
                <w:right w:val="none" w:sz="0" w:space="0" w:color="auto"/>
              </w:divBdr>
            </w:div>
            <w:div w:id="1516068074">
              <w:marLeft w:val="0"/>
              <w:marRight w:val="0"/>
              <w:marTop w:val="0"/>
              <w:marBottom w:val="0"/>
              <w:divBdr>
                <w:top w:val="none" w:sz="0" w:space="0" w:color="auto"/>
                <w:left w:val="none" w:sz="0" w:space="0" w:color="auto"/>
                <w:bottom w:val="none" w:sz="0" w:space="0" w:color="auto"/>
                <w:right w:val="none" w:sz="0" w:space="0" w:color="auto"/>
              </w:divBdr>
            </w:div>
            <w:div w:id="856580721">
              <w:marLeft w:val="0"/>
              <w:marRight w:val="0"/>
              <w:marTop w:val="0"/>
              <w:marBottom w:val="0"/>
              <w:divBdr>
                <w:top w:val="none" w:sz="0" w:space="0" w:color="auto"/>
                <w:left w:val="none" w:sz="0" w:space="0" w:color="auto"/>
                <w:bottom w:val="none" w:sz="0" w:space="0" w:color="auto"/>
                <w:right w:val="none" w:sz="0" w:space="0" w:color="auto"/>
              </w:divBdr>
            </w:div>
            <w:div w:id="1002005324">
              <w:marLeft w:val="0"/>
              <w:marRight w:val="0"/>
              <w:marTop w:val="0"/>
              <w:marBottom w:val="0"/>
              <w:divBdr>
                <w:top w:val="none" w:sz="0" w:space="0" w:color="auto"/>
                <w:left w:val="none" w:sz="0" w:space="0" w:color="auto"/>
                <w:bottom w:val="none" w:sz="0" w:space="0" w:color="auto"/>
                <w:right w:val="none" w:sz="0" w:space="0" w:color="auto"/>
              </w:divBdr>
            </w:div>
            <w:div w:id="1943562748">
              <w:marLeft w:val="0"/>
              <w:marRight w:val="0"/>
              <w:marTop w:val="0"/>
              <w:marBottom w:val="0"/>
              <w:divBdr>
                <w:top w:val="none" w:sz="0" w:space="0" w:color="auto"/>
                <w:left w:val="none" w:sz="0" w:space="0" w:color="auto"/>
                <w:bottom w:val="none" w:sz="0" w:space="0" w:color="auto"/>
                <w:right w:val="none" w:sz="0" w:space="0" w:color="auto"/>
              </w:divBdr>
            </w:div>
            <w:div w:id="34670405">
              <w:marLeft w:val="0"/>
              <w:marRight w:val="0"/>
              <w:marTop w:val="0"/>
              <w:marBottom w:val="0"/>
              <w:divBdr>
                <w:top w:val="none" w:sz="0" w:space="0" w:color="auto"/>
                <w:left w:val="none" w:sz="0" w:space="0" w:color="auto"/>
                <w:bottom w:val="none" w:sz="0" w:space="0" w:color="auto"/>
                <w:right w:val="none" w:sz="0" w:space="0" w:color="auto"/>
              </w:divBdr>
            </w:div>
            <w:div w:id="1932662898">
              <w:marLeft w:val="0"/>
              <w:marRight w:val="0"/>
              <w:marTop w:val="0"/>
              <w:marBottom w:val="0"/>
              <w:divBdr>
                <w:top w:val="none" w:sz="0" w:space="0" w:color="auto"/>
                <w:left w:val="none" w:sz="0" w:space="0" w:color="auto"/>
                <w:bottom w:val="none" w:sz="0" w:space="0" w:color="auto"/>
                <w:right w:val="none" w:sz="0" w:space="0" w:color="auto"/>
              </w:divBdr>
            </w:div>
            <w:div w:id="1238399201">
              <w:marLeft w:val="0"/>
              <w:marRight w:val="0"/>
              <w:marTop w:val="0"/>
              <w:marBottom w:val="0"/>
              <w:divBdr>
                <w:top w:val="none" w:sz="0" w:space="0" w:color="auto"/>
                <w:left w:val="none" w:sz="0" w:space="0" w:color="auto"/>
                <w:bottom w:val="none" w:sz="0" w:space="0" w:color="auto"/>
                <w:right w:val="none" w:sz="0" w:space="0" w:color="auto"/>
              </w:divBdr>
            </w:div>
            <w:div w:id="102072071">
              <w:marLeft w:val="0"/>
              <w:marRight w:val="0"/>
              <w:marTop w:val="0"/>
              <w:marBottom w:val="0"/>
              <w:divBdr>
                <w:top w:val="none" w:sz="0" w:space="0" w:color="auto"/>
                <w:left w:val="none" w:sz="0" w:space="0" w:color="auto"/>
                <w:bottom w:val="none" w:sz="0" w:space="0" w:color="auto"/>
                <w:right w:val="none" w:sz="0" w:space="0" w:color="auto"/>
              </w:divBdr>
            </w:div>
            <w:div w:id="1475638666">
              <w:marLeft w:val="0"/>
              <w:marRight w:val="0"/>
              <w:marTop w:val="0"/>
              <w:marBottom w:val="0"/>
              <w:divBdr>
                <w:top w:val="none" w:sz="0" w:space="0" w:color="auto"/>
                <w:left w:val="none" w:sz="0" w:space="0" w:color="auto"/>
                <w:bottom w:val="none" w:sz="0" w:space="0" w:color="auto"/>
                <w:right w:val="none" w:sz="0" w:space="0" w:color="auto"/>
              </w:divBdr>
            </w:div>
            <w:div w:id="1712225167">
              <w:marLeft w:val="0"/>
              <w:marRight w:val="0"/>
              <w:marTop w:val="0"/>
              <w:marBottom w:val="0"/>
              <w:divBdr>
                <w:top w:val="none" w:sz="0" w:space="0" w:color="auto"/>
                <w:left w:val="none" w:sz="0" w:space="0" w:color="auto"/>
                <w:bottom w:val="none" w:sz="0" w:space="0" w:color="auto"/>
                <w:right w:val="none" w:sz="0" w:space="0" w:color="auto"/>
              </w:divBdr>
            </w:div>
            <w:div w:id="564225069">
              <w:marLeft w:val="0"/>
              <w:marRight w:val="0"/>
              <w:marTop w:val="0"/>
              <w:marBottom w:val="0"/>
              <w:divBdr>
                <w:top w:val="none" w:sz="0" w:space="0" w:color="auto"/>
                <w:left w:val="none" w:sz="0" w:space="0" w:color="auto"/>
                <w:bottom w:val="none" w:sz="0" w:space="0" w:color="auto"/>
                <w:right w:val="none" w:sz="0" w:space="0" w:color="auto"/>
              </w:divBdr>
              <w:divsChild>
                <w:div w:id="1376076794">
                  <w:marLeft w:val="0"/>
                  <w:marRight w:val="0"/>
                  <w:marTop w:val="0"/>
                  <w:marBottom w:val="0"/>
                  <w:divBdr>
                    <w:top w:val="none" w:sz="0" w:space="0" w:color="auto"/>
                    <w:left w:val="none" w:sz="0" w:space="0" w:color="auto"/>
                    <w:bottom w:val="none" w:sz="0" w:space="0" w:color="auto"/>
                    <w:right w:val="none" w:sz="0" w:space="0" w:color="auto"/>
                  </w:divBdr>
                </w:div>
                <w:div w:id="2070810843">
                  <w:marLeft w:val="0"/>
                  <w:marRight w:val="0"/>
                  <w:marTop w:val="0"/>
                  <w:marBottom w:val="0"/>
                  <w:divBdr>
                    <w:top w:val="none" w:sz="0" w:space="0" w:color="auto"/>
                    <w:left w:val="none" w:sz="0" w:space="0" w:color="auto"/>
                    <w:bottom w:val="none" w:sz="0" w:space="0" w:color="auto"/>
                    <w:right w:val="none" w:sz="0" w:space="0" w:color="auto"/>
                  </w:divBdr>
                </w:div>
                <w:div w:id="802427996">
                  <w:marLeft w:val="0"/>
                  <w:marRight w:val="0"/>
                  <w:marTop w:val="0"/>
                  <w:marBottom w:val="0"/>
                  <w:divBdr>
                    <w:top w:val="none" w:sz="0" w:space="0" w:color="auto"/>
                    <w:left w:val="none" w:sz="0" w:space="0" w:color="auto"/>
                    <w:bottom w:val="none" w:sz="0" w:space="0" w:color="auto"/>
                    <w:right w:val="none" w:sz="0" w:space="0" w:color="auto"/>
                  </w:divBdr>
                </w:div>
              </w:divsChild>
            </w:div>
            <w:div w:id="1143502989">
              <w:marLeft w:val="0"/>
              <w:marRight w:val="0"/>
              <w:marTop w:val="0"/>
              <w:marBottom w:val="0"/>
              <w:divBdr>
                <w:top w:val="none" w:sz="0" w:space="0" w:color="auto"/>
                <w:left w:val="none" w:sz="0" w:space="0" w:color="auto"/>
                <w:bottom w:val="none" w:sz="0" w:space="0" w:color="auto"/>
                <w:right w:val="none" w:sz="0" w:space="0" w:color="auto"/>
              </w:divBdr>
            </w:div>
            <w:div w:id="1916358824">
              <w:marLeft w:val="0"/>
              <w:marRight w:val="0"/>
              <w:marTop w:val="0"/>
              <w:marBottom w:val="0"/>
              <w:divBdr>
                <w:top w:val="none" w:sz="0" w:space="0" w:color="auto"/>
                <w:left w:val="none" w:sz="0" w:space="0" w:color="auto"/>
                <w:bottom w:val="none" w:sz="0" w:space="0" w:color="auto"/>
                <w:right w:val="none" w:sz="0" w:space="0" w:color="auto"/>
              </w:divBdr>
            </w:div>
            <w:div w:id="1161114188">
              <w:marLeft w:val="0"/>
              <w:marRight w:val="0"/>
              <w:marTop w:val="0"/>
              <w:marBottom w:val="0"/>
              <w:divBdr>
                <w:top w:val="none" w:sz="0" w:space="0" w:color="auto"/>
                <w:left w:val="none" w:sz="0" w:space="0" w:color="auto"/>
                <w:bottom w:val="none" w:sz="0" w:space="0" w:color="auto"/>
                <w:right w:val="none" w:sz="0" w:space="0" w:color="auto"/>
              </w:divBdr>
              <w:divsChild>
                <w:div w:id="1469545295">
                  <w:marLeft w:val="0"/>
                  <w:marRight w:val="0"/>
                  <w:marTop w:val="0"/>
                  <w:marBottom w:val="0"/>
                  <w:divBdr>
                    <w:top w:val="none" w:sz="0" w:space="0" w:color="auto"/>
                    <w:left w:val="none" w:sz="0" w:space="0" w:color="auto"/>
                    <w:bottom w:val="none" w:sz="0" w:space="0" w:color="auto"/>
                    <w:right w:val="none" w:sz="0" w:space="0" w:color="auto"/>
                  </w:divBdr>
                </w:div>
              </w:divsChild>
            </w:div>
            <w:div w:id="813714730">
              <w:marLeft w:val="0"/>
              <w:marRight w:val="0"/>
              <w:marTop w:val="0"/>
              <w:marBottom w:val="0"/>
              <w:divBdr>
                <w:top w:val="none" w:sz="0" w:space="0" w:color="auto"/>
                <w:left w:val="none" w:sz="0" w:space="0" w:color="auto"/>
                <w:bottom w:val="none" w:sz="0" w:space="0" w:color="auto"/>
                <w:right w:val="none" w:sz="0" w:space="0" w:color="auto"/>
              </w:divBdr>
            </w:div>
            <w:div w:id="1620137397">
              <w:marLeft w:val="0"/>
              <w:marRight w:val="0"/>
              <w:marTop w:val="0"/>
              <w:marBottom w:val="0"/>
              <w:divBdr>
                <w:top w:val="none" w:sz="0" w:space="0" w:color="auto"/>
                <w:left w:val="none" w:sz="0" w:space="0" w:color="auto"/>
                <w:bottom w:val="none" w:sz="0" w:space="0" w:color="auto"/>
                <w:right w:val="none" w:sz="0" w:space="0" w:color="auto"/>
              </w:divBdr>
            </w:div>
            <w:div w:id="806556424">
              <w:marLeft w:val="0"/>
              <w:marRight w:val="0"/>
              <w:marTop w:val="0"/>
              <w:marBottom w:val="0"/>
              <w:divBdr>
                <w:top w:val="none" w:sz="0" w:space="0" w:color="auto"/>
                <w:left w:val="none" w:sz="0" w:space="0" w:color="auto"/>
                <w:bottom w:val="none" w:sz="0" w:space="0" w:color="auto"/>
                <w:right w:val="none" w:sz="0" w:space="0" w:color="auto"/>
              </w:divBdr>
            </w:div>
            <w:div w:id="1766488863">
              <w:marLeft w:val="0"/>
              <w:marRight w:val="0"/>
              <w:marTop w:val="0"/>
              <w:marBottom w:val="0"/>
              <w:divBdr>
                <w:top w:val="none" w:sz="0" w:space="0" w:color="auto"/>
                <w:left w:val="none" w:sz="0" w:space="0" w:color="auto"/>
                <w:bottom w:val="none" w:sz="0" w:space="0" w:color="auto"/>
                <w:right w:val="none" w:sz="0" w:space="0" w:color="auto"/>
              </w:divBdr>
              <w:divsChild>
                <w:div w:id="360858630">
                  <w:marLeft w:val="0"/>
                  <w:marRight w:val="0"/>
                  <w:marTop w:val="0"/>
                  <w:marBottom w:val="0"/>
                  <w:divBdr>
                    <w:top w:val="none" w:sz="0" w:space="0" w:color="auto"/>
                    <w:left w:val="none" w:sz="0" w:space="0" w:color="auto"/>
                    <w:bottom w:val="none" w:sz="0" w:space="0" w:color="auto"/>
                    <w:right w:val="none" w:sz="0" w:space="0" w:color="auto"/>
                  </w:divBdr>
                </w:div>
                <w:div w:id="669528630">
                  <w:marLeft w:val="0"/>
                  <w:marRight w:val="0"/>
                  <w:marTop w:val="0"/>
                  <w:marBottom w:val="0"/>
                  <w:divBdr>
                    <w:top w:val="none" w:sz="0" w:space="0" w:color="auto"/>
                    <w:left w:val="none" w:sz="0" w:space="0" w:color="auto"/>
                    <w:bottom w:val="none" w:sz="0" w:space="0" w:color="auto"/>
                    <w:right w:val="none" w:sz="0" w:space="0" w:color="auto"/>
                  </w:divBdr>
                </w:div>
                <w:div w:id="1273901508">
                  <w:marLeft w:val="0"/>
                  <w:marRight w:val="0"/>
                  <w:marTop w:val="0"/>
                  <w:marBottom w:val="0"/>
                  <w:divBdr>
                    <w:top w:val="none" w:sz="0" w:space="0" w:color="auto"/>
                    <w:left w:val="none" w:sz="0" w:space="0" w:color="auto"/>
                    <w:bottom w:val="none" w:sz="0" w:space="0" w:color="auto"/>
                    <w:right w:val="none" w:sz="0" w:space="0" w:color="auto"/>
                  </w:divBdr>
                </w:div>
                <w:div w:id="932708414">
                  <w:marLeft w:val="0"/>
                  <w:marRight w:val="0"/>
                  <w:marTop w:val="0"/>
                  <w:marBottom w:val="0"/>
                  <w:divBdr>
                    <w:top w:val="none" w:sz="0" w:space="0" w:color="auto"/>
                    <w:left w:val="none" w:sz="0" w:space="0" w:color="auto"/>
                    <w:bottom w:val="none" w:sz="0" w:space="0" w:color="auto"/>
                    <w:right w:val="none" w:sz="0" w:space="0" w:color="auto"/>
                  </w:divBdr>
                </w:div>
                <w:div w:id="1337071594">
                  <w:marLeft w:val="0"/>
                  <w:marRight w:val="0"/>
                  <w:marTop w:val="0"/>
                  <w:marBottom w:val="0"/>
                  <w:divBdr>
                    <w:top w:val="none" w:sz="0" w:space="0" w:color="auto"/>
                    <w:left w:val="none" w:sz="0" w:space="0" w:color="auto"/>
                    <w:bottom w:val="none" w:sz="0" w:space="0" w:color="auto"/>
                    <w:right w:val="none" w:sz="0" w:space="0" w:color="auto"/>
                  </w:divBdr>
                </w:div>
              </w:divsChild>
            </w:div>
            <w:div w:id="1976907115">
              <w:marLeft w:val="0"/>
              <w:marRight w:val="0"/>
              <w:marTop w:val="0"/>
              <w:marBottom w:val="0"/>
              <w:divBdr>
                <w:top w:val="none" w:sz="0" w:space="0" w:color="auto"/>
                <w:left w:val="none" w:sz="0" w:space="0" w:color="auto"/>
                <w:bottom w:val="none" w:sz="0" w:space="0" w:color="auto"/>
                <w:right w:val="none" w:sz="0" w:space="0" w:color="auto"/>
              </w:divBdr>
            </w:div>
            <w:div w:id="1682318847">
              <w:marLeft w:val="0"/>
              <w:marRight w:val="0"/>
              <w:marTop w:val="0"/>
              <w:marBottom w:val="0"/>
              <w:divBdr>
                <w:top w:val="none" w:sz="0" w:space="0" w:color="auto"/>
                <w:left w:val="none" w:sz="0" w:space="0" w:color="auto"/>
                <w:bottom w:val="none" w:sz="0" w:space="0" w:color="auto"/>
                <w:right w:val="none" w:sz="0" w:space="0" w:color="auto"/>
              </w:divBdr>
            </w:div>
            <w:div w:id="1144813452">
              <w:marLeft w:val="0"/>
              <w:marRight w:val="0"/>
              <w:marTop w:val="0"/>
              <w:marBottom w:val="0"/>
              <w:divBdr>
                <w:top w:val="none" w:sz="0" w:space="0" w:color="auto"/>
                <w:left w:val="none" w:sz="0" w:space="0" w:color="auto"/>
                <w:bottom w:val="none" w:sz="0" w:space="0" w:color="auto"/>
                <w:right w:val="none" w:sz="0" w:space="0" w:color="auto"/>
              </w:divBdr>
            </w:div>
            <w:div w:id="1645499732">
              <w:marLeft w:val="0"/>
              <w:marRight w:val="0"/>
              <w:marTop w:val="0"/>
              <w:marBottom w:val="0"/>
              <w:divBdr>
                <w:top w:val="none" w:sz="0" w:space="0" w:color="auto"/>
                <w:left w:val="none" w:sz="0" w:space="0" w:color="auto"/>
                <w:bottom w:val="none" w:sz="0" w:space="0" w:color="auto"/>
                <w:right w:val="none" w:sz="0" w:space="0" w:color="auto"/>
              </w:divBdr>
            </w:div>
            <w:div w:id="555050714">
              <w:marLeft w:val="0"/>
              <w:marRight w:val="0"/>
              <w:marTop w:val="0"/>
              <w:marBottom w:val="0"/>
              <w:divBdr>
                <w:top w:val="none" w:sz="0" w:space="0" w:color="auto"/>
                <w:left w:val="none" w:sz="0" w:space="0" w:color="auto"/>
                <w:bottom w:val="none" w:sz="0" w:space="0" w:color="auto"/>
                <w:right w:val="none" w:sz="0" w:space="0" w:color="auto"/>
              </w:divBdr>
            </w:div>
            <w:div w:id="1469349765">
              <w:marLeft w:val="0"/>
              <w:marRight w:val="0"/>
              <w:marTop w:val="0"/>
              <w:marBottom w:val="0"/>
              <w:divBdr>
                <w:top w:val="none" w:sz="0" w:space="0" w:color="auto"/>
                <w:left w:val="none" w:sz="0" w:space="0" w:color="auto"/>
                <w:bottom w:val="none" w:sz="0" w:space="0" w:color="auto"/>
                <w:right w:val="none" w:sz="0" w:space="0" w:color="auto"/>
              </w:divBdr>
            </w:div>
            <w:div w:id="1366906739">
              <w:marLeft w:val="0"/>
              <w:marRight w:val="0"/>
              <w:marTop w:val="0"/>
              <w:marBottom w:val="0"/>
              <w:divBdr>
                <w:top w:val="none" w:sz="0" w:space="0" w:color="auto"/>
                <w:left w:val="none" w:sz="0" w:space="0" w:color="auto"/>
                <w:bottom w:val="none" w:sz="0" w:space="0" w:color="auto"/>
                <w:right w:val="none" w:sz="0" w:space="0" w:color="auto"/>
              </w:divBdr>
            </w:div>
            <w:div w:id="1886796290">
              <w:marLeft w:val="0"/>
              <w:marRight w:val="0"/>
              <w:marTop w:val="0"/>
              <w:marBottom w:val="0"/>
              <w:divBdr>
                <w:top w:val="none" w:sz="0" w:space="0" w:color="auto"/>
                <w:left w:val="none" w:sz="0" w:space="0" w:color="auto"/>
                <w:bottom w:val="none" w:sz="0" w:space="0" w:color="auto"/>
                <w:right w:val="none" w:sz="0" w:space="0" w:color="auto"/>
              </w:divBdr>
            </w:div>
            <w:div w:id="2012638842">
              <w:marLeft w:val="0"/>
              <w:marRight w:val="0"/>
              <w:marTop w:val="0"/>
              <w:marBottom w:val="0"/>
              <w:divBdr>
                <w:top w:val="none" w:sz="0" w:space="0" w:color="auto"/>
                <w:left w:val="none" w:sz="0" w:space="0" w:color="auto"/>
                <w:bottom w:val="none" w:sz="0" w:space="0" w:color="auto"/>
                <w:right w:val="none" w:sz="0" w:space="0" w:color="auto"/>
              </w:divBdr>
            </w:div>
            <w:div w:id="1688288247">
              <w:marLeft w:val="0"/>
              <w:marRight w:val="0"/>
              <w:marTop w:val="0"/>
              <w:marBottom w:val="0"/>
              <w:divBdr>
                <w:top w:val="none" w:sz="0" w:space="0" w:color="auto"/>
                <w:left w:val="none" w:sz="0" w:space="0" w:color="auto"/>
                <w:bottom w:val="none" w:sz="0" w:space="0" w:color="auto"/>
                <w:right w:val="none" w:sz="0" w:space="0" w:color="auto"/>
              </w:divBdr>
            </w:div>
            <w:div w:id="99878181">
              <w:marLeft w:val="0"/>
              <w:marRight w:val="0"/>
              <w:marTop w:val="0"/>
              <w:marBottom w:val="0"/>
              <w:divBdr>
                <w:top w:val="none" w:sz="0" w:space="0" w:color="auto"/>
                <w:left w:val="none" w:sz="0" w:space="0" w:color="auto"/>
                <w:bottom w:val="none" w:sz="0" w:space="0" w:color="auto"/>
                <w:right w:val="none" w:sz="0" w:space="0" w:color="auto"/>
              </w:divBdr>
            </w:div>
            <w:div w:id="1845171164">
              <w:marLeft w:val="0"/>
              <w:marRight w:val="0"/>
              <w:marTop w:val="0"/>
              <w:marBottom w:val="0"/>
              <w:divBdr>
                <w:top w:val="none" w:sz="0" w:space="0" w:color="auto"/>
                <w:left w:val="none" w:sz="0" w:space="0" w:color="auto"/>
                <w:bottom w:val="none" w:sz="0" w:space="0" w:color="auto"/>
                <w:right w:val="none" w:sz="0" w:space="0" w:color="auto"/>
              </w:divBdr>
            </w:div>
            <w:div w:id="1910529024">
              <w:marLeft w:val="0"/>
              <w:marRight w:val="0"/>
              <w:marTop w:val="0"/>
              <w:marBottom w:val="0"/>
              <w:divBdr>
                <w:top w:val="none" w:sz="0" w:space="0" w:color="auto"/>
                <w:left w:val="none" w:sz="0" w:space="0" w:color="auto"/>
                <w:bottom w:val="none" w:sz="0" w:space="0" w:color="auto"/>
                <w:right w:val="none" w:sz="0" w:space="0" w:color="auto"/>
              </w:divBdr>
            </w:div>
            <w:div w:id="147671530">
              <w:marLeft w:val="0"/>
              <w:marRight w:val="0"/>
              <w:marTop w:val="0"/>
              <w:marBottom w:val="0"/>
              <w:divBdr>
                <w:top w:val="none" w:sz="0" w:space="0" w:color="auto"/>
                <w:left w:val="none" w:sz="0" w:space="0" w:color="auto"/>
                <w:bottom w:val="none" w:sz="0" w:space="0" w:color="auto"/>
                <w:right w:val="none" w:sz="0" w:space="0" w:color="auto"/>
              </w:divBdr>
            </w:div>
            <w:div w:id="964310724">
              <w:marLeft w:val="0"/>
              <w:marRight w:val="0"/>
              <w:marTop w:val="0"/>
              <w:marBottom w:val="0"/>
              <w:divBdr>
                <w:top w:val="none" w:sz="0" w:space="0" w:color="auto"/>
                <w:left w:val="none" w:sz="0" w:space="0" w:color="auto"/>
                <w:bottom w:val="none" w:sz="0" w:space="0" w:color="auto"/>
                <w:right w:val="none" w:sz="0" w:space="0" w:color="auto"/>
              </w:divBdr>
            </w:div>
            <w:div w:id="391121055">
              <w:marLeft w:val="0"/>
              <w:marRight w:val="0"/>
              <w:marTop w:val="0"/>
              <w:marBottom w:val="0"/>
              <w:divBdr>
                <w:top w:val="none" w:sz="0" w:space="0" w:color="auto"/>
                <w:left w:val="none" w:sz="0" w:space="0" w:color="auto"/>
                <w:bottom w:val="none" w:sz="0" w:space="0" w:color="auto"/>
                <w:right w:val="none" w:sz="0" w:space="0" w:color="auto"/>
              </w:divBdr>
            </w:div>
            <w:div w:id="1205554657">
              <w:marLeft w:val="0"/>
              <w:marRight w:val="0"/>
              <w:marTop w:val="0"/>
              <w:marBottom w:val="0"/>
              <w:divBdr>
                <w:top w:val="none" w:sz="0" w:space="0" w:color="auto"/>
                <w:left w:val="none" w:sz="0" w:space="0" w:color="auto"/>
                <w:bottom w:val="none" w:sz="0" w:space="0" w:color="auto"/>
                <w:right w:val="none" w:sz="0" w:space="0" w:color="auto"/>
              </w:divBdr>
            </w:div>
            <w:div w:id="1398279869">
              <w:marLeft w:val="0"/>
              <w:marRight w:val="0"/>
              <w:marTop w:val="0"/>
              <w:marBottom w:val="0"/>
              <w:divBdr>
                <w:top w:val="none" w:sz="0" w:space="0" w:color="auto"/>
                <w:left w:val="none" w:sz="0" w:space="0" w:color="auto"/>
                <w:bottom w:val="none" w:sz="0" w:space="0" w:color="auto"/>
                <w:right w:val="none" w:sz="0" w:space="0" w:color="auto"/>
              </w:divBdr>
            </w:div>
            <w:div w:id="2046101170">
              <w:marLeft w:val="0"/>
              <w:marRight w:val="0"/>
              <w:marTop w:val="0"/>
              <w:marBottom w:val="0"/>
              <w:divBdr>
                <w:top w:val="none" w:sz="0" w:space="0" w:color="auto"/>
                <w:left w:val="none" w:sz="0" w:space="0" w:color="auto"/>
                <w:bottom w:val="none" w:sz="0" w:space="0" w:color="auto"/>
                <w:right w:val="none" w:sz="0" w:space="0" w:color="auto"/>
              </w:divBdr>
            </w:div>
            <w:div w:id="1852596945">
              <w:marLeft w:val="0"/>
              <w:marRight w:val="0"/>
              <w:marTop w:val="0"/>
              <w:marBottom w:val="0"/>
              <w:divBdr>
                <w:top w:val="none" w:sz="0" w:space="0" w:color="auto"/>
                <w:left w:val="none" w:sz="0" w:space="0" w:color="auto"/>
                <w:bottom w:val="none" w:sz="0" w:space="0" w:color="auto"/>
                <w:right w:val="none" w:sz="0" w:space="0" w:color="auto"/>
              </w:divBdr>
            </w:div>
            <w:div w:id="433982293">
              <w:marLeft w:val="0"/>
              <w:marRight w:val="0"/>
              <w:marTop w:val="0"/>
              <w:marBottom w:val="0"/>
              <w:divBdr>
                <w:top w:val="none" w:sz="0" w:space="0" w:color="auto"/>
                <w:left w:val="none" w:sz="0" w:space="0" w:color="auto"/>
                <w:bottom w:val="none" w:sz="0" w:space="0" w:color="auto"/>
                <w:right w:val="none" w:sz="0" w:space="0" w:color="auto"/>
              </w:divBdr>
            </w:div>
            <w:div w:id="931546851">
              <w:marLeft w:val="0"/>
              <w:marRight w:val="0"/>
              <w:marTop w:val="0"/>
              <w:marBottom w:val="0"/>
              <w:divBdr>
                <w:top w:val="none" w:sz="0" w:space="0" w:color="auto"/>
                <w:left w:val="none" w:sz="0" w:space="0" w:color="auto"/>
                <w:bottom w:val="none" w:sz="0" w:space="0" w:color="auto"/>
                <w:right w:val="none" w:sz="0" w:space="0" w:color="auto"/>
              </w:divBdr>
            </w:div>
            <w:div w:id="2115780995">
              <w:marLeft w:val="0"/>
              <w:marRight w:val="0"/>
              <w:marTop w:val="0"/>
              <w:marBottom w:val="0"/>
              <w:divBdr>
                <w:top w:val="none" w:sz="0" w:space="0" w:color="auto"/>
                <w:left w:val="none" w:sz="0" w:space="0" w:color="auto"/>
                <w:bottom w:val="none" w:sz="0" w:space="0" w:color="auto"/>
                <w:right w:val="none" w:sz="0" w:space="0" w:color="auto"/>
              </w:divBdr>
            </w:div>
            <w:div w:id="1411080757">
              <w:marLeft w:val="0"/>
              <w:marRight w:val="0"/>
              <w:marTop w:val="0"/>
              <w:marBottom w:val="0"/>
              <w:divBdr>
                <w:top w:val="none" w:sz="0" w:space="0" w:color="auto"/>
                <w:left w:val="none" w:sz="0" w:space="0" w:color="auto"/>
                <w:bottom w:val="none" w:sz="0" w:space="0" w:color="auto"/>
                <w:right w:val="none" w:sz="0" w:space="0" w:color="auto"/>
              </w:divBdr>
            </w:div>
            <w:div w:id="873075090">
              <w:marLeft w:val="0"/>
              <w:marRight w:val="0"/>
              <w:marTop w:val="0"/>
              <w:marBottom w:val="0"/>
              <w:divBdr>
                <w:top w:val="none" w:sz="0" w:space="0" w:color="auto"/>
                <w:left w:val="none" w:sz="0" w:space="0" w:color="auto"/>
                <w:bottom w:val="none" w:sz="0" w:space="0" w:color="auto"/>
                <w:right w:val="none" w:sz="0" w:space="0" w:color="auto"/>
              </w:divBdr>
            </w:div>
            <w:div w:id="312024735">
              <w:marLeft w:val="0"/>
              <w:marRight w:val="0"/>
              <w:marTop w:val="0"/>
              <w:marBottom w:val="0"/>
              <w:divBdr>
                <w:top w:val="none" w:sz="0" w:space="0" w:color="auto"/>
                <w:left w:val="none" w:sz="0" w:space="0" w:color="auto"/>
                <w:bottom w:val="none" w:sz="0" w:space="0" w:color="auto"/>
                <w:right w:val="none" w:sz="0" w:space="0" w:color="auto"/>
              </w:divBdr>
            </w:div>
            <w:div w:id="1007487636">
              <w:marLeft w:val="0"/>
              <w:marRight w:val="0"/>
              <w:marTop w:val="0"/>
              <w:marBottom w:val="0"/>
              <w:divBdr>
                <w:top w:val="none" w:sz="0" w:space="0" w:color="auto"/>
                <w:left w:val="none" w:sz="0" w:space="0" w:color="auto"/>
                <w:bottom w:val="none" w:sz="0" w:space="0" w:color="auto"/>
                <w:right w:val="none" w:sz="0" w:space="0" w:color="auto"/>
              </w:divBdr>
            </w:div>
            <w:div w:id="1310355744">
              <w:marLeft w:val="0"/>
              <w:marRight w:val="0"/>
              <w:marTop w:val="0"/>
              <w:marBottom w:val="0"/>
              <w:divBdr>
                <w:top w:val="none" w:sz="0" w:space="0" w:color="auto"/>
                <w:left w:val="none" w:sz="0" w:space="0" w:color="auto"/>
                <w:bottom w:val="none" w:sz="0" w:space="0" w:color="auto"/>
                <w:right w:val="none" w:sz="0" w:space="0" w:color="auto"/>
              </w:divBdr>
            </w:div>
            <w:div w:id="247809613">
              <w:marLeft w:val="0"/>
              <w:marRight w:val="0"/>
              <w:marTop w:val="0"/>
              <w:marBottom w:val="0"/>
              <w:divBdr>
                <w:top w:val="none" w:sz="0" w:space="0" w:color="auto"/>
                <w:left w:val="none" w:sz="0" w:space="0" w:color="auto"/>
                <w:bottom w:val="none" w:sz="0" w:space="0" w:color="auto"/>
                <w:right w:val="none" w:sz="0" w:space="0" w:color="auto"/>
              </w:divBdr>
            </w:div>
            <w:div w:id="96557969">
              <w:marLeft w:val="0"/>
              <w:marRight w:val="0"/>
              <w:marTop w:val="0"/>
              <w:marBottom w:val="0"/>
              <w:divBdr>
                <w:top w:val="none" w:sz="0" w:space="0" w:color="auto"/>
                <w:left w:val="none" w:sz="0" w:space="0" w:color="auto"/>
                <w:bottom w:val="none" w:sz="0" w:space="0" w:color="auto"/>
                <w:right w:val="none" w:sz="0" w:space="0" w:color="auto"/>
              </w:divBdr>
            </w:div>
            <w:div w:id="1716125995">
              <w:marLeft w:val="0"/>
              <w:marRight w:val="0"/>
              <w:marTop w:val="0"/>
              <w:marBottom w:val="0"/>
              <w:divBdr>
                <w:top w:val="none" w:sz="0" w:space="0" w:color="auto"/>
                <w:left w:val="none" w:sz="0" w:space="0" w:color="auto"/>
                <w:bottom w:val="none" w:sz="0" w:space="0" w:color="auto"/>
                <w:right w:val="none" w:sz="0" w:space="0" w:color="auto"/>
              </w:divBdr>
            </w:div>
            <w:div w:id="1389836961">
              <w:marLeft w:val="0"/>
              <w:marRight w:val="0"/>
              <w:marTop w:val="0"/>
              <w:marBottom w:val="0"/>
              <w:divBdr>
                <w:top w:val="none" w:sz="0" w:space="0" w:color="auto"/>
                <w:left w:val="none" w:sz="0" w:space="0" w:color="auto"/>
                <w:bottom w:val="none" w:sz="0" w:space="0" w:color="auto"/>
                <w:right w:val="none" w:sz="0" w:space="0" w:color="auto"/>
              </w:divBdr>
            </w:div>
            <w:div w:id="1046368836">
              <w:marLeft w:val="0"/>
              <w:marRight w:val="0"/>
              <w:marTop w:val="0"/>
              <w:marBottom w:val="0"/>
              <w:divBdr>
                <w:top w:val="none" w:sz="0" w:space="0" w:color="auto"/>
                <w:left w:val="none" w:sz="0" w:space="0" w:color="auto"/>
                <w:bottom w:val="none" w:sz="0" w:space="0" w:color="auto"/>
                <w:right w:val="none" w:sz="0" w:space="0" w:color="auto"/>
              </w:divBdr>
            </w:div>
            <w:div w:id="146752773">
              <w:marLeft w:val="0"/>
              <w:marRight w:val="0"/>
              <w:marTop w:val="0"/>
              <w:marBottom w:val="0"/>
              <w:divBdr>
                <w:top w:val="none" w:sz="0" w:space="0" w:color="auto"/>
                <w:left w:val="none" w:sz="0" w:space="0" w:color="auto"/>
                <w:bottom w:val="none" w:sz="0" w:space="0" w:color="auto"/>
                <w:right w:val="none" w:sz="0" w:space="0" w:color="auto"/>
              </w:divBdr>
            </w:div>
            <w:div w:id="1726876680">
              <w:marLeft w:val="0"/>
              <w:marRight w:val="0"/>
              <w:marTop w:val="0"/>
              <w:marBottom w:val="0"/>
              <w:divBdr>
                <w:top w:val="none" w:sz="0" w:space="0" w:color="auto"/>
                <w:left w:val="none" w:sz="0" w:space="0" w:color="auto"/>
                <w:bottom w:val="none" w:sz="0" w:space="0" w:color="auto"/>
                <w:right w:val="none" w:sz="0" w:space="0" w:color="auto"/>
              </w:divBdr>
            </w:div>
            <w:div w:id="528950239">
              <w:marLeft w:val="0"/>
              <w:marRight w:val="0"/>
              <w:marTop w:val="0"/>
              <w:marBottom w:val="0"/>
              <w:divBdr>
                <w:top w:val="none" w:sz="0" w:space="0" w:color="auto"/>
                <w:left w:val="none" w:sz="0" w:space="0" w:color="auto"/>
                <w:bottom w:val="none" w:sz="0" w:space="0" w:color="auto"/>
                <w:right w:val="none" w:sz="0" w:space="0" w:color="auto"/>
              </w:divBdr>
            </w:div>
            <w:div w:id="564612287">
              <w:marLeft w:val="0"/>
              <w:marRight w:val="0"/>
              <w:marTop w:val="0"/>
              <w:marBottom w:val="0"/>
              <w:divBdr>
                <w:top w:val="none" w:sz="0" w:space="0" w:color="auto"/>
                <w:left w:val="none" w:sz="0" w:space="0" w:color="auto"/>
                <w:bottom w:val="none" w:sz="0" w:space="0" w:color="auto"/>
                <w:right w:val="none" w:sz="0" w:space="0" w:color="auto"/>
              </w:divBdr>
            </w:div>
            <w:div w:id="1676112460">
              <w:marLeft w:val="0"/>
              <w:marRight w:val="0"/>
              <w:marTop w:val="0"/>
              <w:marBottom w:val="0"/>
              <w:divBdr>
                <w:top w:val="none" w:sz="0" w:space="0" w:color="auto"/>
                <w:left w:val="none" w:sz="0" w:space="0" w:color="auto"/>
                <w:bottom w:val="none" w:sz="0" w:space="0" w:color="auto"/>
                <w:right w:val="none" w:sz="0" w:space="0" w:color="auto"/>
              </w:divBdr>
            </w:div>
            <w:div w:id="1995794291">
              <w:marLeft w:val="0"/>
              <w:marRight w:val="0"/>
              <w:marTop w:val="0"/>
              <w:marBottom w:val="0"/>
              <w:divBdr>
                <w:top w:val="none" w:sz="0" w:space="0" w:color="auto"/>
                <w:left w:val="none" w:sz="0" w:space="0" w:color="auto"/>
                <w:bottom w:val="none" w:sz="0" w:space="0" w:color="auto"/>
                <w:right w:val="none" w:sz="0" w:space="0" w:color="auto"/>
              </w:divBdr>
            </w:div>
            <w:div w:id="1090272698">
              <w:marLeft w:val="0"/>
              <w:marRight w:val="0"/>
              <w:marTop w:val="0"/>
              <w:marBottom w:val="0"/>
              <w:divBdr>
                <w:top w:val="none" w:sz="0" w:space="0" w:color="auto"/>
                <w:left w:val="none" w:sz="0" w:space="0" w:color="auto"/>
                <w:bottom w:val="none" w:sz="0" w:space="0" w:color="auto"/>
                <w:right w:val="none" w:sz="0" w:space="0" w:color="auto"/>
              </w:divBdr>
            </w:div>
            <w:div w:id="615213908">
              <w:marLeft w:val="0"/>
              <w:marRight w:val="0"/>
              <w:marTop w:val="0"/>
              <w:marBottom w:val="0"/>
              <w:divBdr>
                <w:top w:val="none" w:sz="0" w:space="0" w:color="auto"/>
                <w:left w:val="none" w:sz="0" w:space="0" w:color="auto"/>
                <w:bottom w:val="none" w:sz="0" w:space="0" w:color="auto"/>
                <w:right w:val="none" w:sz="0" w:space="0" w:color="auto"/>
              </w:divBdr>
            </w:div>
            <w:div w:id="618536423">
              <w:marLeft w:val="0"/>
              <w:marRight w:val="0"/>
              <w:marTop w:val="0"/>
              <w:marBottom w:val="0"/>
              <w:divBdr>
                <w:top w:val="none" w:sz="0" w:space="0" w:color="auto"/>
                <w:left w:val="none" w:sz="0" w:space="0" w:color="auto"/>
                <w:bottom w:val="none" w:sz="0" w:space="0" w:color="auto"/>
                <w:right w:val="none" w:sz="0" w:space="0" w:color="auto"/>
              </w:divBdr>
            </w:div>
            <w:div w:id="1246256554">
              <w:marLeft w:val="0"/>
              <w:marRight w:val="0"/>
              <w:marTop w:val="0"/>
              <w:marBottom w:val="0"/>
              <w:divBdr>
                <w:top w:val="none" w:sz="0" w:space="0" w:color="auto"/>
                <w:left w:val="none" w:sz="0" w:space="0" w:color="auto"/>
                <w:bottom w:val="none" w:sz="0" w:space="0" w:color="auto"/>
                <w:right w:val="none" w:sz="0" w:space="0" w:color="auto"/>
              </w:divBdr>
            </w:div>
            <w:div w:id="1772967525">
              <w:marLeft w:val="0"/>
              <w:marRight w:val="0"/>
              <w:marTop w:val="0"/>
              <w:marBottom w:val="0"/>
              <w:divBdr>
                <w:top w:val="none" w:sz="0" w:space="0" w:color="auto"/>
                <w:left w:val="none" w:sz="0" w:space="0" w:color="auto"/>
                <w:bottom w:val="none" w:sz="0" w:space="0" w:color="auto"/>
                <w:right w:val="none" w:sz="0" w:space="0" w:color="auto"/>
              </w:divBdr>
            </w:div>
            <w:div w:id="280653294">
              <w:marLeft w:val="0"/>
              <w:marRight w:val="0"/>
              <w:marTop w:val="0"/>
              <w:marBottom w:val="0"/>
              <w:divBdr>
                <w:top w:val="none" w:sz="0" w:space="0" w:color="auto"/>
                <w:left w:val="none" w:sz="0" w:space="0" w:color="auto"/>
                <w:bottom w:val="none" w:sz="0" w:space="0" w:color="auto"/>
                <w:right w:val="none" w:sz="0" w:space="0" w:color="auto"/>
              </w:divBdr>
            </w:div>
            <w:div w:id="1651520512">
              <w:marLeft w:val="0"/>
              <w:marRight w:val="0"/>
              <w:marTop w:val="0"/>
              <w:marBottom w:val="0"/>
              <w:divBdr>
                <w:top w:val="none" w:sz="0" w:space="0" w:color="auto"/>
                <w:left w:val="none" w:sz="0" w:space="0" w:color="auto"/>
                <w:bottom w:val="none" w:sz="0" w:space="0" w:color="auto"/>
                <w:right w:val="none" w:sz="0" w:space="0" w:color="auto"/>
              </w:divBdr>
            </w:div>
            <w:div w:id="1759063384">
              <w:marLeft w:val="0"/>
              <w:marRight w:val="0"/>
              <w:marTop w:val="0"/>
              <w:marBottom w:val="0"/>
              <w:divBdr>
                <w:top w:val="none" w:sz="0" w:space="0" w:color="auto"/>
                <w:left w:val="none" w:sz="0" w:space="0" w:color="auto"/>
                <w:bottom w:val="none" w:sz="0" w:space="0" w:color="auto"/>
                <w:right w:val="none" w:sz="0" w:space="0" w:color="auto"/>
              </w:divBdr>
            </w:div>
            <w:div w:id="392042258">
              <w:marLeft w:val="0"/>
              <w:marRight w:val="0"/>
              <w:marTop w:val="0"/>
              <w:marBottom w:val="0"/>
              <w:divBdr>
                <w:top w:val="none" w:sz="0" w:space="0" w:color="auto"/>
                <w:left w:val="none" w:sz="0" w:space="0" w:color="auto"/>
                <w:bottom w:val="none" w:sz="0" w:space="0" w:color="auto"/>
                <w:right w:val="none" w:sz="0" w:space="0" w:color="auto"/>
              </w:divBdr>
            </w:div>
            <w:div w:id="679429368">
              <w:marLeft w:val="0"/>
              <w:marRight w:val="0"/>
              <w:marTop w:val="0"/>
              <w:marBottom w:val="0"/>
              <w:divBdr>
                <w:top w:val="none" w:sz="0" w:space="0" w:color="auto"/>
                <w:left w:val="none" w:sz="0" w:space="0" w:color="auto"/>
                <w:bottom w:val="none" w:sz="0" w:space="0" w:color="auto"/>
                <w:right w:val="none" w:sz="0" w:space="0" w:color="auto"/>
              </w:divBdr>
            </w:div>
            <w:div w:id="2033604910">
              <w:marLeft w:val="0"/>
              <w:marRight w:val="0"/>
              <w:marTop w:val="0"/>
              <w:marBottom w:val="0"/>
              <w:divBdr>
                <w:top w:val="none" w:sz="0" w:space="0" w:color="auto"/>
                <w:left w:val="none" w:sz="0" w:space="0" w:color="auto"/>
                <w:bottom w:val="none" w:sz="0" w:space="0" w:color="auto"/>
                <w:right w:val="none" w:sz="0" w:space="0" w:color="auto"/>
              </w:divBdr>
            </w:div>
            <w:div w:id="1369523667">
              <w:marLeft w:val="0"/>
              <w:marRight w:val="0"/>
              <w:marTop w:val="0"/>
              <w:marBottom w:val="0"/>
              <w:divBdr>
                <w:top w:val="none" w:sz="0" w:space="0" w:color="auto"/>
                <w:left w:val="none" w:sz="0" w:space="0" w:color="auto"/>
                <w:bottom w:val="none" w:sz="0" w:space="0" w:color="auto"/>
                <w:right w:val="none" w:sz="0" w:space="0" w:color="auto"/>
              </w:divBdr>
            </w:div>
            <w:div w:id="1281299754">
              <w:marLeft w:val="0"/>
              <w:marRight w:val="0"/>
              <w:marTop w:val="0"/>
              <w:marBottom w:val="0"/>
              <w:divBdr>
                <w:top w:val="none" w:sz="0" w:space="0" w:color="auto"/>
                <w:left w:val="none" w:sz="0" w:space="0" w:color="auto"/>
                <w:bottom w:val="none" w:sz="0" w:space="0" w:color="auto"/>
                <w:right w:val="none" w:sz="0" w:space="0" w:color="auto"/>
              </w:divBdr>
            </w:div>
            <w:div w:id="1852453065">
              <w:marLeft w:val="0"/>
              <w:marRight w:val="0"/>
              <w:marTop w:val="0"/>
              <w:marBottom w:val="0"/>
              <w:divBdr>
                <w:top w:val="none" w:sz="0" w:space="0" w:color="auto"/>
                <w:left w:val="none" w:sz="0" w:space="0" w:color="auto"/>
                <w:bottom w:val="none" w:sz="0" w:space="0" w:color="auto"/>
                <w:right w:val="none" w:sz="0" w:space="0" w:color="auto"/>
              </w:divBdr>
            </w:div>
            <w:div w:id="465392891">
              <w:marLeft w:val="0"/>
              <w:marRight w:val="0"/>
              <w:marTop w:val="0"/>
              <w:marBottom w:val="0"/>
              <w:divBdr>
                <w:top w:val="none" w:sz="0" w:space="0" w:color="auto"/>
                <w:left w:val="none" w:sz="0" w:space="0" w:color="auto"/>
                <w:bottom w:val="none" w:sz="0" w:space="0" w:color="auto"/>
                <w:right w:val="none" w:sz="0" w:space="0" w:color="auto"/>
              </w:divBdr>
            </w:div>
            <w:div w:id="816068502">
              <w:marLeft w:val="0"/>
              <w:marRight w:val="0"/>
              <w:marTop w:val="0"/>
              <w:marBottom w:val="0"/>
              <w:divBdr>
                <w:top w:val="none" w:sz="0" w:space="0" w:color="auto"/>
                <w:left w:val="none" w:sz="0" w:space="0" w:color="auto"/>
                <w:bottom w:val="none" w:sz="0" w:space="0" w:color="auto"/>
                <w:right w:val="none" w:sz="0" w:space="0" w:color="auto"/>
              </w:divBdr>
            </w:div>
            <w:div w:id="2099406908">
              <w:marLeft w:val="0"/>
              <w:marRight w:val="0"/>
              <w:marTop w:val="0"/>
              <w:marBottom w:val="0"/>
              <w:divBdr>
                <w:top w:val="none" w:sz="0" w:space="0" w:color="auto"/>
                <w:left w:val="none" w:sz="0" w:space="0" w:color="auto"/>
                <w:bottom w:val="none" w:sz="0" w:space="0" w:color="auto"/>
                <w:right w:val="none" w:sz="0" w:space="0" w:color="auto"/>
              </w:divBdr>
            </w:div>
            <w:div w:id="2057119535">
              <w:marLeft w:val="0"/>
              <w:marRight w:val="0"/>
              <w:marTop w:val="0"/>
              <w:marBottom w:val="0"/>
              <w:divBdr>
                <w:top w:val="none" w:sz="0" w:space="0" w:color="auto"/>
                <w:left w:val="none" w:sz="0" w:space="0" w:color="auto"/>
                <w:bottom w:val="none" w:sz="0" w:space="0" w:color="auto"/>
                <w:right w:val="none" w:sz="0" w:space="0" w:color="auto"/>
              </w:divBdr>
            </w:div>
            <w:div w:id="1456824498">
              <w:marLeft w:val="0"/>
              <w:marRight w:val="0"/>
              <w:marTop w:val="0"/>
              <w:marBottom w:val="0"/>
              <w:divBdr>
                <w:top w:val="none" w:sz="0" w:space="0" w:color="auto"/>
                <w:left w:val="none" w:sz="0" w:space="0" w:color="auto"/>
                <w:bottom w:val="none" w:sz="0" w:space="0" w:color="auto"/>
                <w:right w:val="none" w:sz="0" w:space="0" w:color="auto"/>
              </w:divBdr>
            </w:div>
            <w:div w:id="1092313675">
              <w:marLeft w:val="0"/>
              <w:marRight w:val="0"/>
              <w:marTop w:val="0"/>
              <w:marBottom w:val="0"/>
              <w:divBdr>
                <w:top w:val="none" w:sz="0" w:space="0" w:color="auto"/>
                <w:left w:val="none" w:sz="0" w:space="0" w:color="auto"/>
                <w:bottom w:val="none" w:sz="0" w:space="0" w:color="auto"/>
                <w:right w:val="none" w:sz="0" w:space="0" w:color="auto"/>
              </w:divBdr>
            </w:div>
            <w:div w:id="1933009380">
              <w:marLeft w:val="0"/>
              <w:marRight w:val="0"/>
              <w:marTop w:val="0"/>
              <w:marBottom w:val="0"/>
              <w:divBdr>
                <w:top w:val="none" w:sz="0" w:space="0" w:color="auto"/>
                <w:left w:val="none" w:sz="0" w:space="0" w:color="auto"/>
                <w:bottom w:val="none" w:sz="0" w:space="0" w:color="auto"/>
                <w:right w:val="none" w:sz="0" w:space="0" w:color="auto"/>
              </w:divBdr>
            </w:div>
            <w:div w:id="396362823">
              <w:marLeft w:val="0"/>
              <w:marRight w:val="0"/>
              <w:marTop w:val="0"/>
              <w:marBottom w:val="0"/>
              <w:divBdr>
                <w:top w:val="none" w:sz="0" w:space="0" w:color="auto"/>
                <w:left w:val="none" w:sz="0" w:space="0" w:color="auto"/>
                <w:bottom w:val="none" w:sz="0" w:space="0" w:color="auto"/>
                <w:right w:val="none" w:sz="0" w:space="0" w:color="auto"/>
              </w:divBdr>
            </w:div>
            <w:div w:id="819083108">
              <w:marLeft w:val="0"/>
              <w:marRight w:val="0"/>
              <w:marTop w:val="0"/>
              <w:marBottom w:val="0"/>
              <w:divBdr>
                <w:top w:val="none" w:sz="0" w:space="0" w:color="auto"/>
                <w:left w:val="none" w:sz="0" w:space="0" w:color="auto"/>
                <w:bottom w:val="none" w:sz="0" w:space="0" w:color="auto"/>
                <w:right w:val="none" w:sz="0" w:space="0" w:color="auto"/>
              </w:divBdr>
            </w:div>
            <w:div w:id="364065677">
              <w:marLeft w:val="0"/>
              <w:marRight w:val="0"/>
              <w:marTop w:val="0"/>
              <w:marBottom w:val="0"/>
              <w:divBdr>
                <w:top w:val="none" w:sz="0" w:space="0" w:color="auto"/>
                <w:left w:val="none" w:sz="0" w:space="0" w:color="auto"/>
                <w:bottom w:val="none" w:sz="0" w:space="0" w:color="auto"/>
                <w:right w:val="none" w:sz="0" w:space="0" w:color="auto"/>
              </w:divBdr>
            </w:div>
            <w:div w:id="1370497131">
              <w:marLeft w:val="0"/>
              <w:marRight w:val="0"/>
              <w:marTop w:val="0"/>
              <w:marBottom w:val="0"/>
              <w:divBdr>
                <w:top w:val="none" w:sz="0" w:space="0" w:color="auto"/>
                <w:left w:val="none" w:sz="0" w:space="0" w:color="auto"/>
                <w:bottom w:val="none" w:sz="0" w:space="0" w:color="auto"/>
                <w:right w:val="none" w:sz="0" w:space="0" w:color="auto"/>
              </w:divBdr>
            </w:div>
            <w:div w:id="754281590">
              <w:marLeft w:val="0"/>
              <w:marRight w:val="0"/>
              <w:marTop w:val="0"/>
              <w:marBottom w:val="0"/>
              <w:divBdr>
                <w:top w:val="none" w:sz="0" w:space="0" w:color="auto"/>
                <w:left w:val="none" w:sz="0" w:space="0" w:color="auto"/>
                <w:bottom w:val="none" w:sz="0" w:space="0" w:color="auto"/>
                <w:right w:val="none" w:sz="0" w:space="0" w:color="auto"/>
              </w:divBdr>
            </w:div>
            <w:div w:id="338236721">
              <w:marLeft w:val="0"/>
              <w:marRight w:val="0"/>
              <w:marTop w:val="0"/>
              <w:marBottom w:val="0"/>
              <w:divBdr>
                <w:top w:val="none" w:sz="0" w:space="0" w:color="auto"/>
                <w:left w:val="none" w:sz="0" w:space="0" w:color="auto"/>
                <w:bottom w:val="none" w:sz="0" w:space="0" w:color="auto"/>
                <w:right w:val="none" w:sz="0" w:space="0" w:color="auto"/>
              </w:divBdr>
            </w:div>
            <w:div w:id="81026663">
              <w:marLeft w:val="0"/>
              <w:marRight w:val="0"/>
              <w:marTop w:val="0"/>
              <w:marBottom w:val="0"/>
              <w:divBdr>
                <w:top w:val="none" w:sz="0" w:space="0" w:color="auto"/>
                <w:left w:val="none" w:sz="0" w:space="0" w:color="auto"/>
                <w:bottom w:val="none" w:sz="0" w:space="0" w:color="auto"/>
                <w:right w:val="none" w:sz="0" w:space="0" w:color="auto"/>
              </w:divBdr>
            </w:div>
            <w:div w:id="942347745">
              <w:marLeft w:val="0"/>
              <w:marRight w:val="0"/>
              <w:marTop w:val="0"/>
              <w:marBottom w:val="0"/>
              <w:divBdr>
                <w:top w:val="none" w:sz="0" w:space="0" w:color="auto"/>
                <w:left w:val="none" w:sz="0" w:space="0" w:color="auto"/>
                <w:bottom w:val="none" w:sz="0" w:space="0" w:color="auto"/>
                <w:right w:val="none" w:sz="0" w:space="0" w:color="auto"/>
              </w:divBdr>
            </w:div>
            <w:div w:id="1998655228">
              <w:marLeft w:val="0"/>
              <w:marRight w:val="0"/>
              <w:marTop w:val="0"/>
              <w:marBottom w:val="0"/>
              <w:divBdr>
                <w:top w:val="none" w:sz="0" w:space="0" w:color="auto"/>
                <w:left w:val="none" w:sz="0" w:space="0" w:color="auto"/>
                <w:bottom w:val="none" w:sz="0" w:space="0" w:color="auto"/>
                <w:right w:val="none" w:sz="0" w:space="0" w:color="auto"/>
              </w:divBdr>
            </w:div>
            <w:div w:id="2001154576">
              <w:marLeft w:val="0"/>
              <w:marRight w:val="0"/>
              <w:marTop w:val="0"/>
              <w:marBottom w:val="0"/>
              <w:divBdr>
                <w:top w:val="none" w:sz="0" w:space="0" w:color="auto"/>
                <w:left w:val="none" w:sz="0" w:space="0" w:color="auto"/>
                <w:bottom w:val="none" w:sz="0" w:space="0" w:color="auto"/>
                <w:right w:val="none" w:sz="0" w:space="0" w:color="auto"/>
              </w:divBdr>
            </w:div>
            <w:div w:id="751776839">
              <w:marLeft w:val="0"/>
              <w:marRight w:val="0"/>
              <w:marTop w:val="0"/>
              <w:marBottom w:val="0"/>
              <w:divBdr>
                <w:top w:val="none" w:sz="0" w:space="0" w:color="auto"/>
                <w:left w:val="none" w:sz="0" w:space="0" w:color="auto"/>
                <w:bottom w:val="none" w:sz="0" w:space="0" w:color="auto"/>
                <w:right w:val="none" w:sz="0" w:space="0" w:color="auto"/>
              </w:divBdr>
            </w:div>
            <w:div w:id="253906384">
              <w:marLeft w:val="0"/>
              <w:marRight w:val="0"/>
              <w:marTop w:val="0"/>
              <w:marBottom w:val="0"/>
              <w:divBdr>
                <w:top w:val="none" w:sz="0" w:space="0" w:color="auto"/>
                <w:left w:val="none" w:sz="0" w:space="0" w:color="auto"/>
                <w:bottom w:val="none" w:sz="0" w:space="0" w:color="auto"/>
                <w:right w:val="none" w:sz="0" w:space="0" w:color="auto"/>
              </w:divBdr>
            </w:div>
            <w:div w:id="1364596326">
              <w:marLeft w:val="0"/>
              <w:marRight w:val="0"/>
              <w:marTop w:val="0"/>
              <w:marBottom w:val="0"/>
              <w:divBdr>
                <w:top w:val="none" w:sz="0" w:space="0" w:color="auto"/>
                <w:left w:val="none" w:sz="0" w:space="0" w:color="auto"/>
                <w:bottom w:val="none" w:sz="0" w:space="0" w:color="auto"/>
                <w:right w:val="none" w:sz="0" w:space="0" w:color="auto"/>
              </w:divBdr>
            </w:div>
            <w:div w:id="1538275021">
              <w:marLeft w:val="0"/>
              <w:marRight w:val="0"/>
              <w:marTop w:val="0"/>
              <w:marBottom w:val="0"/>
              <w:divBdr>
                <w:top w:val="none" w:sz="0" w:space="0" w:color="auto"/>
                <w:left w:val="none" w:sz="0" w:space="0" w:color="auto"/>
                <w:bottom w:val="none" w:sz="0" w:space="0" w:color="auto"/>
                <w:right w:val="none" w:sz="0" w:space="0" w:color="auto"/>
              </w:divBdr>
            </w:div>
            <w:div w:id="2005619889">
              <w:marLeft w:val="0"/>
              <w:marRight w:val="0"/>
              <w:marTop w:val="0"/>
              <w:marBottom w:val="0"/>
              <w:divBdr>
                <w:top w:val="none" w:sz="0" w:space="0" w:color="auto"/>
                <w:left w:val="none" w:sz="0" w:space="0" w:color="auto"/>
                <w:bottom w:val="none" w:sz="0" w:space="0" w:color="auto"/>
                <w:right w:val="none" w:sz="0" w:space="0" w:color="auto"/>
              </w:divBdr>
            </w:div>
            <w:div w:id="921335681">
              <w:marLeft w:val="0"/>
              <w:marRight w:val="0"/>
              <w:marTop w:val="0"/>
              <w:marBottom w:val="0"/>
              <w:divBdr>
                <w:top w:val="none" w:sz="0" w:space="0" w:color="auto"/>
                <w:left w:val="none" w:sz="0" w:space="0" w:color="auto"/>
                <w:bottom w:val="none" w:sz="0" w:space="0" w:color="auto"/>
                <w:right w:val="none" w:sz="0" w:space="0" w:color="auto"/>
              </w:divBdr>
            </w:div>
            <w:div w:id="1037392849">
              <w:marLeft w:val="0"/>
              <w:marRight w:val="0"/>
              <w:marTop w:val="0"/>
              <w:marBottom w:val="0"/>
              <w:divBdr>
                <w:top w:val="none" w:sz="0" w:space="0" w:color="auto"/>
                <w:left w:val="none" w:sz="0" w:space="0" w:color="auto"/>
                <w:bottom w:val="none" w:sz="0" w:space="0" w:color="auto"/>
                <w:right w:val="none" w:sz="0" w:space="0" w:color="auto"/>
              </w:divBdr>
            </w:div>
            <w:div w:id="171146724">
              <w:marLeft w:val="0"/>
              <w:marRight w:val="0"/>
              <w:marTop w:val="0"/>
              <w:marBottom w:val="0"/>
              <w:divBdr>
                <w:top w:val="none" w:sz="0" w:space="0" w:color="auto"/>
                <w:left w:val="none" w:sz="0" w:space="0" w:color="auto"/>
                <w:bottom w:val="none" w:sz="0" w:space="0" w:color="auto"/>
                <w:right w:val="none" w:sz="0" w:space="0" w:color="auto"/>
              </w:divBdr>
            </w:div>
            <w:div w:id="1343165677">
              <w:marLeft w:val="0"/>
              <w:marRight w:val="0"/>
              <w:marTop w:val="0"/>
              <w:marBottom w:val="0"/>
              <w:divBdr>
                <w:top w:val="none" w:sz="0" w:space="0" w:color="auto"/>
                <w:left w:val="none" w:sz="0" w:space="0" w:color="auto"/>
                <w:bottom w:val="none" w:sz="0" w:space="0" w:color="auto"/>
                <w:right w:val="none" w:sz="0" w:space="0" w:color="auto"/>
              </w:divBdr>
            </w:div>
            <w:div w:id="1486706075">
              <w:marLeft w:val="0"/>
              <w:marRight w:val="0"/>
              <w:marTop w:val="0"/>
              <w:marBottom w:val="0"/>
              <w:divBdr>
                <w:top w:val="none" w:sz="0" w:space="0" w:color="auto"/>
                <w:left w:val="none" w:sz="0" w:space="0" w:color="auto"/>
                <w:bottom w:val="none" w:sz="0" w:space="0" w:color="auto"/>
                <w:right w:val="none" w:sz="0" w:space="0" w:color="auto"/>
              </w:divBdr>
            </w:div>
            <w:div w:id="956640444">
              <w:marLeft w:val="0"/>
              <w:marRight w:val="0"/>
              <w:marTop w:val="0"/>
              <w:marBottom w:val="0"/>
              <w:divBdr>
                <w:top w:val="none" w:sz="0" w:space="0" w:color="auto"/>
                <w:left w:val="none" w:sz="0" w:space="0" w:color="auto"/>
                <w:bottom w:val="none" w:sz="0" w:space="0" w:color="auto"/>
                <w:right w:val="none" w:sz="0" w:space="0" w:color="auto"/>
              </w:divBdr>
            </w:div>
            <w:div w:id="992370040">
              <w:marLeft w:val="0"/>
              <w:marRight w:val="0"/>
              <w:marTop w:val="0"/>
              <w:marBottom w:val="0"/>
              <w:divBdr>
                <w:top w:val="none" w:sz="0" w:space="0" w:color="auto"/>
                <w:left w:val="none" w:sz="0" w:space="0" w:color="auto"/>
                <w:bottom w:val="none" w:sz="0" w:space="0" w:color="auto"/>
                <w:right w:val="none" w:sz="0" w:space="0" w:color="auto"/>
              </w:divBdr>
            </w:div>
            <w:div w:id="1984114616">
              <w:marLeft w:val="0"/>
              <w:marRight w:val="0"/>
              <w:marTop w:val="0"/>
              <w:marBottom w:val="0"/>
              <w:divBdr>
                <w:top w:val="none" w:sz="0" w:space="0" w:color="auto"/>
                <w:left w:val="none" w:sz="0" w:space="0" w:color="auto"/>
                <w:bottom w:val="none" w:sz="0" w:space="0" w:color="auto"/>
                <w:right w:val="none" w:sz="0" w:space="0" w:color="auto"/>
              </w:divBdr>
            </w:div>
            <w:div w:id="754546537">
              <w:marLeft w:val="0"/>
              <w:marRight w:val="0"/>
              <w:marTop w:val="0"/>
              <w:marBottom w:val="0"/>
              <w:divBdr>
                <w:top w:val="none" w:sz="0" w:space="0" w:color="auto"/>
                <w:left w:val="none" w:sz="0" w:space="0" w:color="auto"/>
                <w:bottom w:val="none" w:sz="0" w:space="0" w:color="auto"/>
                <w:right w:val="none" w:sz="0" w:space="0" w:color="auto"/>
              </w:divBdr>
            </w:div>
            <w:div w:id="609973349">
              <w:marLeft w:val="0"/>
              <w:marRight w:val="0"/>
              <w:marTop w:val="0"/>
              <w:marBottom w:val="0"/>
              <w:divBdr>
                <w:top w:val="none" w:sz="0" w:space="0" w:color="auto"/>
                <w:left w:val="none" w:sz="0" w:space="0" w:color="auto"/>
                <w:bottom w:val="none" w:sz="0" w:space="0" w:color="auto"/>
                <w:right w:val="none" w:sz="0" w:space="0" w:color="auto"/>
              </w:divBdr>
            </w:div>
            <w:div w:id="2069916714">
              <w:marLeft w:val="0"/>
              <w:marRight w:val="0"/>
              <w:marTop w:val="0"/>
              <w:marBottom w:val="0"/>
              <w:divBdr>
                <w:top w:val="none" w:sz="0" w:space="0" w:color="auto"/>
                <w:left w:val="none" w:sz="0" w:space="0" w:color="auto"/>
                <w:bottom w:val="none" w:sz="0" w:space="0" w:color="auto"/>
                <w:right w:val="none" w:sz="0" w:space="0" w:color="auto"/>
              </w:divBdr>
            </w:div>
            <w:div w:id="1001204238">
              <w:marLeft w:val="0"/>
              <w:marRight w:val="0"/>
              <w:marTop w:val="0"/>
              <w:marBottom w:val="0"/>
              <w:divBdr>
                <w:top w:val="none" w:sz="0" w:space="0" w:color="auto"/>
                <w:left w:val="none" w:sz="0" w:space="0" w:color="auto"/>
                <w:bottom w:val="none" w:sz="0" w:space="0" w:color="auto"/>
                <w:right w:val="none" w:sz="0" w:space="0" w:color="auto"/>
              </w:divBdr>
            </w:div>
            <w:div w:id="2109350503">
              <w:marLeft w:val="0"/>
              <w:marRight w:val="0"/>
              <w:marTop w:val="0"/>
              <w:marBottom w:val="0"/>
              <w:divBdr>
                <w:top w:val="none" w:sz="0" w:space="0" w:color="auto"/>
                <w:left w:val="none" w:sz="0" w:space="0" w:color="auto"/>
                <w:bottom w:val="none" w:sz="0" w:space="0" w:color="auto"/>
                <w:right w:val="none" w:sz="0" w:space="0" w:color="auto"/>
              </w:divBdr>
            </w:div>
            <w:div w:id="1559633438">
              <w:marLeft w:val="0"/>
              <w:marRight w:val="0"/>
              <w:marTop w:val="0"/>
              <w:marBottom w:val="0"/>
              <w:divBdr>
                <w:top w:val="none" w:sz="0" w:space="0" w:color="auto"/>
                <w:left w:val="none" w:sz="0" w:space="0" w:color="auto"/>
                <w:bottom w:val="none" w:sz="0" w:space="0" w:color="auto"/>
                <w:right w:val="none" w:sz="0" w:space="0" w:color="auto"/>
              </w:divBdr>
            </w:div>
            <w:div w:id="1908417898">
              <w:marLeft w:val="0"/>
              <w:marRight w:val="0"/>
              <w:marTop w:val="0"/>
              <w:marBottom w:val="0"/>
              <w:divBdr>
                <w:top w:val="none" w:sz="0" w:space="0" w:color="auto"/>
                <w:left w:val="none" w:sz="0" w:space="0" w:color="auto"/>
                <w:bottom w:val="none" w:sz="0" w:space="0" w:color="auto"/>
                <w:right w:val="none" w:sz="0" w:space="0" w:color="auto"/>
              </w:divBdr>
            </w:div>
            <w:div w:id="1921594788">
              <w:marLeft w:val="0"/>
              <w:marRight w:val="0"/>
              <w:marTop w:val="0"/>
              <w:marBottom w:val="0"/>
              <w:divBdr>
                <w:top w:val="none" w:sz="0" w:space="0" w:color="auto"/>
                <w:left w:val="none" w:sz="0" w:space="0" w:color="auto"/>
                <w:bottom w:val="none" w:sz="0" w:space="0" w:color="auto"/>
                <w:right w:val="none" w:sz="0" w:space="0" w:color="auto"/>
              </w:divBdr>
            </w:div>
            <w:div w:id="2009868834">
              <w:marLeft w:val="0"/>
              <w:marRight w:val="0"/>
              <w:marTop w:val="0"/>
              <w:marBottom w:val="0"/>
              <w:divBdr>
                <w:top w:val="none" w:sz="0" w:space="0" w:color="auto"/>
                <w:left w:val="none" w:sz="0" w:space="0" w:color="auto"/>
                <w:bottom w:val="none" w:sz="0" w:space="0" w:color="auto"/>
                <w:right w:val="none" w:sz="0" w:space="0" w:color="auto"/>
              </w:divBdr>
            </w:div>
            <w:div w:id="1704792318">
              <w:marLeft w:val="0"/>
              <w:marRight w:val="0"/>
              <w:marTop w:val="0"/>
              <w:marBottom w:val="0"/>
              <w:divBdr>
                <w:top w:val="none" w:sz="0" w:space="0" w:color="auto"/>
                <w:left w:val="none" w:sz="0" w:space="0" w:color="auto"/>
                <w:bottom w:val="none" w:sz="0" w:space="0" w:color="auto"/>
                <w:right w:val="none" w:sz="0" w:space="0" w:color="auto"/>
              </w:divBdr>
            </w:div>
            <w:div w:id="1940719808">
              <w:marLeft w:val="0"/>
              <w:marRight w:val="0"/>
              <w:marTop w:val="0"/>
              <w:marBottom w:val="0"/>
              <w:divBdr>
                <w:top w:val="none" w:sz="0" w:space="0" w:color="auto"/>
                <w:left w:val="none" w:sz="0" w:space="0" w:color="auto"/>
                <w:bottom w:val="none" w:sz="0" w:space="0" w:color="auto"/>
                <w:right w:val="none" w:sz="0" w:space="0" w:color="auto"/>
              </w:divBdr>
            </w:div>
            <w:div w:id="1066222159">
              <w:marLeft w:val="0"/>
              <w:marRight w:val="0"/>
              <w:marTop w:val="0"/>
              <w:marBottom w:val="0"/>
              <w:divBdr>
                <w:top w:val="none" w:sz="0" w:space="0" w:color="auto"/>
                <w:left w:val="none" w:sz="0" w:space="0" w:color="auto"/>
                <w:bottom w:val="none" w:sz="0" w:space="0" w:color="auto"/>
                <w:right w:val="none" w:sz="0" w:space="0" w:color="auto"/>
              </w:divBdr>
            </w:div>
            <w:div w:id="1932200800">
              <w:marLeft w:val="0"/>
              <w:marRight w:val="0"/>
              <w:marTop w:val="0"/>
              <w:marBottom w:val="0"/>
              <w:divBdr>
                <w:top w:val="none" w:sz="0" w:space="0" w:color="auto"/>
                <w:left w:val="none" w:sz="0" w:space="0" w:color="auto"/>
                <w:bottom w:val="none" w:sz="0" w:space="0" w:color="auto"/>
                <w:right w:val="none" w:sz="0" w:space="0" w:color="auto"/>
              </w:divBdr>
            </w:div>
            <w:div w:id="1575630305">
              <w:marLeft w:val="0"/>
              <w:marRight w:val="0"/>
              <w:marTop w:val="0"/>
              <w:marBottom w:val="0"/>
              <w:divBdr>
                <w:top w:val="none" w:sz="0" w:space="0" w:color="auto"/>
                <w:left w:val="none" w:sz="0" w:space="0" w:color="auto"/>
                <w:bottom w:val="none" w:sz="0" w:space="0" w:color="auto"/>
                <w:right w:val="none" w:sz="0" w:space="0" w:color="auto"/>
              </w:divBdr>
            </w:div>
            <w:div w:id="250509778">
              <w:marLeft w:val="0"/>
              <w:marRight w:val="0"/>
              <w:marTop w:val="0"/>
              <w:marBottom w:val="0"/>
              <w:divBdr>
                <w:top w:val="none" w:sz="0" w:space="0" w:color="auto"/>
                <w:left w:val="none" w:sz="0" w:space="0" w:color="auto"/>
                <w:bottom w:val="none" w:sz="0" w:space="0" w:color="auto"/>
                <w:right w:val="none" w:sz="0" w:space="0" w:color="auto"/>
              </w:divBdr>
            </w:div>
            <w:div w:id="550113127">
              <w:marLeft w:val="0"/>
              <w:marRight w:val="0"/>
              <w:marTop w:val="0"/>
              <w:marBottom w:val="0"/>
              <w:divBdr>
                <w:top w:val="none" w:sz="0" w:space="0" w:color="auto"/>
                <w:left w:val="none" w:sz="0" w:space="0" w:color="auto"/>
                <w:bottom w:val="none" w:sz="0" w:space="0" w:color="auto"/>
                <w:right w:val="none" w:sz="0" w:space="0" w:color="auto"/>
              </w:divBdr>
            </w:div>
            <w:div w:id="2063166454">
              <w:marLeft w:val="0"/>
              <w:marRight w:val="0"/>
              <w:marTop w:val="0"/>
              <w:marBottom w:val="0"/>
              <w:divBdr>
                <w:top w:val="none" w:sz="0" w:space="0" w:color="auto"/>
                <w:left w:val="none" w:sz="0" w:space="0" w:color="auto"/>
                <w:bottom w:val="none" w:sz="0" w:space="0" w:color="auto"/>
                <w:right w:val="none" w:sz="0" w:space="0" w:color="auto"/>
              </w:divBdr>
            </w:div>
            <w:div w:id="1826240131">
              <w:marLeft w:val="0"/>
              <w:marRight w:val="0"/>
              <w:marTop w:val="0"/>
              <w:marBottom w:val="0"/>
              <w:divBdr>
                <w:top w:val="none" w:sz="0" w:space="0" w:color="auto"/>
                <w:left w:val="none" w:sz="0" w:space="0" w:color="auto"/>
                <w:bottom w:val="none" w:sz="0" w:space="0" w:color="auto"/>
                <w:right w:val="none" w:sz="0" w:space="0" w:color="auto"/>
              </w:divBdr>
            </w:div>
            <w:div w:id="1586499692">
              <w:marLeft w:val="0"/>
              <w:marRight w:val="0"/>
              <w:marTop w:val="0"/>
              <w:marBottom w:val="0"/>
              <w:divBdr>
                <w:top w:val="none" w:sz="0" w:space="0" w:color="auto"/>
                <w:left w:val="none" w:sz="0" w:space="0" w:color="auto"/>
                <w:bottom w:val="none" w:sz="0" w:space="0" w:color="auto"/>
                <w:right w:val="none" w:sz="0" w:space="0" w:color="auto"/>
              </w:divBdr>
              <w:divsChild>
                <w:div w:id="1183085950">
                  <w:marLeft w:val="0"/>
                  <w:marRight w:val="0"/>
                  <w:marTop w:val="0"/>
                  <w:marBottom w:val="0"/>
                  <w:divBdr>
                    <w:top w:val="none" w:sz="0" w:space="0" w:color="auto"/>
                    <w:left w:val="none" w:sz="0" w:space="0" w:color="auto"/>
                    <w:bottom w:val="none" w:sz="0" w:space="0" w:color="auto"/>
                    <w:right w:val="none" w:sz="0" w:space="0" w:color="auto"/>
                  </w:divBdr>
                </w:div>
                <w:div w:id="2142530666">
                  <w:marLeft w:val="0"/>
                  <w:marRight w:val="0"/>
                  <w:marTop w:val="0"/>
                  <w:marBottom w:val="0"/>
                  <w:divBdr>
                    <w:top w:val="none" w:sz="0" w:space="0" w:color="auto"/>
                    <w:left w:val="none" w:sz="0" w:space="0" w:color="auto"/>
                    <w:bottom w:val="none" w:sz="0" w:space="0" w:color="auto"/>
                    <w:right w:val="none" w:sz="0" w:space="0" w:color="auto"/>
                  </w:divBdr>
                </w:div>
                <w:div w:id="1304197434">
                  <w:marLeft w:val="0"/>
                  <w:marRight w:val="0"/>
                  <w:marTop w:val="0"/>
                  <w:marBottom w:val="0"/>
                  <w:divBdr>
                    <w:top w:val="none" w:sz="0" w:space="0" w:color="auto"/>
                    <w:left w:val="none" w:sz="0" w:space="0" w:color="auto"/>
                    <w:bottom w:val="none" w:sz="0" w:space="0" w:color="auto"/>
                    <w:right w:val="none" w:sz="0" w:space="0" w:color="auto"/>
                  </w:divBdr>
                </w:div>
                <w:div w:id="1599826125">
                  <w:marLeft w:val="0"/>
                  <w:marRight w:val="0"/>
                  <w:marTop w:val="0"/>
                  <w:marBottom w:val="0"/>
                  <w:divBdr>
                    <w:top w:val="none" w:sz="0" w:space="0" w:color="auto"/>
                    <w:left w:val="none" w:sz="0" w:space="0" w:color="auto"/>
                    <w:bottom w:val="none" w:sz="0" w:space="0" w:color="auto"/>
                    <w:right w:val="none" w:sz="0" w:space="0" w:color="auto"/>
                  </w:divBdr>
                </w:div>
                <w:div w:id="621960960">
                  <w:marLeft w:val="0"/>
                  <w:marRight w:val="0"/>
                  <w:marTop w:val="0"/>
                  <w:marBottom w:val="0"/>
                  <w:divBdr>
                    <w:top w:val="none" w:sz="0" w:space="0" w:color="auto"/>
                    <w:left w:val="none" w:sz="0" w:space="0" w:color="auto"/>
                    <w:bottom w:val="none" w:sz="0" w:space="0" w:color="auto"/>
                    <w:right w:val="none" w:sz="0" w:space="0" w:color="auto"/>
                  </w:divBdr>
                </w:div>
                <w:div w:id="470170486">
                  <w:marLeft w:val="0"/>
                  <w:marRight w:val="0"/>
                  <w:marTop w:val="0"/>
                  <w:marBottom w:val="0"/>
                  <w:divBdr>
                    <w:top w:val="none" w:sz="0" w:space="0" w:color="auto"/>
                    <w:left w:val="none" w:sz="0" w:space="0" w:color="auto"/>
                    <w:bottom w:val="none" w:sz="0" w:space="0" w:color="auto"/>
                    <w:right w:val="none" w:sz="0" w:space="0" w:color="auto"/>
                  </w:divBdr>
                </w:div>
                <w:div w:id="722749949">
                  <w:marLeft w:val="0"/>
                  <w:marRight w:val="0"/>
                  <w:marTop w:val="0"/>
                  <w:marBottom w:val="0"/>
                  <w:divBdr>
                    <w:top w:val="none" w:sz="0" w:space="0" w:color="auto"/>
                    <w:left w:val="none" w:sz="0" w:space="0" w:color="auto"/>
                    <w:bottom w:val="none" w:sz="0" w:space="0" w:color="auto"/>
                    <w:right w:val="none" w:sz="0" w:space="0" w:color="auto"/>
                  </w:divBdr>
                </w:div>
                <w:div w:id="2114547240">
                  <w:marLeft w:val="0"/>
                  <w:marRight w:val="0"/>
                  <w:marTop w:val="0"/>
                  <w:marBottom w:val="0"/>
                  <w:divBdr>
                    <w:top w:val="none" w:sz="0" w:space="0" w:color="auto"/>
                    <w:left w:val="none" w:sz="0" w:space="0" w:color="auto"/>
                    <w:bottom w:val="none" w:sz="0" w:space="0" w:color="auto"/>
                    <w:right w:val="none" w:sz="0" w:space="0" w:color="auto"/>
                  </w:divBdr>
                </w:div>
                <w:div w:id="338241628">
                  <w:marLeft w:val="0"/>
                  <w:marRight w:val="0"/>
                  <w:marTop w:val="0"/>
                  <w:marBottom w:val="0"/>
                  <w:divBdr>
                    <w:top w:val="none" w:sz="0" w:space="0" w:color="auto"/>
                    <w:left w:val="none" w:sz="0" w:space="0" w:color="auto"/>
                    <w:bottom w:val="none" w:sz="0" w:space="0" w:color="auto"/>
                    <w:right w:val="none" w:sz="0" w:space="0" w:color="auto"/>
                  </w:divBdr>
                </w:div>
                <w:div w:id="1889563422">
                  <w:marLeft w:val="0"/>
                  <w:marRight w:val="0"/>
                  <w:marTop w:val="0"/>
                  <w:marBottom w:val="0"/>
                  <w:divBdr>
                    <w:top w:val="none" w:sz="0" w:space="0" w:color="auto"/>
                    <w:left w:val="none" w:sz="0" w:space="0" w:color="auto"/>
                    <w:bottom w:val="none" w:sz="0" w:space="0" w:color="auto"/>
                    <w:right w:val="none" w:sz="0" w:space="0" w:color="auto"/>
                  </w:divBdr>
                </w:div>
              </w:divsChild>
            </w:div>
            <w:div w:id="2130975556">
              <w:marLeft w:val="0"/>
              <w:marRight w:val="0"/>
              <w:marTop w:val="0"/>
              <w:marBottom w:val="0"/>
              <w:divBdr>
                <w:top w:val="none" w:sz="0" w:space="0" w:color="auto"/>
                <w:left w:val="none" w:sz="0" w:space="0" w:color="auto"/>
                <w:bottom w:val="none" w:sz="0" w:space="0" w:color="auto"/>
                <w:right w:val="none" w:sz="0" w:space="0" w:color="auto"/>
              </w:divBdr>
            </w:div>
            <w:div w:id="1877768365">
              <w:marLeft w:val="0"/>
              <w:marRight w:val="0"/>
              <w:marTop w:val="0"/>
              <w:marBottom w:val="0"/>
              <w:divBdr>
                <w:top w:val="none" w:sz="0" w:space="0" w:color="auto"/>
                <w:left w:val="none" w:sz="0" w:space="0" w:color="auto"/>
                <w:bottom w:val="none" w:sz="0" w:space="0" w:color="auto"/>
                <w:right w:val="none" w:sz="0" w:space="0" w:color="auto"/>
              </w:divBdr>
              <w:divsChild>
                <w:div w:id="199513549">
                  <w:marLeft w:val="0"/>
                  <w:marRight w:val="0"/>
                  <w:marTop w:val="0"/>
                  <w:marBottom w:val="0"/>
                  <w:divBdr>
                    <w:top w:val="none" w:sz="0" w:space="0" w:color="auto"/>
                    <w:left w:val="none" w:sz="0" w:space="0" w:color="auto"/>
                    <w:bottom w:val="none" w:sz="0" w:space="0" w:color="auto"/>
                    <w:right w:val="none" w:sz="0" w:space="0" w:color="auto"/>
                  </w:divBdr>
                </w:div>
                <w:div w:id="729116174">
                  <w:marLeft w:val="0"/>
                  <w:marRight w:val="0"/>
                  <w:marTop w:val="0"/>
                  <w:marBottom w:val="0"/>
                  <w:divBdr>
                    <w:top w:val="none" w:sz="0" w:space="0" w:color="auto"/>
                    <w:left w:val="none" w:sz="0" w:space="0" w:color="auto"/>
                    <w:bottom w:val="none" w:sz="0" w:space="0" w:color="auto"/>
                    <w:right w:val="none" w:sz="0" w:space="0" w:color="auto"/>
                  </w:divBdr>
                </w:div>
                <w:div w:id="668872053">
                  <w:marLeft w:val="0"/>
                  <w:marRight w:val="0"/>
                  <w:marTop w:val="0"/>
                  <w:marBottom w:val="0"/>
                  <w:divBdr>
                    <w:top w:val="none" w:sz="0" w:space="0" w:color="auto"/>
                    <w:left w:val="none" w:sz="0" w:space="0" w:color="auto"/>
                    <w:bottom w:val="none" w:sz="0" w:space="0" w:color="auto"/>
                    <w:right w:val="none" w:sz="0" w:space="0" w:color="auto"/>
                  </w:divBdr>
                </w:div>
                <w:div w:id="1994795174">
                  <w:marLeft w:val="0"/>
                  <w:marRight w:val="0"/>
                  <w:marTop w:val="0"/>
                  <w:marBottom w:val="0"/>
                  <w:divBdr>
                    <w:top w:val="none" w:sz="0" w:space="0" w:color="auto"/>
                    <w:left w:val="none" w:sz="0" w:space="0" w:color="auto"/>
                    <w:bottom w:val="none" w:sz="0" w:space="0" w:color="auto"/>
                    <w:right w:val="none" w:sz="0" w:space="0" w:color="auto"/>
                  </w:divBdr>
                </w:div>
                <w:div w:id="1854756479">
                  <w:marLeft w:val="0"/>
                  <w:marRight w:val="0"/>
                  <w:marTop w:val="0"/>
                  <w:marBottom w:val="0"/>
                  <w:divBdr>
                    <w:top w:val="none" w:sz="0" w:space="0" w:color="auto"/>
                    <w:left w:val="none" w:sz="0" w:space="0" w:color="auto"/>
                    <w:bottom w:val="none" w:sz="0" w:space="0" w:color="auto"/>
                    <w:right w:val="none" w:sz="0" w:space="0" w:color="auto"/>
                  </w:divBdr>
                </w:div>
              </w:divsChild>
            </w:div>
            <w:div w:id="1188106783">
              <w:marLeft w:val="0"/>
              <w:marRight w:val="0"/>
              <w:marTop w:val="0"/>
              <w:marBottom w:val="0"/>
              <w:divBdr>
                <w:top w:val="none" w:sz="0" w:space="0" w:color="auto"/>
                <w:left w:val="none" w:sz="0" w:space="0" w:color="auto"/>
                <w:bottom w:val="none" w:sz="0" w:space="0" w:color="auto"/>
                <w:right w:val="none" w:sz="0" w:space="0" w:color="auto"/>
              </w:divBdr>
              <w:divsChild>
                <w:div w:id="946304400">
                  <w:marLeft w:val="0"/>
                  <w:marRight w:val="0"/>
                  <w:marTop w:val="0"/>
                  <w:marBottom w:val="0"/>
                  <w:divBdr>
                    <w:top w:val="none" w:sz="0" w:space="0" w:color="auto"/>
                    <w:left w:val="none" w:sz="0" w:space="0" w:color="auto"/>
                    <w:bottom w:val="none" w:sz="0" w:space="0" w:color="auto"/>
                    <w:right w:val="none" w:sz="0" w:space="0" w:color="auto"/>
                  </w:divBdr>
                </w:div>
              </w:divsChild>
            </w:div>
            <w:div w:id="1952932710">
              <w:marLeft w:val="0"/>
              <w:marRight w:val="0"/>
              <w:marTop w:val="0"/>
              <w:marBottom w:val="0"/>
              <w:divBdr>
                <w:top w:val="none" w:sz="0" w:space="0" w:color="auto"/>
                <w:left w:val="none" w:sz="0" w:space="0" w:color="auto"/>
                <w:bottom w:val="none" w:sz="0" w:space="0" w:color="auto"/>
                <w:right w:val="none" w:sz="0" w:space="0" w:color="auto"/>
              </w:divBdr>
              <w:divsChild>
                <w:div w:id="755326036">
                  <w:marLeft w:val="0"/>
                  <w:marRight w:val="0"/>
                  <w:marTop w:val="0"/>
                  <w:marBottom w:val="0"/>
                  <w:divBdr>
                    <w:top w:val="none" w:sz="0" w:space="0" w:color="auto"/>
                    <w:left w:val="none" w:sz="0" w:space="0" w:color="auto"/>
                    <w:bottom w:val="none" w:sz="0" w:space="0" w:color="auto"/>
                    <w:right w:val="none" w:sz="0" w:space="0" w:color="auto"/>
                  </w:divBdr>
                </w:div>
                <w:div w:id="918372427">
                  <w:marLeft w:val="0"/>
                  <w:marRight w:val="0"/>
                  <w:marTop w:val="0"/>
                  <w:marBottom w:val="0"/>
                  <w:divBdr>
                    <w:top w:val="none" w:sz="0" w:space="0" w:color="auto"/>
                    <w:left w:val="none" w:sz="0" w:space="0" w:color="auto"/>
                    <w:bottom w:val="none" w:sz="0" w:space="0" w:color="auto"/>
                    <w:right w:val="none" w:sz="0" w:space="0" w:color="auto"/>
                  </w:divBdr>
                </w:div>
                <w:div w:id="606042382">
                  <w:marLeft w:val="0"/>
                  <w:marRight w:val="0"/>
                  <w:marTop w:val="0"/>
                  <w:marBottom w:val="0"/>
                  <w:divBdr>
                    <w:top w:val="none" w:sz="0" w:space="0" w:color="auto"/>
                    <w:left w:val="none" w:sz="0" w:space="0" w:color="auto"/>
                    <w:bottom w:val="none" w:sz="0" w:space="0" w:color="auto"/>
                    <w:right w:val="none" w:sz="0" w:space="0" w:color="auto"/>
                  </w:divBdr>
                </w:div>
                <w:div w:id="1009915604">
                  <w:marLeft w:val="0"/>
                  <w:marRight w:val="0"/>
                  <w:marTop w:val="0"/>
                  <w:marBottom w:val="0"/>
                  <w:divBdr>
                    <w:top w:val="none" w:sz="0" w:space="0" w:color="auto"/>
                    <w:left w:val="none" w:sz="0" w:space="0" w:color="auto"/>
                    <w:bottom w:val="none" w:sz="0" w:space="0" w:color="auto"/>
                    <w:right w:val="none" w:sz="0" w:space="0" w:color="auto"/>
                  </w:divBdr>
                </w:div>
                <w:div w:id="1658267624">
                  <w:marLeft w:val="0"/>
                  <w:marRight w:val="0"/>
                  <w:marTop w:val="0"/>
                  <w:marBottom w:val="0"/>
                  <w:divBdr>
                    <w:top w:val="none" w:sz="0" w:space="0" w:color="auto"/>
                    <w:left w:val="none" w:sz="0" w:space="0" w:color="auto"/>
                    <w:bottom w:val="none" w:sz="0" w:space="0" w:color="auto"/>
                    <w:right w:val="none" w:sz="0" w:space="0" w:color="auto"/>
                  </w:divBdr>
                </w:div>
              </w:divsChild>
            </w:div>
            <w:div w:id="1749959831">
              <w:marLeft w:val="0"/>
              <w:marRight w:val="0"/>
              <w:marTop w:val="0"/>
              <w:marBottom w:val="0"/>
              <w:divBdr>
                <w:top w:val="none" w:sz="0" w:space="0" w:color="auto"/>
                <w:left w:val="none" w:sz="0" w:space="0" w:color="auto"/>
                <w:bottom w:val="none" w:sz="0" w:space="0" w:color="auto"/>
                <w:right w:val="none" w:sz="0" w:space="0" w:color="auto"/>
              </w:divBdr>
            </w:div>
            <w:div w:id="99884359">
              <w:marLeft w:val="0"/>
              <w:marRight w:val="0"/>
              <w:marTop w:val="0"/>
              <w:marBottom w:val="0"/>
              <w:divBdr>
                <w:top w:val="none" w:sz="0" w:space="0" w:color="auto"/>
                <w:left w:val="none" w:sz="0" w:space="0" w:color="auto"/>
                <w:bottom w:val="none" w:sz="0" w:space="0" w:color="auto"/>
                <w:right w:val="none" w:sz="0" w:space="0" w:color="auto"/>
              </w:divBdr>
              <w:divsChild>
                <w:div w:id="2045398321">
                  <w:marLeft w:val="0"/>
                  <w:marRight w:val="0"/>
                  <w:marTop w:val="0"/>
                  <w:marBottom w:val="0"/>
                  <w:divBdr>
                    <w:top w:val="none" w:sz="0" w:space="0" w:color="auto"/>
                    <w:left w:val="none" w:sz="0" w:space="0" w:color="auto"/>
                    <w:bottom w:val="none" w:sz="0" w:space="0" w:color="auto"/>
                    <w:right w:val="none" w:sz="0" w:space="0" w:color="auto"/>
                  </w:divBdr>
                </w:div>
                <w:div w:id="2052218573">
                  <w:marLeft w:val="0"/>
                  <w:marRight w:val="0"/>
                  <w:marTop w:val="0"/>
                  <w:marBottom w:val="0"/>
                  <w:divBdr>
                    <w:top w:val="none" w:sz="0" w:space="0" w:color="auto"/>
                    <w:left w:val="none" w:sz="0" w:space="0" w:color="auto"/>
                    <w:bottom w:val="none" w:sz="0" w:space="0" w:color="auto"/>
                    <w:right w:val="none" w:sz="0" w:space="0" w:color="auto"/>
                  </w:divBdr>
                </w:div>
                <w:div w:id="38285062">
                  <w:marLeft w:val="0"/>
                  <w:marRight w:val="0"/>
                  <w:marTop w:val="0"/>
                  <w:marBottom w:val="0"/>
                  <w:divBdr>
                    <w:top w:val="none" w:sz="0" w:space="0" w:color="auto"/>
                    <w:left w:val="none" w:sz="0" w:space="0" w:color="auto"/>
                    <w:bottom w:val="none" w:sz="0" w:space="0" w:color="auto"/>
                    <w:right w:val="none" w:sz="0" w:space="0" w:color="auto"/>
                  </w:divBdr>
                </w:div>
                <w:div w:id="480847383">
                  <w:marLeft w:val="0"/>
                  <w:marRight w:val="0"/>
                  <w:marTop w:val="0"/>
                  <w:marBottom w:val="0"/>
                  <w:divBdr>
                    <w:top w:val="none" w:sz="0" w:space="0" w:color="auto"/>
                    <w:left w:val="none" w:sz="0" w:space="0" w:color="auto"/>
                    <w:bottom w:val="none" w:sz="0" w:space="0" w:color="auto"/>
                    <w:right w:val="none" w:sz="0" w:space="0" w:color="auto"/>
                  </w:divBdr>
                </w:div>
                <w:div w:id="1682120860">
                  <w:marLeft w:val="0"/>
                  <w:marRight w:val="0"/>
                  <w:marTop w:val="0"/>
                  <w:marBottom w:val="0"/>
                  <w:divBdr>
                    <w:top w:val="none" w:sz="0" w:space="0" w:color="auto"/>
                    <w:left w:val="none" w:sz="0" w:space="0" w:color="auto"/>
                    <w:bottom w:val="none" w:sz="0" w:space="0" w:color="auto"/>
                    <w:right w:val="none" w:sz="0" w:space="0" w:color="auto"/>
                  </w:divBdr>
                </w:div>
                <w:div w:id="234709978">
                  <w:marLeft w:val="0"/>
                  <w:marRight w:val="0"/>
                  <w:marTop w:val="0"/>
                  <w:marBottom w:val="0"/>
                  <w:divBdr>
                    <w:top w:val="none" w:sz="0" w:space="0" w:color="auto"/>
                    <w:left w:val="none" w:sz="0" w:space="0" w:color="auto"/>
                    <w:bottom w:val="none" w:sz="0" w:space="0" w:color="auto"/>
                    <w:right w:val="none" w:sz="0" w:space="0" w:color="auto"/>
                  </w:divBdr>
                </w:div>
                <w:div w:id="951982235">
                  <w:marLeft w:val="0"/>
                  <w:marRight w:val="0"/>
                  <w:marTop w:val="0"/>
                  <w:marBottom w:val="0"/>
                  <w:divBdr>
                    <w:top w:val="none" w:sz="0" w:space="0" w:color="auto"/>
                    <w:left w:val="none" w:sz="0" w:space="0" w:color="auto"/>
                    <w:bottom w:val="none" w:sz="0" w:space="0" w:color="auto"/>
                    <w:right w:val="none" w:sz="0" w:space="0" w:color="auto"/>
                  </w:divBdr>
                </w:div>
              </w:divsChild>
            </w:div>
            <w:div w:id="889270460">
              <w:marLeft w:val="0"/>
              <w:marRight w:val="0"/>
              <w:marTop w:val="0"/>
              <w:marBottom w:val="0"/>
              <w:divBdr>
                <w:top w:val="none" w:sz="0" w:space="0" w:color="auto"/>
                <w:left w:val="none" w:sz="0" w:space="0" w:color="auto"/>
                <w:bottom w:val="none" w:sz="0" w:space="0" w:color="auto"/>
                <w:right w:val="none" w:sz="0" w:space="0" w:color="auto"/>
              </w:divBdr>
            </w:div>
            <w:div w:id="689993676">
              <w:marLeft w:val="0"/>
              <w:marRight w:val="0"/>
              <w:marTop w:val="0"/>
              <w:marBottom w:val="0"/>
              <w:divBdr>
                <w:top w:val="none" w:sz="0" w:space="0" w:color="auto"/>
                <w:left w:val="none" w:sz="0" w:space="0" w:color="auto"/>
                <w:bottom w:val="none" w:sz="0" w:space="0" w:color="auto"/>
                <w:right w:val="none" w:sz="0" w:space="0" w:color="auto"/>
              </w:divBdr>
            </w:div>
            <w:div w:id="1973825954">
              <w:marLeft w:val="0"/>
              <w:marRight w:val="0"/>
              <w:marTop w:val="0"/>
              <w:marBottom w:val="0"/>
              <w:divBdr>
                <w:top w:val="none" w:sz="0" w:space="0" w:color="auto"/>
                <w:left w:val="none" w:sz="0" w:space="0" w:color="auto"/>
                <w:bottom w:val="none" w:sz="0" w:space="0" w:color="auto"/>
                <w:right w:val="none" w:sz="0" w:space="0" w:color="auto"/>
              </w:divBdr>
            </w:div>
            <w:div w:id="452019190">
              <w:marLeft w:val="0"/>
              <w:marRight w:val="0"/>
              <w:marTop w:val="0"/>
              <w:marBottom w:val="0"/>
              <w:divBdr>
                <w:top w:val="none" w:sz="0" w:space="0" w:color="auto"/>
                <w:left w:val="none" w:sz="0" w:space="0" w:color="auto"/>
                <w:bottom w:val="none" w:sz="0" w:space="0" w:color="auto"/>
                <w:right w:val="none" w:sz="0" w:space="0" w:color="auto"/>
              </w:divBdr>
            </w:div>
            <w:div w:id="1208834199">
              <w:marLeft w:val="0"/>
              <w:marRight w:val="0"/>
              <w:marTop w:val="0"/>
              <w:marBottom w:val="0"/>
              <w:divBdr>
                <w:top w:val="none" w:sz="0" w:space="0" w:color="auto"/>
                <w:left w:val="none" w:sz="0" w:space="0" w:color="auto"/>
                <w:bottom w:val="none" w:sz="0" w:space="0" w:color="auto"/>
                <w:right w:val="none" w:sz="0" w:space="0" w:color="auto"/>
              </w:divBdr>
            </w:div>
            <w:div w:id="680400678">
              <w:marLeft w:val="0"/>
              <w:marRight w:val="0"/>
              <w:marTop w:val="0"/>
              <w:marBottom w:val="0"/>
              <w:divBdr>
                <w:top w:val="none" w:sz="0" w:space="0" w:color="auto"/>
                <w:left w:val="none" w:sz="0" w:space="0" w:color="auto"/>
                <w:bottom w:val="none" w:sz="0" w:space="0" w:color="auto"/>
                <w:right w:val="none" w:sz="0" w:space="0" w:color="auto"/>
              </w:divBdr>
              <w:divsChild>
                <w:div w:id="1207791153">
                  <w:marLeft w:val="0"/>
                  <w:marRight w:val="0"/>
                  <w:marTop w:val="0"/>
                  <w:marBottom w:val="0"/>
                  <w:divBdr>
                    <w:top w:val="none" w:sz="0" w:space="0" w:color="auto"/>
                    <w:left w:val="none" w:sz="0" w:space="0" w:color="auto"/>
                    <w:bottom w:val="none" w:sz="0" w:space="0" w:color="auto"/>
                    <w:right w:val="none" w:sz="0" w:space="0" w:color="auto"/>
                  </w:divBdr>
                </w:div>
                <w:div w:id="1701735186">
                  <w:marLeft w:val="0"/>
                  <w:marRight w:val="0"/>
                  <w:marTop w:val="0"/>
                  <w:marBottom w:val="0"/>
                  <w:divBdr>
                    <w:top w:val="none" w:sz="0" w:space="0" w:color="auto"/>
                    <w:left w:val="none" w:sz="0" w:space="0" w:color="auto"/>
                    <w:bottom w:val="none" w:sz="0" w:space="0" w:color="auto"/>
                    <w:right w:val="none" w:sz="0" w:space="0" w:color="auto"/>
                  </w:divBdr>
                </w:div>
                <w:div w:id="1235698531">
                  <w:marLeft w:val="0"/>
                  <w:marRight w:val="0"/>
                  <w:marTop w:val="0"/>
                  <w:marBottom w:val="0"/>
                  <w:divBdr>
                    <w:top w:val="none" w:sz="0" w:space="0" w:color="auto"/>
                    <w:left w:val="none" w:sz="0" w:space="0" w:color="auto"/>
                    <w:bottom w:val="none" w:sz="0" w:space="0" w:color="auto"/>
                    <w:right w:val="none" w:sz="0" w:space="0" w:color="auto"/>
                  </w:divBdr>
                </w:div>
                <w:div w:id="1074933698">
                  <w:marLeft w:val="0"/>
                  <w:marRight w:val="0"/>
                  <w:marTop w:val="0"/>
                  <w:marBottom w:val="0"/>
                  <w:divBdr>
                    <w:top w:val="none" w:sz="0" w:space="0" w:color="auto"/>
                    <w:left w:val="none" w:sz="0" w:space="0" w:color="auto"/>
                    <w:bottom w:val="none" w:sz="0" w:space="0" w:color="auto"/>
                    <w:right w:val="none" w:sz="0" w:space="0" w:color="auto"/>
                  </w:divBdr>
                </w:div>
              </w:divsChild>
            </w:div>
            <w:div w:id="294484123">
              <w:marLeft w:val="0"/>
              <w:marRight w:val="0"/>
              <w:marTop w:val="0"/>
              <w:marBottom w:val="0"/>
              <w:divBdr>
                <w:top w:val="none" w:sz="0" w:space="0" w:color="auto"/>
                <w:left w:val="none" w:sz="0" w:space="0" w:color="auto"/>
                <w:bottom w:val="none" w:sz="0" w:space="0" w:color="auto"/>
                <w:right w:val="none" w:sz="0" w:space="0" w:color="auto"/>
              </w:divBdr>
            </w:div>
            <w:div w:id="2144422283">
              <w:marLeft w:val="0"/>
              <w:marRight w:val="0"/>
              <w:marTop w:val="0"/>
              <w:marBottom w:val="0"/>
              <w:divBdr>
                <w:top w:val="none" w:sz="0" w:space="0" w:color="auto"/>
                <w:left w:val="none" w:sz="0" w:space="0" w:color="auto"/>
                <w:bottom w:val="none" w:sz="0" w:space="0" w:color="auto"/>
                <w:right w:val="none" w:sz="0" w:space="0" w:color="auto"/>
              </w:divBdr>
            </w:div>
            <w:div w:id="174657949">
              <w:marLeft w:val="0"/>
              <w:marRight w:val="0"/>
              <w:marTop w:val="0"/>
              <w:marBottom w:val="0"/>
              <w:divBdr>
                <w:top w:val="none" w:sz="0" w:space="0" w:color="auto"/>
                <w:left w:val="none" w:sz="0" w:space="0" w:color="auto"/>
                <w:bottom w:val="none" w:sz="0" w:space="0" w:color="auto"/>
                <w:right w:val="none" w:sz="0" w:space="0" w:color="auto"/>
              </w:divBdr>
            </w:div>
            <w:div w:id="1081296088">
              <w:marLeft w:val="0"/>
              <w:marRight w:val="0"/>
              <w:marTop w:val="0"/>
              <w:marBottom w:val="0"/>
              <w:divBdr>
                <w:top w:val="none" w:sz="0" w:space="0" w:color="auto"/>
                <w:left w:val="none" w:sz="0" w:space="0" w:color="auto"/>
                <w:bottom w:val="none" w:sz="0" w:space="0" w:color="auto"/>
                <w:right w:val="none" w:sz="0" w:space="0" w:color="auto"/>
              </w:divBdr>
            </w:div>
            <w:div w:id="1203513387">
              <w:marLeft w:val="0"/>
              <w:marRight w:val="0"/>
              <w:marTop w:val="0"/>
              <w:marBottom w:val="0"/>
              <w:divBdr>
                <w:top w:val="none" w:sz="0" w:space="0" w:color="auto"/>
                <w:left w:val="none" w:sz="0" w:space="0" w:color="auto"/>
                <w:bottom w:val="none" w:sz="0" w:space="0" w:color="auto"/>
                <w:right w:val="none" w:sz="0" w:space="0" w:color="auto"/>
              </w:divBdr>
              <w:divsChild>
                <w:div w:id="826095166">
                  <w:marLeft w:val="0"/>
                  <w:marRight w:val="0"/>
                  <w:marTop w:val="0"/>
                  <w:marBottom w:val="0"/>
                  <w:divBdr>
                    <w:top w:val="none" w:sz="0" w:space="0" w:color="auto"/>
                    <w:left w:val="none" w:sz="0" w:space="0" w:color="auto"/>
                    <w:bottom w:val="none" w:sz="0" w:space="0" w:color="auto"/>
                    <w:right w:val="none" w:sz="0" w:space="0" w:color="auto"/>
                  </w:divBdr>
                </w:div>
                <w:div w:id="1933466885">
                  <w:marLeft w:val="0"/>
                  <w:marRight w:val="0"/>
                  <w:marTop w:val="0"/>
                  <w:marBottom w:val="0"/>
                  <w:divBdr>
                    <w:top w:val="none" w:sz="0" w:space="0" w:color="auto"/>
                    <w:left w:val="none" w:sz="0" w:space="0" w:color="auto"/>
                    <w:bottom w:val="none" w:sz="0" w:space="0" w:color="auto"/>
                    <w:right w:val="none" w:sz="0" w:space="0" w:color="auto"/>
                  </w:divBdr>
                </w:div>
                <w:div w:id="968321787">
                  <w:marLeft w:val="0"/>
                  <w:marRight w:val="0"/>
                  <w:marTop w:val="0"/>
                  <w:marBottom w:val="0"/>
                  <w:divBdr>
                    <w:top w:val="none" w:sz="0" w:space="0" w:color="auto"/>
                    <w:left w:val="none" w:sz="0" w:space="0" w:color="auto"/>
                    <w:bottom w:val="none" w:sz="0" w:space="0" w:color="auto"/>
                    <w:right w:val="none" w:sz="0" w:space="0" w:color="auto"/>
                  </w:divBdr>
                </w:div>
                <w:div w:id="1318877311">
                  <w:marLeft w:val="0"/>
                  <w:marRight w:val="0"/>
                  <w:marTop w:val="0"/>
                  <w:marBottom w:val="0"/>
                  <w:divBdr>
                    <w:top w:val="none" w:sz="0" w:space="0" w:color="auto"/>
                    <w:left w:val="none" w:sz="0" w:space="0" w:color="auto"/>
                    <w:bottom w:val="none" w:sz="0" w:space="0" w:color="auto"/>
                    <w:right w:val="none" w:sz="0" w:space="0" w:color="auto"/>
                  </w:divBdr>
                </w:div>
              </w:divsChild>
            </w:div>
            <w:div w:id="417095350">
              <w:marLeft w:val="0"/>
              <w:marRight w:val="0"/>
              <w:marTop w:val="0"/>
              <w:marBottom w:val="0"/>
              <w:divBdr>
                <w:top w:val="none" w:sz="0" w:space="0" w:color="auto"/>
                <w:left w:val="none" w:sz="0" w:space="0" w:color="auto"/>
                <w:bottom w:val="none" w:sz="0" w:space="0" w:color="auto"/>
                <w:right w:val="none" w:sz="0" w:space="0" w:color="auto"/>
              </w:divBdr>
            </w:div>
            <w:div w:id="495339566">
              <w:marLeft w:val="0"/>
              <w:marRight w:val="0"/>
              <w:marTop w:val="0"/>
              <w:marBottom w:val="0"/>
              <w:divBdr>
                <w:top w:val="none" w:sz="0" w:space="0" w:color="auto"/>
                <w:left w:val="none" w:sz="0" w:space="0" w:color="auto"/>
                <w:bottom w:val="none" w:sz="0" w:space="0" w:color="auto"/>
                <w:right w:val="none" w:sz="0" w:space="0" w:color="auto"/>
              </w:divBdr>
            </w:div>
            <w:div w:id="1733501751">
              <w:marLeft w:val="0"/>
              <w:marRight w:val="0"/>
              <w:marTop w:val="0"/>
              <w:marBottom w:val="0"/>
              <w:divBdr>
                <w:top w:val="none" w:sz="0" w:space="0" w:color="auto"/>
                <w:left w:val="none" w:sz="0" w:space="0" w:color="auto"/>
                <w:bottom w:val="none" w:sz="0" w:space="0" w:color="auto"/>
                <w:right w:val="none" w:sz="0" w:space="0" w:color="auto"/>
              </w:divBdr>
              <w:divsChild>
                <w:div w:id="616639467">
                  <w:marLeft w:val="0"/>
                  <w:marRight w:val="0"/>
                  <w:marTop w:val="0"/>
                  <w:marBottom w:val="0"/>
                  <w:divBdr>
                    <w:top w:val="none" w:sz="0" w:space="0" w:color="auto"/>
                    <w:left w:val="none" w:sz="0" w:space="0" w:color="auto"/>
                    <w:bottom w:val="none" w:sz="0" w:space="0" w:color="auto"/>
                    <w:right w:val="none" w:sz="0" w:space="0" w:color="auto"/>
                  </w:divBdr>
                </w:div>
                <w:div w:id="1581407212">
                  <w:marLeft w:val="0"/>
                  <w:marRight w:val="0"/>
                  <w:marTop w:val="0"/>
                  <w:marBottom w:val="0"/>
                  <w:divBdr>
                    <w:top w:val="none" w:sz="0" w:space="0" w:color="auto"/>
                    <w:left w:val="none" w:sz="0" w:space="0" w:color="auto"/>
                    <w:bottom w:val="none" w:sz="0" w:space="0" w:color="auto"/>
                    <w:right w:val="none" w:sz="0" w:space="0" w:color="auto"/>
                  </w:divBdr>
                </w:div>
                <w:div w:id="292248365">
                  <w:marLeft w:val="0"/>
                  <w:marRight w:val="0"/>
                  <w:marTop w:val="0"/>
                  <w:marBottom w:val="0"/>
                  <w:divBdr>
                    <w:top w:val="none" w:sz="0" w:space="0" w:color="auto"/>
                    <w:left w:val="none" w:sz="0" w:space="0" w:color="auto"/>
                    <w:bottom w:val="none" w:sz="0" w:space="0" w:color="auto"/>
                    <w:right w:val="none" w:sz="0" w:space="0" w:color="auto"/>
                  </w:divBdr>
                </w:div>
              </w:divsChild>
            </w:div>
            <w:div w:id="340667693">
              <w:marLeft w:val="0"/>
              <w:marRight w:val="0"/>
              <w:marTop w:val="0"/>
              <w:marBottom w:val="0"/>
              <w:divBdr>
                <w:top w:val="none" w:sz="0" w:space="0" w:color="auto"/>
                <w:left w:val="none" w:sz="0" w:space="0" w:color="auto"/>
                <w:bottom w:val="none" w:sz="0" w:space="0" w:color="auto"/>
                <w:right w:val="none" w:sz="0" w:space="0" w:color="auto"/>
              </w:divBdr>
            </w:div>
            <w:div w:id="625964638">
              <w:marLeft w:val="0"/>
              <w:marRight w:val="0"/>
              <w:marTop w:val="0"/>
              <w:marBottom w:val="0"/>
              <w:divBdr>
                <w:top w:val="none" w:sz="0" w:space="0" w:color="auto"/>
                <w:left w:val="none" w:sz="0" w:space="0" w:color="auto"/>
                <w:bottom w:val="none" w:sz="0" w:space="0" w:color="auto"/>
                <w:right w:val="none" w:sz="0" w:space="0" w:color="auto"/>
              </w:divBdr>
            </w:div>
            <w:div w:id="844201701">
              <w:marLeft w:val="0"/>
              <w:marRight w:val="0"/>
              <w:marTop w:val="0"/>
              <w:marBottom w:val="0"/>
              <w:divBdr>
                <w:top w:val="none" w:sz="0" w:space="0" w:color="auto"/>
                <w:left w:val="none" w:sz="0" w:space="0" w:color="auto"/>
                <w:bottom w:val="none" w:sz="0" w:space="0" w:color="auto"/>
                <w:right w:val="none" w:sz="0" w:space="0" w:color="auto"/>
              </w:divBdr>
            </w:div>
            <w:div w:id="863445082">
              <w:marLeft w:val="0"/>
              <w:marRight w:val="0"/>
              <w:marTop w:val="0"/>
              <w:marBottom w:val="0"/>
              <w:divBdr>
                <w:top w:val="none" w:sz="0" w:space="0" w:color="auto"/>
                <w:left w:val="none" w:sz="0" w:space="0" w:color="auto"/>
                <w:bottom w:val="none" w:sz="0" w:space="0" w:color="auto"/>
                <w:right w:val="none" w:sz="0" w:space="0" w:color="auto"/>
              </w:divBdr>
            </w:div>
            <w:div w:id="1034423595">
              <w:marLeft w:val="0"/>
              <w:marRight w:val="0"/>
              <w:marTop w:val="0"/>
              <w:marBottom w:val="0"/>
              <w:divBdr>
                <w:top w:val="none" w:sz="0" w:space="0" w:color="auto"/>
                <w:left w:val="none" w:sz="0" w:space="0" w:color="auto"/>
                <w:bottom w:val="none" w:sz="0" w:space="0" w:color="auto"/>
                <w:right w:val="none" w:sz="0" w:space="0" w:color="auto"/>
              </w:divBdr>
            </w:div>
            <w:div w:id="1196770497">
              <w:marLeft w:val="0"/>
              <w:marRight w:val="0"/>
              <w:marTop w:val="0"/>
              <w:marBottom w:val="0"/>
              <w:divBdr>
                <w:top w:val="none" w:sz="0" w:space="0" w:color="auto"/>
                <w:left w:val="none" w:sz="0" w:space="0" w:color="auto"/>
                <w:bottom w:val="none" w:sz="0" w:space="0" w:color="auto"/>
                <w:right w:val="none" w:sz="0" w:space="0" w:color="auto"/>
              </w:divBdr>
            </w:div>
            <w:div w:id="1261572527">
              <w:marLeft w:val="0"/>
              <w:marRight w:val="0"/>
              <w:marTop w:val="0"/>
              <w:marBottom w:val="0"/>
              <w:divBdr>
                <w:top w:val="none" w:sz="0" w:space="0" w:color="auto"/>
                <w:left w:val="none" w:sz="0" w:space="0" w:color="auto"/>
                <w:bottom w:val="none" w:sz="0" w:space="0" w:color="auto"/>
                <w:right w:val="none" w:sz="0" w:space="0" w:color="auto"/>
              </w:divBdr>
            </w:div>
            <w:div w:id="1638990603">
              <w:marLeft w:val="0"/>
              <w:marRight w:val="0"/>
              <w:marTop w:val="0"/>
              <w:marBottom w:val="0"/>
              <w:divBdr>
                <w:top w:val="none" w:sz="0" w:space="0" w:color="auto"/>
                <w:left w:val="none" w:sz="0" w:space="0" w:color="auto"/>
                <w:bottom w:val="none" w:sz="0" w:space="0" w:color="auto"/>
                <w:right w:val="none" w:sz="0" w:space="0" w:color="auto"/>
              </w:divBdr>
            </w:div>
            <w:div w:id="1058090792">
              <w:marLeft w:val="0"/>
              <w:marRight w:val="0"/>
              <w:marTop w:val="0"/>
              <w:marBottom w:val="0"/>
              <w:divBdr>
                <w:top w:val="none" w:sz="0" w:space="0" w:color="auto"/>
                <w:left w:val="none" w:sz="0" w:space="0" w:color="auto"/>
                <w:bottom w:val="none" w:sz="0" w:space="0" w:color="auto"/>
                <w:right w:val="none" w:sz="0" w:space="0" w:color="auto"/>
              </w:divBdr>
            </w:div>
            <w:div w:id="629822826">
              <w:marLeft w:val="0"/>
              <w:marRight w:val="0"/>
              <w:marTop w:val="0"/>
              <w:marBottom w:val="0"/>
              <w:divBdr>
                <w:top w:val="none" w:sz="0" w:space="0" w:color="auto"/>
                <w:left w:val="none" w:sz="0" w:space="0" w:color="auto"/>
                <w:bottom w:val="none" w:sz="0" w:space="0" w:color="auto"/>
                <w:right w:val="none" w:sz="0" w:space="0" w:color="auto"/>
              </w:divBdr>
            </w:div>
            <w:div w:id="1494564546">
              <w:marLeft w:val="0"/>
              <w:marRight w:val="0"/>
              <w:marTop w:val="0"/>
              <w:marBottom w:val="0"/>
              <w:divBdr>
                <w:top w:val="none" w:sz="0" w:space="0" w:color="auto"/>
                <w:left w:val="none" w:sz="0" w:space="0" w:color="auto"/>
                <w:bottom w:val="none" w:sz="0" w:space="0" w:color="auto"/>
                <w:right w:val="none" w:sz="0" w:space="0" w:color="auto"/>
              </w:divBdr>
            </w:div>
            <w:div w:id="774447754">
              <w:marLeft w:val="0"/>
              <w:marRight w:val="0"/>
              <w:marTop w:val="0"/>
              <w:marBottom w:val="0"/>
              <w:divBdr>
                <w:top w:val="none" w:sz="0" w:space="0" w:color="auto"/>
                <w:left w:val="none" w:sz="0" w:space="0" w:color="auto"/>
                <w:bottom w:val="none" w:sz="0" w:space="0" w:color="auto"/>
                <w:right w:val="none" w:sz="0" w:space="0" w:color="auto"/>
              </w:divBdr>
            </w:div>
            <w:div w:id="670108752">
              <w:marLeft w:val="0"/>
              <w:marRight w:val="0"/>
              <w:marTop w:val="0"/>
              <w:marBottom w:val="0"/>
              <w:divBdr>
                <w:top w:val="none" w:sz="0" w:space="0" w:color="auto"/>
                <w:left w:val="none" w:sz="0" w:space="0" w:color="auto"/>
                <w:bottom w:val="none" w:sz="0" w:space="0" w:color="auto"/>
                <w:right w:val="none" w:sz="0" w:space="0" w:color="auto"/>
              </w:divBdr>
            </w:div>
            <w:div w:id="1477601567">
              <w:marLeft w:val="0"/>
              <w:marRight w:val="0"/>
              <w:marTop w:val="0"/>
              <w:marBottom w:val="0"/>
              <w:divBdr>
                <w:top w:val="none" w:sz="0" w:space="0" w:color="auto"/>
                <w:left w:val="none" w:sz="0" w:space="0" w:color="auto"/>
                <w:bottom w:val="none" w:sz="0" w:space="0" w:color="auto"/>
                <w:right w:val="none" w:sz="0" w:space="0" w:color="auto"/>
              </w:divBdr>
            </w:div>
            <w:div w:id="1979411564">
              <w:marLeft w:val="0"/>
              <w:marRight w:val="0"/>
              <w:marTop w:val="0"/>
              <w:marBottom w:val="0"/>
              <w:divBdr>
                <w:top w:val="none" w:sz="0" w:space="0" w:color="auto"/>
                <w:left w:val="none" w:sz="0" w:space="0" w:color="auto"/>
                <w:bottom w:val="none" w:sz="0" w:space="0" w:color="auto"/>
                <w:right w:val="none" w:sz="0" w:space="0" w:color="auto"/>
              </w:divBdr>
            </w:div>
            <w:div w:id="580259112">
              <w:marLeft w:val="0"/>
              <w:marRight w:val="0"/>
              <w:marTop w:val="0"/>
              <w:marBottom w:val="0"/>
              <w:divBdr>
                <w:top w:val="none" w:sz="0" w:space="0" w:color="auto"/>
                <w:left w:val="none" w:sz="0" w:space="0" w:color="auto"/>
                <w:bottom w:val="none" w:sz="0" w:space="0" w:color="auto"/>
                <w:right w:val="none" w:sz="0" w:space="0" w:color="auto"/>
              </w:divBdr>
            </w:div>
            <w:div w:id="1028145177">
              <w:marLeft w:val="0"/>
              <w:marRight w:val="0"/>
              <w:marTop w:val="0"/>
              <w:marBottom w:val="0"/>
              <w:divBdr>
                <w:top w:val="none" w:sz="0" w:space="0" w:color="auto"/>
                <w:left w:val="none" w:sz="0" w:space="0" w:color="auto"/>
                <w:bottom w:val="none" w:sz="0" w:space="0" w:color="auto"/>
                <w:right w:val="none" w:sz="0" w:space="0" w:color="auto"/>
              </w:divBdr>
            </w:div>
            <w:div w:id="660890405">
              <w:marLeft w:val="0"/>
              <w:marRight w:val="0"/>
              <w:marTop w:val="0"/>
              <w:marBottom w:val="0"/>
              <w:divBdr>
                <w:top w:val="none" w:sz="0" w:space="0" w:color="auto"/>
                <w:left w:val="none" w:sz="0" w:space="0" w:color="auto"/>
                <w:bottom w:val="none" w:sz="0" w:space="0" w:color="auto"/>
                <w:right w:val="none" w:sz="0" w:space="0" w:color="auto"/>
              </w:divBdr>
            </w:div>
            <w:div w:id="485516333">
              <w:marLeft w:val="0"/>
              <w:marRight w:val="0"/>
              <w:marTop w:val="0"/>
              <w:marBottom w:val="0"/>
              <w:divBdr>
                <w:top w:val="none" w:sz="0" w:space="0" w:color="auto"/>
                <w:left w:val="none" w:sz="0" w:space="0" w:color="auto"/>
                <w:bottom w:val="none" w:sz="0" w:space="0" w:color="auto"/>
                <w:right w:val="none" w:sz="0" w:space="0" w:color="auto"/>
              </w:divBdr>
            </w:div>
            <w:div w:id="1162089298">
              <w:marLeft w:val="0"/>
              <w:marRight w:val="0"/>
              <w:marTop w:val="0"/>
              <w:marBottom w:val="0"/>
              <w:divBdr>
                <w:top w:val="none" w:sz="0" w:space="0" w:color="auto"/>
                <w:left w:val="none" w:sz="0" w:space="0" w:color="auto"/>
                <w:bottom w:val="none" w:sz="0" w:space="0" w:color="auto"/>
                <w:right w:val="none" w:sz="0" w:space="0" w:color="auto"/>
              </w:divBdr>
            </w:div>
            <w:div w:id="1080254215">
              <w:marLeft w:val="0"/>
              <w:marRight w:val="0"/>
              <w:marTop w:val="0"/>
              <w:marBottom w:val="0"/>
              <w:divBdr>
                <w:top w:val="none" w:sz="0" w:space="0" w:color="auto"/>
                <w:left w:val="none" w:sz="0" w:space="0" w:color="auto"/>
                <w:bottom w:val="none" w:sz="0" w:space="0" w:color="auto"/>
                <w:right w:val="none" w:sz="0" w:space="0" w:color="auto"/>
              </w:divBdr>
            </w:div>
            <w:div w:id="898634178">
              <w:marLeft w:val="0"/>
              <w:marRight w:val="0"/>
              <w:marTop w:val="0"/>
              <w:marBottom w:val="0"/>
              <w:divBdr>
                <w:top w:val="none" w:sz="0" w:space="0" w:color="auto"/>
                <w:left w:val="none" w:sz="0" w:space="0" w:color="auto"/>
                <w:bottom w:val="none" w:sz="0" w:space="0" w:color="auto"/>
                <w:right w:val="none" w:sz="0" w:space="0" w:color="auto"/>
              </w:divBdr>
            </w:div>
            <w:div w:id="1126584122">
              <w:marLeft w:val="0"/>
              <w:marRight w:val="0"/>
              <w:marTop w:val="0"/>
              <w:marBottom w:val="0"/>
              <w:divBdr>
                <w:top w:val="none" w:sz="0" w:space="0" w:color="auto"/>
                <w:left w:val="none" w:sz="0" w:space="0" w:color="auto"/>
                <w:bottom w:val="none" w:sz="0" w:space="0" w:color="auto"/>
                <w:right w:val="none" w:sz="0" w:space="0" w:color="auto"/>
              </w:divBdr>
            </w:div>
            <w:div w:id="222378000">
              <w:marLeft w:val="0"/>
              <w:marRight w:val="0"/>
              <w:marTop w:val="0"/>
              <w:marBottom w:val="0"/>
              <w:divBdr>
                <w:top w:val="none" w:sz="0" w:space="0" w:color="auto"/>
                <w:left w:val="none" w:sz="0" w:space="0" w:color="auto"/>
                <w:bottom w:val="none" w:sz="0" w:space="0" w:color="auto"/>
                <w:right w:val="none" w:sz="0" w:space="0" w:color="auto"/>
              </w:divBdr>
            </w:div>
            <w:div w:id="1239366436">
              <w:marLeft w:val="0"/>
              <w:marRight w:val="0"/>
              <w:marTop w:val="0"/>
              <w:marBottom w:val="0"/>
              <w:divBdr>
                <w:top w:val="none" w:sz="0" w:space="0" w:color="auto"/>
                <w:left w:val="none" w:sz="0" w:space="0" w:color="auto"/>
                <w:bottom w:val="none" w:sz="0" w:space="0" w:color="auto"/>
                <w:right w:val="none" w:sz="0" w:space="0" w:color="auto"/>
              </w:divBdr>
            </w:div>
            <w:div w:id="1828861640">
              <w:marLeft w:val="0"/>
              <w:marRight w:val="0"/>
              <w:marTop w:val="0"/>
              <w:marBottom w:val="0"/>
              <w:divBdr>
                <w:top w:val="none" w:sz="0" w:space="0" w:color="auto"/>
                <w:left w:val="none" w:sz="0" w:space="0" w:color="auto"/>
                <w:bottom w:val="none" w:sz="0" w:space="0" w:color="auto"/>
                <w:right w:val="none" w:sz="0" w:space="0" w:color="auto"/>
              </w:divBdr>
            </w:div>
            <w:div w:id="1009990592">
              <w:marLeft w:val="0"/>
              <w:marRight w:val="0"/>
              <w:marTop w:val="0"/>
              <w:marBottom w:val="0"/>
              <w:divBdr>
                <w:top w:val="none" w:sz="0" w:space="0" w:color="auto"/>
                <w:left w:val="none" w:sz="0" w:space="0" w:color="auto"/>
                <w:bottom w:val="none" w:sz="0" w:space="0" w:color="auto"/>
                <w:right w:val="none" w:sz="0" w:space="0" w:color="auto"/>
              </w:divBdr>
            </w:div>
            <w:div w:id="1288701200">
              <w:marLeft w:val="0"/>
              <w:marRight w:val="0"/>
              <w:marTop w:val="0"/>
              <w:marBottom w:val="0"/>
              <w:divBdr>
                <w:top w:val="none" w:sz="0" w:space="0" w:color="auto"/>
                <w:left w:val="none" w:sz="0" w:space="0" w:color="auto"/>
                <w:bottom w:val="none" w:sz="0" w:space="0" w:color="auto"/>
                <w:right w:val="none" w:sz="0" w:space="0" w:color="auto"/>
              </w:divBdr>
            </w:div>
            <w:div w:id="1179932504">
              <w:marLeft w:val="0"/>
              <w:marRight w:val="0"/>
              <w:marTop w:val="0"/>
              <w:marBottom w:val="0"/>
              <w:divBdr>
                <w:top w:val="none" w:sz="0" w:space="0" w:color="auto"/>
                <w:left w:val="none" w:sz="0" w:space="0" w:color="auto"/>
                <w:bottom w:val="none" w:sz="0" w:space="0" w:color="auto"/>
                <w:right w:val="none" w:sz="0" w:space="0" w:color="auto"/>
              </w:divBdr>
            </w:div>
            <w:div w:id="1690712558">
              <w:marLeft w:val="0"/>
              <w:marRight w:val="0"/>
              <w:marTop w:val="0"/>
              <w:marBottom w:val="0"/>
              <w:divBdr>
                <w:top w:val="none" w:sz="0" w:space="0" w:color="auto"/>
                <w:left w:val="none" w:sz="0" w:space="0" w:color="auto"/>
                <w:bottom w:val="none" w:sz="0" w:space="0" w:color="auto"/>
                <w:right w:val="none" w:sz="0" w:space="0" w:color="auto"/>
              </w:divBdr>
            </w:div>
            <w:div w:id="1774090641">
              <w:marLeft w:val="0"/>
              <w:marRight w:val="0"/>
              <w:marTop w:val="0"/>
              <w:marBottom w:val="0"/>
              <w:divBdr>
                <w:top w:val="none" w:sz="0" w:space="0" w:color="auto"/>
                <w:left w:val="none" w:sz="0" w:space="0" w:color="auto"/>
                <w:bottom w:val="none" w:sz="0" w:space="0" w:color="auto"/>
                <w:right w:val="none" w:sz="0" w:space="0" w:color="auto"/>
              </w:divBdr>
            </w:div>
            <w:div w:id="1838761847">
              <w:marLeft w:val="0"/>
              <w:marRight w:val="0"/>
              <w:marTop w:val="0"/>
              <w:marBottom w:val="0"/>
              <w:divBdr>
                <w:top w:val="none" w:sz="0" w:space="0" w:color="auto"/>
                <w:left w:val="none" w:sz="0" w:space="0" w:color="auto"/>
                <w:bottom w:val="none" w:sz="0" w:space="0" w:color="auto"/>
                <w:right w:val="none" w:sz="0" w:space="0" w:color="auto"/>
              </w:divBdr>
            </w:div>
            <w:div w:id="1123841392">
              <w:marLeft w:val="0"/>
              <w:marRight w:val="0"/>
              <w:marTop w:val="0"/>
              <w:marBottom w:val="0"/>
              <w:divBdr>
                <w:top w:val="none" w:sz="0" w:space="0" w:color="auto"/>
                <w:left w:val="none" w:sz="0" w:space="0" w:color="auto"/>
                <w:bottom w:val="none" w:sz="0" w:space="0" w:color="auto"/>
                <w:right w:val="none" w:sz="0" w:space="0" w:color="auto"/>
              </w:divBdr>
            </w:div>
            <w:div w:id="123431910">
              <w:marLeft w:val="0"/>
              <w:marRight w:val="0"/>
              <w:marTop w:val="0"/>
              <w:marBottom w:val="0"/>
              <w:divBdr>
                <w:top w:val="none" w:sz="0" w:space="0" w:color="auto"/>
                <w:left w:val="none" w:sz="0" w:space="0" w:color="auto"/>
                <w:bottom w:val="none" w:sz="0" w:space="0" w:color="auto"/>
                <w:right w:val="none" w:sz="0" w:space="0" w:color="auto"/>
              </w:divBdr>
            </w:div>
            <w:div w:id="2084453177">
              <w:marLeft w:val="0"/>
              <w:marRight w:val="0"/>
              <w:marTop w:val="0"/>
              <w:marBottom w:val="0"/>
              <w:divBdr>
                <w:top w:val="none" w:sz="0" w:space="0" w:color="auto"/>
                <w:left w:val="none" w:sz="0" w:space="0" w:color="auto"/>
                <w:bottom w:val="none" w:sz="0" w:space="0" w:color="auto"/>
                <w:right w:val="none" w:sz="0" w:space="0" w:color="auto"/>
              </w:divBdr>
            </w:div>
            <w:div w:id="52046429">
              <w:marLeft w:val="0"/>
              <w:marRight w:val="0"/>
              <w:marTop w:val="0"/>
              <w:marBottom w:val="0"/>
              <w:divBdr>
                <w:top w:val="none" w:sz="0" w:space="0" w:color="auto"/>
                <w:left w:val="none" w:sz="0" w:space="0" w:color="auto"/>
                <w:bottom w:val="none" w:sz="0" w:space="0" w:color="auto"/>
                <w:right w:val="none" w:sz="0" w:space="0" w:color="auto"/>
              </w:divBdr>
            </w:div>
            <w:div w:id="1136483158">
              <w:marLeft w:val="0"/>
              <w:marRight w:val="0"/>
              <w:marTop w:val="0"/>
              <w:marBottom w:val="0"/>
              <w:divBdr>
                <w:top w:val="none" w:sz="0" w:space="0" w:color="auto"/>
                <w:left w:val="none" w:sz="0" w:space="0" w:color="auto"/>
                <w:bottom w:val="none" w:sz="0" w:space="0" w:color="auto"/>
                <w:right w:val="none" w:sz="0" w:space="0" w:color="auto"/>
              </w:divBdr>
            </w:div>
            <w:div w:id="80105308">
              <w:marLeft w:val="0"/>
              <w:marRight w:val="0"/>
              <w:marTop w:val="0"/>
              <w:marBottom w:val="0"/>
              <w:divBdr>
                <w:top w:val="none" w:sz="0" w:space="0" w:color="auto"/>
                <w:left w:val="none" w:sz="0" w:space="0" w:color="auto"/>
                <w:bottom w:val="none" w:sz="0" w:space="0" w:color="auto"/>
                <w:right w:val="none" w:sz="0" w:space="0" w:color="auto"/>
              </w:divBdr>
            </w:div>
            <w:div w:id="533275220">
              <w:marLeft w:val="0"/>
              <w:marRight w:val="0"/>
              <w:marTop w:val="0"/>
              <w:marBottom w:val="0"/>
              <w:divBdr>
                <w:top w:val="none" w:sz="0" w:space="0" w:color="auto"/>
                <w:left w:val="none" w:sz="0" w:space="0" w:color="auto"/>
                <w:bottom w:val="none" w:sz="0" w:space="0" w:color="auto"/>
                <w:right w:val="none" w:sz="0" w:space="0" w:color="auto"/>
              </w:divBdr>
            </w:div>
            <w:div w:id="125584591">
              <w:marLeft w:val="0"/>
              <w:marRight w:val="0"/>
              <w:marTop w:val="0"/>
              <w:marBottom w:val="0"/>
              <w:divBdr>
                <w:top w:val="none" w:sz="0" w:space="0" w:color="auto"/>
                <w:left w:val="none" w:sz="0" w:space="0" w:color="auto"/>
                <w:bottom w:val="none" w:sz="0" w:space="0" w:color="auto"/>
                <w:right w:val="none" w:sz="0" w:space="0" w:color="auto"/>
              </w:divBdr>
            </w:div>
            <w:div w:id="1713311960">
              <w:marLeft w:val="0"/>
              <w:marRight w:val="0"/>
              <w:marTop w:val="0"/>
              <w:marBottom w:val="0"/>
              <w:divBdr>
                <w:top w:val="none" w:sz="0" w:space="0" w:color="auto"/>
                <w:left w:val="none" w:sz="0" w:space="0" w:color="auto"/>
                <w:bottom w:val="none" w:sz="0" w:space="0" w:color="auto"/>
                <w:right w:val="none" w:sz="0" w:space="0" w:color="auto"/>
              </w:divBdr>
            </w:div>
            <w:div w:id="954169672">
              <w:marLeft w:val="0"/>
              <w:marRight w:val="0"/>
              <w:marTop w:val="0"/>
              <w:marBottom w:val="0"/>
              <w:divBdr>
                <w:top w:val="none" w:sz="0" w:space="0" w:color="auto"/>
                <w:left w:val="none" w:sz="0" w:space="0" w:color="auto"/>
                <w:bottom w:val="none" w:sz="0" w:space="0" w:color="auto"/>
                <w:right w:val="none" w:sz="0" w:space="0" w:color="auto"/>
              </w:divBdr>
            </w:div>
            <w:div w:id="1967203060">
              <w:marLeft w:val="0"/>
              <w:marRight w:val="0"/>
              <w:marTop w:val="0"/>
              <w:marBottom w:val="0"/>
              <w:divBdr>
                <w:top w:val="none" w:sz="0" w:space="0" w:color="auto"/>
                <w:left w:val="none" w:sz="0" w:space="0" w:color="auto"/>
                <w:bottom w:val="none" w:sz="0" w:space="0" w:color="auto"/>
                <w:right w:val="none" w:sz="0" w:space="0" w:color="auto"/>
              </w:divBdr>
            </w:div>
            <w:div w:id="1856115316">
              <w:marLeft w:val="0"/>
              <w:marRight w:val="0"/>
              <w:marTop w:val="0"/>
              <w:marBottom w:val="0"/>
              <w:divBdr>
                <w:top w:val="none" w:sz="0" w:space="0" w:color="auto"/>
                <w:left w:val="none" w:sz="0" w:space="0" w:color="auto"/>
                <w:bottom w:val="none" w:sz="0" w:space="0" w:color="auto"/>
                <w:right w:val="none" w:sz="0" w:space="0" w:color="auto"/>
              </w:divBdr>
            </w:div>
            <w:div w:id="139274647">
              <w:marLeft w:val="0"/>
              <w:marRight w:val="0"/>
              <w:marTop w:val="0"/>
              <w:marBottom w:val="0"/>
              <w:divBdr>
                <w:top w:val="none" w:sz="0" w:space="0" w:color="auto"/>
                <w:left w:val="none" w:sz="0" w:space="0" w:color="auto"/>
                <w:bottom w:val="none" w:sz="0" w:space="0" w:color="auto"/>
                <w:right w:val="none" w:sz="0" w:space="0" w:color="auto"/>
              </w:divBdr>
            </w:div>
            <w:div w:id="645356635">
              <w:marLeft w:val="0"/>
              <w:marRight w:val="0"/>
              <w:marTop w:val="0"/>
              <w:marBottom w:val="0"/>
              <w:divBdr>
                <w:top w:val="none" w:sz="0" w:space="0" w:color="auto"/>
                <w:left w:val="none" w:sz="0" w:space="0" w:color="auto"/>
                <w:bottom w:val="none" w:sz="0" w:space="0" w:color="auto"/>
                <w:right w:val="none" w:sz="0" w:space="0" w:color="auto"/>
              </w:divBdr>
            </w:div>
            <w:div w:id="653992123">
              <w:marLeft w:val="0"/>
              <w:marRight w:val="0"/>
              <w:marTop w:val="0"/>
              <w:marBottom w:val="0"/>
              <w:divBdr>
                <w:top w:val="none" w:sz="0" w:space="0" w:color="auto"/>
                <w:left w:val="none" w:sz="0" w:space="0" w:color="auto"/>
                <w:bottom w:val="none" w:sz="0" w:space="0" w:color="auto"/>
                <w:right w:val="none" w:sz="0" w:space="0" w:color="auto"/>
              </w:divBdr>
            </w:div>
            <w:div w:id="731781191">
              <w:marLeft w:val="0"/>
              <w:marRight w:val="0"/>
              <w:marTop w:val="0"/>
              <w:marBottom w:val="0"/>
              <w:divBdr>
                <w:top w:val="none" w:sz="0" w:space="0" w:color="auto"/>
                <w:left w:val="none" w:sz="0" w:space="0" w:color="auto"/>
                <w:bottom w:val="none" w:sz="0" w:space="0" w:color="auto"/>
                <w:right w:val="none" w:sz="0" w:space="0" w:color="auto"/>
              </w:divBdr>
            </w:div>
            <w:div w:id="1903952298">
              <w:marLeft w:val="0"/>
              <w:marRight w:val="0"/>
              <w:marTop w:val="0"/>
              <w:marBottom w:val="0"/>
              <w:divBdr>
                <w:top w:val="none" w:sz="0" w:space="0" w:color="auto"/>
                <w:left w:val="none" w:sz="0" w:space="0" w:color="auto"/>
                <w:bottom w:val="none" w:sz="0" w:space="0" w:color="auto"/>
                <w:right w:val="none" w:sz="0" w:space="0" w:color="auto"/>
              </w:divBdr>
            </w:div>
            <w:div w:id="1647783492">
              <w:marLeft w:val="0"/>
              <w:marRight w:val="0"/>
              <w:marTop w:val="0"/>
              <w:marBottom w:val="0"/>
              <w:divBdr>
                <w:top w:val="none" w:sz="0" w:space="0" w:color="auto"/>
                <w:left w:val="none" w:sz="0" w:space="0" w:color="auto"/>
                <w:bottom w:val="none" w:sz="0" w:space="0" w:color="auto"/>
                <w:right w:val="none" w:sz="0" w:space="0" w:color="auto"/>
              </w:divBdr>
            </w:div>
            <w:div w:id="1933082052">
              <w:marLeft w:val="0"/>
              <w:marRight w:val="0"/>
              <w:marTop w:val="0"/>
              <w:marBottom w:val="0"/>
              <w:divBdr>
                <w:top w:val="none" w:sz="0" w:space="0" w:color="auto"/>
                <w:left w:val="none" w:sz="0" w:space="0" w:color="auto"/>
                <w:bottom w:val="none" w:sz="0" w:space="0" w:color="auto"/>
                <w:right w:val="none" w:sz="0" w:space="0" w:color="auto"/>
              </w:divBdr>
            </w:div>
            <w:div w:id="2099672990">
              <w:marLeft w:val="0"/>
              <w:marRight w:val="0"/>
              <w:marTop w:val="0"/>
              <w:marBottom w:val="0"/>
              <w:divBdr>
                <w:top w:val="none" w:sz="0" w:space="0" w:color="auto"/>
                <w:left w:val="none" w:sz="0" w:space="0" w:color="auto"/>
                <w:bottom w:val="none" w:sz="0" w:space="0" w:color="auto"/>
                <w:right w:val="none" w:sz="0" w:space="0" w:color="auto"/>
              </w:divBdr>
            </w:div>
            <w:div w:id="560823386">
              <w:marLeft w:val="0"/>
              <w:marRight w:val="0"/>
              <w:marTop w:val="0"/>
              <w:marBottom w:val="0"/>
              <w:divBdr>
                <w:top w:val="none" w:sz="0" w:space="0" w:color="auto"/>
                <w:left w:val="none" w:sz="0" w:space="0" w:color="auto"/>
                <w:bottom w:val="none" w:sz="0" w:space="0" w:color="auto"/>
                <w:right w:val="none" w:sz="0" w:space="0" w:color="auto"/>
              </w:divBdr>
            </w:div>
            <w:div w:id="865867267">
              <w:marLeft w:val="0"/>
              <w:marRight w:val="0"/>
              <w:marTop w:val="0"/>
              <w:marBottom w:val="0"/>
              <w:divBdr>
                <w:top w:val="none" w:sz="0" w:space="0" w:color="auto"/>
                <w:left w:val="none" w:sz="0" w:space="0" w:color="auto"/>
                <w:bottom w:val="none" w:sz="0" w:space="0" w:color="auto"/>
                <w:right w:val="none" w:sz="0" w:space="0" w:color="auto"/>
              </w:divBdr>
            </w:div>
            <w:div w:id="1934782343">
              <w:marLeft w:val="0"/>
              <w:marRight w:val="0"/>
              <w:marTop w:val="0"/>
              <w:marBottom w:val="0"/>
              <w:divBdr>
                <w:top w:val="none" w:sz="0" w:space="0" w:color="auto"/>
                <w:left w:val="none" w:sz="0" w:space="0" w:color="auto"/>
                <w:bottom w:val="none" w:sz="0" w:space="0" w:color="auto"/>
                <w:right w:val="none" w:sz="0" w:space="0" w:color="auto"/>
              </w:divBdr>
            </w:div>
            <w:div w:id="796725483">
              <w:marLeft w:val="0"/>
              <w:marRight w:val="0"/>
              <w:marTop w:val="0"/>
              <w:marBottom w:val="0"/>
              <w:divBdr>
                <w:top w:val="none" w:sz="0" w:space="0" w:color="auto"/>
                <w:left w:val="none" w:sz="0" w:space="0" w:color="auto"/>
                <w:bottom w:val="none" w:sz="0" w:space="0" w:color="auto"/>
                <w:right w:val="none" w:sz="0" w:space="0" w:color="auto"/>
              </w:divBdr>
            </w:div>
            <w:div w:id="341708975">
              <w:marLeft w:val="0"/>
              <w:marRight w:val="0"/>
              <w:marTop w:val="0"/>
              <w:marBottom w:val="0"/>
              <w:divBdr>
                <w:top w:val="none" w:sz="0" w:space="0" w:color="auto"/>
                <w:left w:val="none" w:sz="0" w:space="0" w:color="auto"/>
                <w:bottom w:val="none" w:sz="0" w:space="0" w:color="auto"/>
                <w:right w:val="none" w:sz="0" w:space="0" w:color="auto"/>
              </w:divBdr>
            </w:div>
            <w:div w:id="538788379">
              <w:marLeft w:val="0"/>
              <w:marRight w:val="0"/>
              <w:marTop w:val="0"/>
              <w:marBottom w:val="0"/>
              <w:divBdr>
                <w:top w:val="none" w:sz="0" w:space="0" w:color="auto"/>
                <w:left w:val="none" w:sz="0" w:space="0" w:color="auto"/>
                <w:bottom w:val="none" w:sz="0" w:space="0" w:color="auto"/>
                <w:right w:val="none" w:sz="0" w:space="0" w:color="auto"/>
              </w:divBdr>
            </w:div>
            <w:div w:id="660351494">
              <w:marLeft w:val="0"/>
              <w:marRight w:val="0"/>
              <w:marTop w:val="0"/>
              <w:marBottom w:val="0"/>
              <w:divBdr>
                <w:top w:val="none" w:sz="0" w:space="0" w:color="auto"/>
                <w:left w:val="none" w:sz="0" w:space="0" w:color="auto"/>
                <w:bottom w:val="none" w:sz="0" w:space="0" w:color="auto"/>
                <w:right w:val="none" w:sz="0" w:space="0" w:color="auto"/>
              </w:divBdr>
            </w:div>
            <w:div w:id="1280523965">
              <w:marLeft w:val="0"/>
              <w:marRight w:val="0"/>
              <w:marTop w:val="0"/>
              <w:marBottom w:val="0"/>
              <w:divBdr>
                <w:top w:val="none" w:sz="0" w:space="0" w:color="auto"/>
                <w:left w:val="none" w:sz="0" w:space="0" w:color="auto"/>
                <w:bottom w:val="none" w:sz="0" w:space="0" w:color="auto"/>
                <w:right w:val="none" w:sz="0" w:space="0" w:color="auto"/>
              </w:divBdr>
            </w:div>
            <w:div w:id="1981106737">
              <w:marLeft w:val="0"/>
              <w:marRight w:val="0"/>
              <w:marTop w:val="0"/>
              <w:marBottom w:val="0"/>
              <w:divBdr>
                <w:top w:val="none" w:sz="0" w:space="0" w:color="auto"/>
                <w:left w:val="none" w:sz="0" w:space="0" w:color="auto"/>
                <w:bottom w:val="none" w:sz="0" w:space="0" w:color="auto"/>
                <w:right w:val="none" w:sz="0" w:space="0" w:color="auto"/>
              </w:divBdr>
            </w:div>
            <w:div w:id="1649439037">
              <w:marLeft w:val="0"/>
              <w:marRight w:val="0"/>
              <w:marTop w:val="0"/>
              <w:marBottom w:val="0"/>
              <w:divBdr>
                <w:top w:val="none" w:sz="0" w:space="0" w:color="auto"/>
                <w:left w:val="none" w:sz="0" w:space="0" w:color="auto"/>
                <w:bottom w:val="none" w:sz="0" w:space="0" w:color="auto"/>
                <w:right w:val="none" w:sz="0" w:space="0" w:color="auto"/>
              </w:divBdr>
            </w:div>
            <w:div w:id="1100687118">
              <w:marLeft w:val="0"/>
              <w:marRight w:val="0"/>
              <w:marTop w:val="0"/>
              <w:marBottom w:val="0"/>
              <w:divBdr>
                <w:top w:val="none" w:sz="0" w:space="0" w:color="auto"/>
                <w:left w:val="none" w:sz="0" w:space="0" w:color="auto"/>
                <w:bottom w:val="none" w:sz="0" w:space="0" w:color="auto"/>
                <w:right w:val="none" w:sz="0" w:space="0" w:color="auto"/>
              </w:divBdr>
              <w:divsChild>
                <w:div w:id="1274052085">
                  <w:marLeft w:val="0"/>
                  <w:marRight w:val="0"/>
                  <w:marTop w:val="0"/>
                  <w:marBottom w:val="0"/>
                  <w:divBdr>
                    <w:top w:val="none" w:sz="0" w:space="0" w:color="auto"/>
                    <w:left w:val="none" w:sz="0" w:space="0" w:color="auto"/>
                    <w:bottom w:val="none" w:sz="0" w:space="0" w:color="auto"/>
                    <w:right w:val="none" w:sz="0" w:space="0" w:color="auto"/>
                  </w:divBdr>
                </w:div>
              </w:divsChild>
            </w:div>
            <w:div w:id="1353385996">
              <w:marLeft w:val="0"/>
              <w:marRight w:val="0"/>
              <w:marTop w:val="0"/>
              <w:marBottom w:val="0"/>
              <w:divBdr>
                <w:top w:val="none" w:sz="0" w:space="0" w:color="auto"/>
                <w:left w:val="none" w:sz="0" w:space="0" w:color="auto"/>
                <w:bottom w:val="none" w:sz="0" w:space="0" w:color="auto"/>
                <w:right w:val="none" w:sz="0" w:space="0" w:color="auto"/>
              </w:divBdr>
            </w:div>
            <w:div w:id="1065644740">
              <w:marLeft w:val="0"/>
              <w:marRight w:val="0"/>
              <w:marTop w:val="0"/>
              <w:marBottom w:val="0"/>
              <w:divBdr>
                <w:top w:val="none" w:sz="0" w:space="0" w:color="auto"/>
                <w:left w:val="none" w:sz="0" w:space="0" w:color="auto"/>
                <w:bottom w:val="none" w:sz="0" w:space="0" w:color="auto"/>
                <w:right w:val="none" w:sz="0" w:space="0" w:color="auto"/>
              </w:divBdr>
            </w:div>
            <w:div w:id="1713453971">
              <w:marLeft w:val="0"/>
              <w:marRight w:val="0"/>
              <w:marTop w:val="0"/>
              <w:marBottom w:val="0"/>
              <w:divBdr>
                <w:top w:val="none" w:sz="0" w:space="0" w:color="auto"/>
                <w:left w:val="none" w:sz="0" w:space="0" w:color="auto"/>
                <w:bottom w:val="none" w:sz="0" w:space="0" w:color="auto"/>
                <w:right w:val="none" w:sz="0" w:space="0" w:color="auto"/>
              </w:divBdr>
            </w:div>
            <w:div w:id="162160511">
              <w:marLeft w:val="0"/>
              <w:marRight w:val="0"/>
              <w:marTop w:val="0"/>
              <w:marBottom w:val="0"/>
              <w:divBdr>
                <w:top w:val="none" w:sz="0" w:space="0" w:color="auto"/>
                <w:left w:val="none" w:sz="0" w:space="0" w:color="auto"/>
                <w:bottom w:val="none" w:sz="0" w:space="0" w:color="auto"/>
                <w:right w:val="none" w:sz="0" w:space="0" w:color="auto"/>
              </w:divBdr>
            </w:div>
            <w:div w:id="1037436347">
              <w:marLeft w:val="0"/>
              <w:marRight w:val="0"/>
              <w:marTop w:val="0"/>
              <w:marBottom w:val="0"/>
              <w:divBdr>
                <w:top w:val="none" w:sz="0" w:space="0" w:color="auto"/>
                <w:left w:val="none" w:sz="0" w:space="0" w:color="auto"/>
                <w:bottom w:val="none" w:sz="0" w:space="0" w:color="auto"/>
                <w:right w:val="none" w:sz="0" w:space="0" w:color="auto"/>
              </w:divBdr>
            </w:div>
            <w:div w:id="1690599386">
              <w:marLeft w:val="0"/>
              <w:marRight w:val="0"/>
              <w:marTop w:val="0"/>
              <w:marBottom w:val="0"/>
              <w:divBdr>
                <w:top w:val="none" w:sz="0" w:space="0" w:color="auto"/>
                <w:left w:val="none" w:sz="0" w:space="0" w:color="auto"/>
                <w:bottom w:val="none" w:sz="0" w:space="0" w:color="auto"/>
                <w:right w:val="none" w:sz="0" w:space="0" w:color="auto"/>
              </w:divBdr>
            </w:div>
          </w:divsChild>
        </w:div>
        <w:div w:id="333802755">
          <w:marLeft w:val="0"/>
          <w:marRight w:val="0"/>
          <w:marTop w:val="0"/>
          <w:marBottom w:val="0"/>
          <w:divBdr>
            <w:top w:val="none" w:sz="0" w:space="0" w:color="auto"/>
            <w:left w:val="none" w:sz="0" w:space="0" w:color="auto"/>
            <w:bottom w:val="none" w:sz="0" w:space="0" w:color="auto"/>
            <w:right w:val="none" w:sz="0" w:space="0" w:color="auto"/>
          </w:divBdr>
          <w:divsChild>
            <w:div w:id="1516770841">
              <w:marLeft w:val="0"/>
              <w:marRight w:val="0"/>
              <w:marTop w:val="0"/>
              <w:marBottom w:val="0"/>
              <w:divBdr>
                <w:top w:val="none" w:sz="0" w:space="0" w:color="auto"/>
                <w:left w:val="none" w:sz="0" w:space="0" w:color="auto"/>
                <w:bottom w:val="none" w:sz="0" w:space="0" w:color="auto"/>
                <w:right w:val="none" w:sz="0" w:space="0" w:color="auto"/>
              </w:divBdr>
            </w:div>
            <w:div w:id="1448962465">
              <w:marLeft w:val="0"/>
              <w:marRight w:val="0"/>
              <w:marTop w:val="0"/>
              <w:marBottom w:val="0"/>
              <w:divBdr>
                <w:top w:val="none" w:sz="0" w:space="0" w:color="auto"/>
                <w:left w:val="none" w:sz="0" w:space="0" w:color="auto"/>
                <w:bottom w:val="none" w:sz="0" w:space="0" w:color="auto"/>
                <w:right w:val="none" w:sz="0" w:space="0" w:color="auto"/>
              </w:divBdr>
            </w:div>
            <w:div w:id="1789082686">
              <w:marLeft w:val="0"/>
              <w:marRight w:val="0"/>
              <w:marTop w:val="0"/>
              <w:marBottom w:val="0"/>
              <w:divBdr>
                <w:top w:val="none" w:sz="0" w:space="0" w:color="auto"/>
                <w:left w:val="none" w:sz="0" w:space="0" w:color="auto"/>
                <w:bottom w:val="none" w:sz="0" w:space="0" w:color="auto"/>
                <w:right w:val="none" w:sz="0" w:space="0" w:color="auto"/>
              </w:divBdr>
            </w:div>
            <w:div w:id="617101357">
              <w:marLeft w:val="0"/>
              <w:marRight w:val="0"/>
              <w:marTop w:val="0"/>
              <w:marBottom w:val="0"/>
              <w:divBdr>
                <w:top w:val="none" w:sz="0" w:space="0" w:color="auto"/>
                <w:left w:val="none" w:sz="0" w:space="0" w:color="auto"/>
                <w:bottom w:val="none" w:sz="0" w:space="0" w:color="auto"/>
                <w:right w:val="none" w:sz="0" w:space="0" w:color="auto"/>
              </w:divBdr>
            </w:div>
            <w:div w:id="993872624">
              <w:marLeft w:val="0"/>
              <w:marRight w:val="0"/>
              <w:marTop w:val="0"/>
              <w:marBottom w:val="0"/>
              <w:divBdr>
                <w:top w:val="none" w:sz="0" w:space="0" w:color="auto"/>
                <w:left w:val="none" w:sz="0" w:space="0" w:color="auto"/>
                <w:bottom w:val="none" w:sz="0" w:space="0" w:color="auto"/>
                <w:right w:val="none" w:sz="0" w:space="0" w:color="auto"/>
              </w:divBdr>
            </w:div>
            <w:div w:id="1974677603">
              <w:marLeft w:val="0"/>
              <w:marRight w:val="0"/>
              <w:marTop w:val="0"/>
              <w:marBottom w:val="0"/>
              <w:divBdr>
                <w:top w:val="none" w:sz="0" w:space="0" w:color="auto"/>
                <w:left w:val="none" w:sz="0" w:space="0" w:color="auto"/>
                <w:bottom w:val="none" w:sz="0" w:space="0" w:color="auto"/>
                <w:right w:val="none" w:sz="0" w:space="0" w:color="auto"/>
              </w:divBdr>
            </w:div>
            <w:div w:id="1243022992">
              <w:marLeft w:val="0"/>
              <w:marRight w:val="0"/>
              <w:marTop w:val="0"/>
              <w:marBottom w:val="0"/>
              <w:divBdr>
                <w:top w:val="none" w:sz="0" w:space="0" w:color="auto"/>
                <w:left w:val="none" w:sz="0" w:space="0" w:color="auto"/>
                <w:bottom w:val="none" w:sz="0" w:space="0" w:color="auto"/>
                <w:right w:val="none" w:sz="0" w:space="0" w:color="auto"/>
              </w:divBdr>
            </w:div>
            <w:div w:id="1204371182">
              <w:marLeft w:val="0"/>
              <w:marRight w:val="0"/>
              <w:marTop w:val="0"/>
              <w:marBottom w:val="0"/>
              <w:divBdr>
                <w:top w:val="none" w:sz="0" w:space="0" w:color="auto"/>
                <w:left w:val="none" w:sz="0" w:space="0" w:color="auto"/>
                <w:bottom w:val="none" w:sz="0" w:space="0" w:color="auto"/>
                <w:right w:val="none" w:sz="0" w:space="0" w:color="auto"/>
              </w:divBdr>
            </w:div>
            <w:div w:id="1368411441">
              <w:marLeft w:val="0"/>
              <w:marRight w:val="0"/>
              <w:marTop w:val="0"/>
              <w:marBottom w:val="0"/>
              <w:divBdr>
                <w:top w:val="none" w:sz="0" w:space="0" w:color="auto"/>
                <w:left w:val="none" w:sz="0" w:space="0" w:color="auto"/>
                <w:bottom w:val="none" w:sz="0" w:space="0" w:color="auto"/>
                <w:right w:val="none" w:sz="0" w:space="0" w:color="auto"/>
              </w:divBdr>
            </w:div>
            <w:div w:id="2034183866">
              <w:marLeft w:val="0"/>
              <w:marRight w:val="0"/>
              <w:marTop w:val="0"/>
              <w:marBottom w:val="0"/>
              <w:divBdr>
                <w:top w:val="none" w:sz="0" w:space="0" w:color="auto"/>
                <w:left w:val="none" w:sz="0" w:space="0" w:color="auto"/>
                <w:bottom w:val="none" w:sz="0" w:space="0" w:color="auto"/>
                <w:right w:val="none" w:sz="0" w:space="0" w:color="auto"/>
              </w:divBdr>
            </w:div>
            <w:div w:id="1050494085">
              <w:marLeft w:val="0"/>
              <w:marRight w:val="0"/>
              <w:marTop w:val="0"/>
              <w:marBottom w:val="0"/>
              <w:divBdr>
                <w:top w:val="none" w:sz="0" w:space="0" w:color="auto"/>
                <w:left w:val="none" w:sz="0" w:space="0" w:color="auto"/>
                <w:bottom w:val="none" w:sz="0" w:space="0" w:color="auto"/>
                <w:right w:val="none" w:sz="0" w:space="0" w:color="auto"/>
              </w:divBdr>
            </w:div>
            <w:div w:id="1639724070">
              <w:marLeft w:val="0"/>
              <w:marRight w:val="0"/>
              <w:marTop w:val="0"/>
              <w:marBottom w:val="0"/>
              <w:divBdr>
                <w:top w:val="none" w:sz="0" w:space="0" w:color="auto"/>
                <w:left w:val="none" w:sz="0" w:space="0" w:color="auto"/>
                <w:bottom w:val="none" w:sz="0" w:space="0" w:color="auto"/>
                <w:right w:val="none" w:sz="0" w:space="0" w:color="auto"/>
              </w:divBdr>
              <w:divsChild>
                <w:div w:id="912665004">
                  <w:marLeft w:val="0"/>
                  <w:marRight w:val="0"/>
                  <w:marTop w:val="0"/>
                  <w:marBottom w:val="0"/>
                  <w:divBdr>
                    <w:top w:val="none" w:sz="0" w:space="0" w:color="auto"/>
                    <w:left w:val="none" w:sz="0" w:space="0" w:color="auto"/>
                    <w:bottom w:val="none" w:sz="0" w:space="0" w:color="auto"/>
                    <w:right w:val="none" w:sz="0" w:space="0" w:color="auto"/>
                  </w:divBdr>
                </w:div>
                <w:div w:id="1027871585">
                  <w:marLeft w:val="0"/>
                  <w:marRight w:val="0"/>
                  <w:marTop w:val="0"/>
                  <w:marBottom w:val="0"/>
                  <w:divBdr>
                    <w:top w:val="none" w:sz="0" w:space="0" w:color="auto"/>
                    <w:left w:val="none" w:sz="0" w:space="0" w:color="auto"/>
                    <w:bottom w:val="none" w:sz="0" w:space="0" w:color="auto"/>
                    <w:right w:val="none" w:sz="0" w:space="0" w:color="auto"/>
                  </w:divBdr>
                </w:div>
                <w:div w:id="2029140600">
                  <w:marLeft w:val="0"/>
                  <w:marRight w:val="0"/>
                  <w:marTop w:val="0"/>
                  <w:marBottom w:val="0"/>
                  <w:divBdr>
                    <w:top w:val="none" w:sz="0" w:space="0" w:color="auto"/>
                    <w:left w:val="none" w:sz="0" w:space="0" w:color="auto"/>
                    <w:bottom w:val="none" w:sz="0" w:space="0" w:color="auto"/>
                    <w:right w:val="none" w:sz="0" w:space="0" w:color="auto"/>
                  </w:divBdr>
                </w:div>
                <w:div w:id="746145789">
                  <w:marLeft w:val="0"/>
                  <w:marRight w:val="0"/>
                  <w:marTop w:val="0"/>
                  <w:marBottom w:val="0"/>
                  <w:divBdr>
                    <w:top w:val="none" w:sz="0" w:space="0" w:color="auto"/>
                    <w:left w:val="none" w:sz="0" w:space="0" w:color="auto"/>
                    <w:bottom w:val="none" w:sz="0" w:space="0" w:color="auto"/>
                    <w:right w:val="none" w:sz="0" w:space="0" w:color="auto"/>
                  </w:divBdr>
                </w:div>
              </w:divsChild>
            </w:div>
            <w:div w:id="776874880">
              <w:marLeft w:val="0"/>
              <w:marRight w:val="0"/>
              <w:marTop w:val="0"/>
              <w:marBottom w:val="0"/>
              <w:divBdr>
                <w:top w:val="none" w:sz="0" w:space="0" w:color="auto"/>
                <w:left w:val="none" w:sz="0" w:space="0" w:color="auto"/>
                <w:bottom w:val="none" w:sz="0" w:space="0" w:color="auto"/>
                <w:right w:val="none" w:sz="0" w:space="0" w:color="auto"/>
              </w:divBdr>
            </w:div>
            <w:div w:id="1942640744">
              <w:marLeft w:val="0"/>
              <w:marRight w:val="0"/>
              <w:marTop w:val="0"/>
              <w:marBottom w:val="0"/>
              <w:divBdr>
                <w:top w:val="none" w:sz="0" w:space="0" w:color="auto"/>
                <w:left w:val="none" w:sz="0" w:space="0" w:color="auto"/>
                <w:bottom w:val="none" w:sz="0" w:space="0" w:color="auto"/>
                <w:right w:val="none" w:sz="0" w:space="0" w:color="auto"/>
              </w:divBdr>
            </w:div>
            <w:div w:id="666400019">
              <w:marLeft w:val="0"/>
              <w:marRight w:val="0"/>
              <w:marTop w:val="0"/>
              <w:marBottom w:val="0"/>
              <w:divBdr>
                <w:top w:val="none" w:sz="0" w:space="0" w:color="auto"/>
                <w:left w:val="none" w:sz="0" w:space="0" w:color="auto"/>
                <w:bottom w:val="none" w:sz="0" w:space="0" w:color="auto"/>
                <w:right w:val="none" w:sz="0" w:space="0" w:color="auto"/>
              </w:divBdr>
            </w:div>
            <w:div w:id="2125343910">
              <w:marLeft w:val="0"/>
              <w:marRight w:val="0"/>
              <w:marTop w:val="0"/>
              <w:marBottom w:val="0"/>
              <w:divBdr>
                <w:top w:val="none" w:sz="0" w:space="0" w:color="auto"/>
                <w:left w:val="none" w:sz="0" w:space="0" w:color="auto"/>
                <w:bottom w:val="none" w:sz="0" w:space="0" w:color="auto"/>
                <w:right w:val="none" w:sz="0" w:space="0" w:color="auto"/>
              </w:divBdr>
            </w:div>
            <w:div w:id="2065375420">
              <w:marLeft w:val="0"/>
              <w:marRight w:val="0"/>
              <w:marTop w:val="0"/>
              <w:marBottom w:val="0"/>
              <w:divBdr>
                <w:top w:val="none" w:sz="0" w:space="0" w:color="auto"/>
                <w:left w:val="none" w:sz="0" w:space="0" w:color="auto"/>
                <w:bottom w:val="none" w:sz="0" w:space="0" w:color="auto"/>
                <w:right w:val="none" w:sz="0" w:space="0" w:color="auto"/>
              </w:divBdr>
            </w:div>
            <w:div w:id="1758744595">
              <w:marLeft w:val="0"/>
              <w:marRight w:val="0"/>
              <w:marTop w:val="0"/>
              <w:marBottom w:val="0"/>
              <w:divBdr>
                <w:top w:val="none" w:sz="0" w:space="0" w:color="auto"/>
                <w:left w:val="none" w:sz="0" w:space="0" w:color="auto"/>
                <w:bottom w:val="none" w:sz="0" w:space="0" w:color="auto"/>
                <w:right w:val="none" w:sz="0" w:space="0" w:color="auto"/>
              </w:divBdr>
            </w:div>
            <w:div w:id="169686250">
              <w:marLeft w:val="0"/>
              <w:marRight w:val="0"/>
              <w:marTop w:val="0"/>
              <w:marBottom w:val="0"/>
              <w:divBdr>
                <w:top w:val="none" w:sz="0" w:space="0" w:color="auto"/>
                <w:left w:val="none" w:sz="0" w:space="0" w:color="auto"/>
                <w:bottom w:val="none" w:sz="0" w:space="0" w:color="auto"/>
                <w:right w:val="none" w:sz="0" w:space="0" w:color="auto"/>
              </w:divBdr>
            </w:div>
            <w:div w:id="2132898770">
              <w:marLeft w:val="0"/>
              <w:marRight w:val="0"/>
              <w:marTop w:val="0"/>
              <w:marBottom w:val="0"/>
              <w:divBdr>
                <w:top w:val="none" w:sz="0" w:space="0" w:color="auto"/>
                <w:left w:val="none" w:sz="0" w:space="0" w:color="auto"/>
                <w:bottom w:val="none" w:sz="0" w:space="0" w:color="auto"/>
                <w:right w:val="none" w:sz="0" w:space="0" w:color="auto"/>
              </w:divBdr>
            </w:div>
            <w:div w:id="1533028503">
              <w:marLeft w:val="0"/>
              <w:marRight w:val="0"/>
              <w:marTop w:val="0"/>
              <w:marBottom w:val="0"/>
              <w:divBdr>
                <w:top w:val="none" w:sz="0" w:space="0" w:color="auto"/>
                <w:left w:val="none" w:sz="0" w:space="0" w:color="auto"/>
                <w:bottom w:val="none" w:sz="0" w:space="0" w:color="auto"/>
                <w:right w:val="none" w:sz="0" w:space="0" w:color="auto"/>
              </w:divBdr>
            </w:div>
            <w:div w:id="804470565">
              <w:marLeft w:val="0"/>
              <w:marRight w:val="0"/>
              <w:marTop w:val="0"/>
              <w:marBottom w:val="0"/>
              <w:divBdr>
                <w:top w:val="none" w:sz="0" w:space="0" w:color="auto"/>
                <w:left w:val="none" w:sz="0" w:space="0" w:color="auto"/>
                <w:bottom w:val="none" w:sz="0" w:space="0" w:color="auto"/>
                <w:right w:val="none" w:sz="0" w:space="0" w:color="auto"/>
              </w:divBdr>
            </w:div>
            <w:div w:id="2050260566">
              <w:marLeft w:val="0"/>
              <w:marRight w:val="0"/>
              <w:marTop w:val="0"/>
              <w:marBottom w:val="0"/>
              <w:divBdr>
                <w:top w:val="none" w:sz="0" w:space="0" w:color="auto"/>
                <w:left w:val="none" w:sz="0" w:space="0" w:color="auto"/>
                <w:bottom w:val="none" w:sz="0" w:space="0" w:color="auto"/>
                <w:right w:val="none" w:sz="0" w:space="0" w:color="auto"/>
              </w:divBdr>
            </w:div>
            <w:div w:id="1381517217">
              <w:marLeft w:val="0"/>
              <w:marRight w:val="0"/>
              <w:marTop w:val="0"/>
              <w:marBottom w:val="0"/>
              <w:divBdr>
                <w:top w:val="none" w:sz="0" w:space="0" w:color="auto"/>
                <w:left w:val="none" w:sz="0" w:space="0" w:color="auto"/>
                <w:bottom w:val="none" w:sz="0" w:space="0" w:color="auto"/>
                <w:right w:val="none" w:sz="0" w:space="0" w:color="auto"/>
              </w:divBdr>
            </w:div>
            <w:div w:id="65342545">
              <w:marLeft w:val="0"/>
              <w:marRight w:val="0"/>
              <w:marTop w:val="0"/>
              <w:marBottom w:val="0"/>
              <w:divBdr>
                <w:top w:val="none" w:sz="0" w:space="0" w:color="auto"/>
                <w:left w:val="none" w:sz="0" w:space="0" w:color="auto"/>
                <w:bottom w:val="none" w:sz="0" w:space="0" w:color="auto"/>
                <w:right w:val="none" w:sz="0" w:space="0" w:color="auto"/>
              </w:divBdr>
            </w:div>
          </w:divsChild>
        </w:div>
        <w:div w:id="1361400200">
          <w:marLeft w:val="0"/>
          <w:marRight w:val="0"/>
          <w:marTop w:val="0"/>
          <w:marBottom w:val="0"/>
          <w:divBdr>
            <w:top w:val="none" w:sz="0" w:space="0" w:color="auto"/>
            <w:left w:val="none" w:sz="0" w:space="0" w:color="auto"/>
            <w:bottom w:val="none" w:sz="0" w:space="0" w:color="auto"/>
            <w:right w:val="none" w:sz="0" w:space="0" w:color="auto"/>
          </w:divBdr>
          <w:divsChild>
            <w:div w:id="1062410673">
              <w:marLeft w:val="0"/>
              <w:marRight w:val="0"/>
              <w:marTop w:val="0"/>
              <w:marBottom w:val="0"/>
              <w:divBdr>
                <w:top w:val="none" w:sz="0" w:space="0" w:color="auto"/>
                <w:left w:val="none" w:sz="0" w:space="0" w:color="auto"/>
                <w:bottom w:val="none" w:sz="0" w:space="0" w:color="auto"/>
                <w:right w:val="none" w:sz="0" w:space="0" w:color="auto"/>
              </w:divBdr>
            </w:div>
            <w:div w:id="683290987">
              <w:marLeft w:val="0"/>
              <w:marRight w:val="0"/>
              <w:marTop w:val="0"/>
              <w:marBottom w:val="0"/>
              <w:divBdr>
                <w:top w:val="none" w:sz="0" w:space="0" w:color="auto"/>
                <w:left w:val="none" w:sz="0" w:space="0" w:color="auto"/>
                <w:bottom w:val="none" w:sz="0" w:space="0" w:color="auto"/>
                <w:right w:val="none" w:sz="0" w:space="0" w:color="auto"/>
              </w:divBdr>
            </w:div>
            <w:div w:id="1832719812">
              <w:marLeft w:val="0"/>
              <w:marRight w:val="0"/>
              <w:marTop w:val="0"/>
              <w:marBottom w:val="0"/>
              <w:divBdr>
                <w:top w:val="none" w:sz="0" w:space="0" w:color="auto"/>
                <w:left w:val="none" w:sz="0" w:space="0" w:color="auto"/>
                <w:bottom w:val="none" w:sz="0" w:space="0" w:color="auto"/>
                <w:right w:val="none" w:sz="0" w:space="0" w:color="auto"/>
              </w:divBdr>
            </w:div>
            <w:div w:id="27415372">
              <w:marLeft w:val="0"/>
              <w:marRight w:val="0"/>
              <w:marTop w:val="0"/>
              <w:marBottom w:val="0"/>
              <w:divBdr>
                <w:top w:val="none" w:sz="0" w:space="0" w:color="auto"/>
                <w:left w:val="none" w:sz="0" w:space="0" w:color="auto"/>
                <w:bottom w:val="none" w:sz="0" w:space="0" w:color="auto"/>
                <w:right w:val="none" w:sz="0" w:space="0" w:color="auto"/>
              </w:divBdr>
            </w:div>
            <w:div w:id="630936214">
              <w:marLeft w:val="0"/>
              <w:marRight w:val="0"/>
              <w:marTop w:val="0"/>
              <w:marBottom w:val="0"/>
              <w:divBdr>
                <w:top w:val="none" w:sz="0" w:space="0" w:color="auto"/>
                <w:left w:val="none" w:sz="0" w:space="0" w:color="auto"/>
                <w:bottom w:val="none" w:sz="0" w:space="0" w:color="auto"/>
                <w:right w:val="none" w:sz="0" w:space="0" w:color="auto"/>
              </w:divBdr>
            </w:div>
            <w:div w:id="1357386840">
              <w:marLeft w:val="0"/>
              <w:marRight w:val="0"/>
              <w:marTop w:val="0"/>
              <w:marBottom w:val="0"/>
              <w:divBdr>
                <w:top w:val="none" w:sz="0" w:space="0" w:color="auto"/>
                <w:left w:val="none" w:sz="0" w:space="0" w:color="auto"/>
                <w:bottom w:val="none" w:sz="0" w:space="0" w:color="auto"/>
                <w:right w:val="none" w:sz="0" w:space="0" w:color="auto"/>
              </w:divBdr>
              <w:divsChild>
                <w:div w:id="1938514087">
                  <w:marLeft w:val="0"/>
                  <w:marRight w:val="0"/>
                  <w:marTop w:val="0"/>
                  <w:marBottom w:val="0"/>
                  <w:divBdr>
                    <w:top w:val="none" w:sz="0" w:space="0" w:color="auto"/>
                    <w:left w:val="none" w:sz="0" w:space="0" w:color="auto"/>
                    <w:bottom w:val="none" w:sz="0" w:space="0" w:color="auto"/>
                    <w:right w:val="none" w:sz="0" w:space="0" w:color="auto"/>
                  </w:divBdr>
                </w:div>
                <w:div w:id="27222877">
                  <w:marLeft w:val="0"/>
                  <w:marRight w:val="0"/>
                  <w:marTop w:val="0"/>
                  <w:marBottom w:val="0"/>
                  <w:divBdr>
                    <w:top w:val="none" w:sz="0" w:space="0" w:color="auto"/>
                    <w:left w:val="none" w:sz="0" w:space="0" w:color="auto"/>
                    <w:bottom w:val="none" w:sz="0" w:space="0" w:color="auto"/>
                    <w:right w:val="none" w:sz="0" w:space="0" w:color="auto"/>
                  </w:divBdr>
                </w:div>
                <w:div w:id="483281970">
                  <w:marLeft w:val="0"/>
                  <w:marRight w:val="0"/>
                  <w:marTop w:val="0"/>
                  <w:marBottom w:val="0"/>
                  <w:divBdr>
                    <w:top w:val="none" w:sz="0" w:space="0" w:color="auto"/>
                    <w:left w:val="none" w:sz="0" w:space="0" w:color="auto"/>
                    <w:bottom w:val="none" w:sz="0" w:space="0" w:color="auto"/>
                    <w:right w:val="none" w:sz="0" w:space="0" w:color="auto"/>
                  </w:divBdr>
                </w:div>
                <w:div w:id="1158156648">
                  <w:marLeft w:val="0"/>
                  <w:marRight w:val="0"/>
                  <w:marTop w:val="0"/>
                  <w:marBottom w:val="0"/>
                  <w:divBdr>
                    <w:top w:val="none" w:sz="0" w:space="0" w:color="auto"/>
                    <w:left w:val="none" w:sz="0" w:space="0" w:color="auto"/>
                    <w:bottom w:val="none" w:sz="0" w:space="0" w:color="auto"/>
                    <w:right w:val="none" w:sz="0" w:space="0" w:color="auto"/>
                  </w:divBdr>
                </w:div>
              </w:divsChild>
            </w:div>
            <w:div w:id="181942298">
              <w:marLeft w:val="0"/>
              <w:marRight w:val="0"/>
              <w:marTop w:val="0"/>
              <w:marBottom w:val="0"/>
              <w:divBdr>
                <w:top w:val="none" w:sz="0" w:space="0" w:color="auto"/>
                <w:left w:val="none" w:sz="0" w:space="0" w:color="auto"/>
                <w:bottom w:val="none" w:sz="0" w:space="0" w:color="auto"/>
                <w:right w:val="none" w:sz="0" w:space="0" w:color="auto"/>
              </w:divBdr>
            </w:div>
            <w:div w:id="1350107497">
              <w:marLeft w:val="0"/>
              <w:marRight w:val="0"/>
              <w:marTop w:val="0"/>
              <w:marBottom w:val="0"/>
              <w:divBdr>
                <w:top w:val="none" w:sz="0" w:space="0" w:color="auto"/>
                <w:left w:val="none" w:sz="0" w:space="0" w:color="auto"/>
                <w:bottom w:val="none" w:sz="0" w:space="0" w:color="auto"/>
                <w:right w:val="none" w:sz="0" w:space="0" w:color="auto"/>
              </w:divBdr>
            </w:div>
            <w:div w:id="601954298">
              <w:marLeft w:val="0"/>
              <w:marRight w:val="0"/>
              <w:marTop w:val="0"/>
              <w:marBottom w:val="0"/>
              <w:divBdr>
                <w:top w:val="none" w:sz="0" w:space="0" w:color="auto"/>
                <w:left w:val="none" w:sz="0" w:space="0" w:color="auto"/>
                <w:bottom w:val="none" w:sz="0" w:space="0" w:color="auto"/>
                <w:right w:val="none" w:sz="0" w:space="0" w:color="auto"/>
              </w:divBdr>
            </w:div>
            <w:div w:id="1396660513">
              <w:marLeft w:val="0"/>
              <w:marRight w:val="0"/>
              <w:marTop w:val="0"/>
              <w:marBottom w:val="0"/>
              <w:divBdr>
                <w:top w:val="none" w:sz="0" w:space="0" w:color="auto"/>
                <w:left w:val="none" w:sz="0" w:space="0" w:color="auto"/>
                <w:bottom w:val="none" w:sz="0" w:space="0" w:color="auto"/>
                <w:right w:val="none" w:sz="0" w:space="0" w:color="auto"/>
              </w:divBdr>
            </w:div>
            <w:div w:id="1877279287">
              <w:marLeft w:val="0"/>
              <w:marRight w:val="0"/>
              <w:marTop w:val="0"/>
              <w:marBottom w:val="0"/>
              <w:divBdr>
                <w:top w:val="none" w:sz="0" w:space="0" w:color="auto"/>
                <w:left w:val="none" w:sz="0" w:space="0" w:color="auto"/>
                <w:bottom w:val="none" w:sz="0" w:space="0" w:color="auto"/>
                <w:right w:val="none" w:sz="0" w:space="0" w:color="auto"/>
              </w:divBdr>
            </w:div>
            <w:div w:id="1899977189">
              <w:marLeft w:val="0"/>
              <w:marRight w:val="0"/>
              <w:marTop w:val="0"/>
              <w:marBottom w:val="0"/>
              <w:divBdr>
                <w:top w:val="none" w:sz="0" w:space="0" w:color="auto"/>
                <w:left w:val="none" w:sz="0" w:space="0" w:color="auto"/>
                <w:bottom w:val="none" w:sz="0" w:space="0" w:color="auto"/>
                <w:right w:val="none" w:sz="0" w:space="0" w:color="auto"/>
              </w:divBdr>
            </w:div>
            <w:div w:id="1142114687">
              <w:marLeft w:val="0"/>
              <w:marRight w:val="0"/>
              <w:marTop w:val="0"/>
              <w:marBottom w:val="0"/>
              <w:divBdr>
                <w:top w:val="none" w:sz="0" w:space="0" w:color="auto"/>
                <w:left w:val="none" w:sz="0" w:space="0" w:color="auto"/>
                <w:bottom w:val="none" w:sz="0" w:space="0" w:color="auto"/>
                <w:right w:val="none" w:sz="0" w:space="0" w:color="auto"/>
              </w:divBdr>
            </w:div>
            <w:div w:id="839663202">
              <w:marLeft w:val="0"/>
              <w:marRight w:val="0"/>
              <w:marTop w:val="0"/>
              <w:marBottom w:val="0"/>
              <w:divBdr>
                <w:top w:val="none" w:sz="0" w:space="0" w:color="auto"/>
                <w:left w:val="none" w:sz="0" w:space="0" w:color="auto"/>
                <w:bottom w:val="none" w:sz="0" w:space="0" w:color="auto"/>
                <w:right w:val="none" w:sz="0" w:space="0" w:color="auto"/>
              </w:divBdr>
            </w:div>
            <w:div w:id="1628048410">
              <w:marLeft w:val="0"/>
              <w:marRight w:val="0"/>
              <w:marTop w:val="0"/>
              <w:marBottom w:val="0"/>
              <w:divBdr>
                <w:top w:val="none" w:sz="0" w:space="0" w:color="auto"/>
                <w:left w:val="none" w:sz="0" w:space="0" w:color="auto"/>
                <w:bottom w:val="none" w:sz="0" w:space="0" w:color="auto"/>
                <w:right w:val="none" w:sz="0" w:space="0" w:color="auto"/>
              </w:divBdr>
            </w:div>
          </w:divsChild>
        </w:div>
        <w:div w:id="282031811">
          <w:marLeft w:val="0"/>
          <w:marRight w:val="0"/>
          <w:marTop w:val="0"/>
          <w:marBottom w:val="0"/>
          <w:divBdr>
            <w:top w:val="none" w:sz="0" w:space="0" w:color="auto"/>
            <w:left w:val="none" w:sz="0" w:space="0" w:color="auto"/>
            <w:bottom w:val="none" w:sz="0" w:space="0" w:color="auto"/>
            <w:right w:val="none" w:sz="0" w:space="0" w:color="auto"/>
          </w:divBdr>
          <w:divsChild>
            <w:div w:id="1971353634">
              <w:marLeft w:val="0"/>
              <w:marRight w:val="0"/>
              <w:marTop w:val="0"/>
              <w:marBottom w:val="0"/>
              <w:divBdr>
                <w:top w:val="none" w:sz="0" w:space="0" w:color="auto"/>
                <w:left w:val="none" w:sz="0" w:space="0" w:color="auto"/>
                <w:bottom w:val="none" w:sz="0" w:space="0" w:color="auto"/>
                <w:right w:val="none" w:sz="0" w:space="0" w:color="auto"/>
              </w:divBdr>
            </w:div>
            <w:div w:id="1791707520">
              <w:marLeft w:val="0"/>
              <w:marRight w:val="0"/>
              <w:marTop w:val="0"/>
              <w:marBottom w:val="0"/>
              <w:divBdr>
                <w:top w:val="none" w:sz="0" w:space="0" w:color="auto"/>
                <w:left w:val="none" w:sz="0" w:space="0" w:color="auto"/>
                <w:bottom w:val="none" w:sz="0" w:space="0" w:color="auto"/>
                <w:right w:val="none" w:sz="0" w:space="0" w:color="auto"/>
              </w:divBdr>
            </w:div>
            <w:div w:id="1062799999">
              <w:marLeft w:val="0"/>
              <w:marRight w:val="0"/>
              <w:marTop w:val="0"/>
              <w:marBottom w:val="0"/>
              <w:divBdr>
                <w:top w:val="none" w:sz="0" w:space="0" w:color="auto"/>
                <w:left w:val="none" w:sz="0" w:space="0" w:color="auto"/>
                <w:bottom w:val="none" w:sz="0" w:space="0" w:color="auto"/>
                <w:right w:val="none" w:sz="0" w:space="0" w:color="auto"/>
              </w:divBdr>
            </w:div>
            <w:div w:id="1001130052">
              <w:marLeft w:val="0"/>
              <w:marRight w:val="0"/>
              <w:marTop w:val="0"/>
              <w:marBottom w:val="0"/>
              <w:divBdr>
                <w:top w:val="none" w:sz="0" w:space="0" w:color="auto"/>
                <w:left w:val="none" w:sz="0" w:space="0" w:color="auto"/>
                <w:bottom w:val="none" w:sz="0" w:space="0" w:color="auto"/>
                <w:right w:val="none" w:sz="0" w:space="0" w:color="auto"/>
              </w:divBdr>
            </w:div>
            <w:div w:id="469396404">
              <w:marLeft w:val="0"/>
              <w:marRight w:val="0"/>
              <w:marTop w:val="0"/>
              <w:marBottom w:val="0"/>
              <w:divBdr>
                <w:top w:val="none" w:sz="0" w:space="0" w:color="auto"/>
                <w:left w:val="none" w:sz="0" w:space="0" w:color="auto"/>
                <w:bottom w:val="none" w:sz="0" w:space="0" w:color="auto"/>
                <w:right w:val="none" w:sz="0" w:space="0" w:color="auto"/>
              </w:divBdr>
            </w:div>
            <w:div w:id="277756918">
              <w:marLeft w:val="0"/>
              <w:marRight w:val="0"/>
              <w:marTop w:val="0"/>
              <w:marBottom w:val="0"/>
              <w:divBdr>
                <w:top w:val="none" w:sz="0" w:space="0" w:color="auto"/>
                <w:left w:val="none" w:sz="0" w:space="0" w:color="auto"/>
                <w:bottom w:val="none" w:sz="0" w:space="0" w:color="auto"/>
                <w:right w:val="none" w:sz="0" w:space="0" w:color="auto"/>
              </w:divBdr>
            </w:div>
            <w:div w:id="1477989893">
              <w:marLeft w:val="0"/>
              <w:marRight w:val="0"/>
              <w:marTop w:val="0"/>
              <w:marBottom w:val="0"/>
              <w:divBdr>
                <w:top w:val="none" w:sz="0" w:space="0" w:color="auto"/>
                <w:left w:val="none" w:sz="0" w:space="0" w:color="auto"/>
                <w:bottom w:val="none" w:sz="0" w:space="0" w:color="auto"/>
                <w:right w:val="none" w:sz="0" w:space="0" w:color="auto"/>
              </w:divBdr>
            </w:div>
            <w:div w:id="524440492">
              <w:marLeft w:val="0"/>
              <w:marRight w:val="0"/>
              <w:marTop w:val="0"/>
              <w:marBottom w:val="0"/>
              <w:divBdr>
                <w:top w:val="none" w:sz="0" w:space="0" w:color="auto"/>
                <w:left w:val="none" w:sz="0" w:space="0" w:color="auto"/>
                <w:bottom w:val="none" w:sz="0" w:space="0" w:color="auto"/>
                <w:right w:val="none" w:sz="0" w:space="0" w:color="auto"/>
              </w:divBdr>
            </w:div>
          </w:divsChild>
        </w:div>
        <w:div w:id="1409500558">
          <w:marLeft w:val="0"/>
          <w:marRight w:val="0"/>
          <w:marTop w:val="0"/>
          <w:marBottom w:val="0"/>
          <w:divBdr>
            <w:top w:val="none" w:sz="0" w:space="0" w:color="auto"/>
            <w:left w:val="none" w:sz="0" w:space="0" w:color="auto"/>
            <w:bottom w:val="none" w:sz="0" w:space="0" w:color="auto"/>
            <w:right w:val="none" w:sz="0" w:space="0" w:color="auto"/>
          </w:divBdr>
          <w:divsChild>
            <w:div w:id="1182402838">
              <w:marLeft w:val="0"/>
              <w:marRight w:val="0"/>
              <w:marTop w:val="0"/>
              <w:marBottom w:val="0"/>
              <w:divBdr>
                <w:top w:val="none" w:sz="0" w:space="0" w:color="auto"/>
                <w:left w:val="none" w:sz="0" w:space="0" w:color="auto"/>
                <w:bottom w:val="none" w:sz="0" w:space="0" w:color="auto"/>
                <w:right w:val="none" w:sz="0" w:space="0" w:color="auto"/>
              </w:divBdr>
            </w:div>
            <w:div w:id="569312152">
              <w:marLeft w:val="0"/>
              <w:marRight w:val="0"/>
              <w:marTop w:val="0"/>
              <w:marBottom w:val="0"/>
              <w:divBdr>
                <w:top w:val="none" w:sz="0" w:space="0" w:color="auto"/>
                <w:left w:val="none" w:sz="0" w:space="0" w:color="auto"/>
                <w:bottom w:val="none" w:sz="0" w:space="0" w:color="auto"/>
                <w:right w:val="none" w:sz="0" w:space="0" w:color="auto"/>
              </w:divBdr>
            </w:div>
            <w:div w:id="1655910691">
              <w:marLeft w:val="0"/>
              <w:marRight w:val="0"/>
              <w:marTop w:val="0"/>
              <w:marBottom w:val="0"/>
              <w:divBdr>
                <w:top w:val="none" w:sz="0" w:space="0" w:color="auto"/>
                <w:left w:val="none" w:sz="0" w:space="0" w:color="auto"/>
                <w:bottom w:val="none" w:sz="0" w:space="0" w:color="auto"/>
                <w:right w:val="none" w:sz="0" w:space="0" w:color="auto"/>
              </w:divBdr>
            </w:div>
            <w:div w:id="290984081">
              <w:marLeft w:val="0"/>
              <w:marRight w:val="0"/>
              <w:marTop w:val="0"/>
              <w:marBottom w:val="0"/>
              <w:divBdr>
                <w:top w:val="none" w:sz="0" w:space="0" w:color="auto"/>
                <w:left w:val="none" w:sz="0" w:space="0" w:color="auto"/>
                <w:bottom w:val="none" w:sz="0" w:space="0" w:color="auto"/>
                <w:right w:val="none" w:sz="0" w:space="0" w:color="auto"/>
              </w:divBdr>
            </w:div>
            <w:div w:id="305866271">
              <w:marLeft w:val="0"/>
              <w:marRight w:val="0"/>
              <w:marTop w:val="0"/>
              <w:marBottom w:val="0"/>
              <w:divBdr>
                <w:top w:val="none" w:sz="0" w:space="0" w:color="auto"/>
                <w:left w:val="none" w:sz="0" w:space="0" w:color="auto"/>
                <w:bottom w:val="none" w:sz="0" w:space="0" w:color="auto"/>
                <w:right w:val="none" w:sz="0" w:space="0" w:color="auto"/>
              </w:divBdr>
            </w:div>
            <w:div w:id="2102603130">
              <w:marLeft w:val="0"/>
              <w:marRight w:val="0"/>
              <w:marTop w:val="0"/>
              <w:marBottom w:val="0"/>
              <w:divBdr>
                <w:top w:val="none" w:sz="0" w:space="0" w:color="auto"/>
                <w:left w:val="none" w:sz="0" w:space="0" w:color="auto"/>
                <w:bottom w:val="none" w:sz="0" w:space="0" w:color="auto"/>
                <w:right w:val="none" w:sz="0" w:space="0" w:color="auto"/>
              </w:divBdr>
            </w:div>
            <w:div w:id="700520592">
              <w:marLeft w:val="0"/>
              <w:marRight w:val="0"/>
              <w:marTop w:val="0"/>
              <w:marBottom w:val="0"/>
              <w:divBdr>
                <w:top w:val="none" w:sz="0" w:space="0" w:color="auto"/>
                <w:left w:val="none" w:sz="0" w:space="0" w:color="auto"/>
                <w:bottom w:val="none" w:sz="0" w:space="0" w:color="auto"/>
                <w:right w:val="none" w:sz="0" w:space="0" w:color="auto"/>
              </w:divBdr>
            </w:div>
            <w:div w:id="1385985538">
              <w:marLeft w:val="0"/>
              <w:marRight w:val="0"/>
              <w:marTop w:val="0"/>
              <w:marBottom w:val="0"/>
              <w:divBdr>
                <w:top w:val="none" w:sz="0" w:space="0" w:color="auto"/>
                <w:left w:val="none" w:sz="0" w:space="0" w:color="auto"/>
                <w:bottom w:val="none" w:sz="0" w:space="0" w:color="auto"/>
                <w:right w:val="none" w:sz="0" w:space="0" w:color="auto"/>
              </w:divBdr>
            </w:div>
            <w:div w:id="333267248">
              <w:marLeft w:val="0"/>
              <w:marRight w:val="0"/>
              <w:marTop w:val="0"/>
              <w:marBottom w:val="0"/>
              <w:divBdr>
                <w:top w:val="none" w:sz="0" w:space="0" w:color="auto"/>
                <w:left w:val="none" w:sz="0" w:space="0" w:color="auto"/>
                <w:bottom w:val="none" w:sz="0" w:space="0" w:color="auto"/>
                <w:right w:val="none" w:sz="0" w:space="0" w:color="auto"/>
              </w:divBdr>
              <w:divsChild>
                <w:div w:id="1269435196">
                  <w:marLeft w:val="0"/>
                  <w:marRight w:val="0"/>
                  <w:marTop w:val="0"/>
                  <w:marBottom w:val="0"/>
                  <w:divBdr>
                    <w:top w:val="none" w:sz="0" w:space="0" w:color="auto"/>
                    <w:left w:val="none" w:sz="0" w:space="0" w:color="auto"/>
                    <w:bottom w:val="none" w:sz="0" w:space="0" w:color="auto"/>
                    <w:right w:val="none" w:sz="0" w:space="0" w:color="auto"/>
                  </w:divBdr>
                </w:div>
                <w:div w:id="2093579528">
                  <w:marLeft w:val="0"/>
                  <w:marRight w:val="0"/>
                  <w:marTop w:val="0"/>
                  <w:marBottom w:val="0"/>
                  <w:divBdr>
                    <w:top w:val="none" w:sz="0" w:space="0" w:color="auto"/>
                    <w:left w:val="none" w:sz="0" w:space="0" w:color="auto"/>
                    <w:bottom w:val="none" w:sz="0" w:space="0" w:color="auto"/>
                    <w:right w:val="none" w:sz="0" w:space="0" w:color="auto"/>
                  </w:divBdr>
                </w:div>
                <w:div w:id="1057586562">
                  <w:marLeft w:val="0"/>
                  <w:marRight w:val="0"/>
                  <w:marTop w:val="0"/>
                  <w:marBottom w:val="0"/>
                  <w:divBdr>
                    <w:top w:val="none" w:sz="0" w:space="0" w:color="auto"/>
                    <w:left w:val="none" w:sz="0" w:space="0" w:color="auto"/>
                    <w:bottom w:val="none" w:sz="0" w:space="0" w:color="auto"/>
                    <w:right w:val="none" w:sz="0" w:space="0" w:color="auto"/>
                  </w:divBdr>
                </w:div>
              </w:divsChild>
            </w:div>
            <w:div w:id="1940333465">
              <w:marLeft w:val="0"/>
              <w:marRight w:val="0"/>
              <w:marTop w:val="0"/>
              <w:marBottom w:val="0"/>
              <w:divBdr>
                <w:top w:val="none" w:sz="0" w:space="0" w:color="auto"/>
                <w:left w:val="none" w:sz="0" w:space="0" w:color="auto"/>
                <w:bottom w:val="none" w:sz="0" w:space="0" w:color="auto"/>
                <w:right w:val="none" w:sz="0" w:space="0" w:color="auto"/>
              </w:divBdr>
            </w:div>
            <w:div w:id="777337984">
              <w:marLeft w:val="0"/>
              <w:marRight w:val="0"/>
              <w:marTop w:val="0"/>
              <w:marBottom w:val="0"/>
              <w:divBdr>
                <w:top w:val="none" w:sz="0" w:space="0" w:color="auto"/>
                <w:left w:val="none" w:sz="0" w:space="0" w:color="auto"/>
                <w:bottom w:val="none" w:sz="0" w:space="0" w:color="auto"/>
                <w:right w:val="none" w:sz="0" w:space="0" w:color="auto"/>
              </w:divBdr>
            </w:div>
            <w:div w:id="490799441">
              <w:marLeft w:val="0"/>
              <w:marRight w:val="0"/>
              <w:marTop w:val="0"/>
              <w:marBottom w:val="0"/>
              <w:divBdr>
                <w:top w:val="none" w:sz="0" w:space="0" w:color="auto"/>
                <w:left w:val="none" w:sz="0" w:space="0" w:color="auto"/>
                <w:bottom w:val="none" w:sz="0" w:space="0" w:color="auto"/>
                <w:right w:val="none" w:sz="0" w:space="0" w:color="auto"/>
              </w:divBdr>
            </w:div>
            <w:div w:id="155996101">
              <w:marLeft w:val="0"/>
              <w:marRight w:val="0"/>
              <w:marTop w:val="0"/>
              <w:marBottom w:val="0"/>
              <w:divBdr>
                <w:top w:val="none" w:sz="0" w:space="0" w:color="auto"/>
                <w:left w:val="none" w:sz="0" w:space="0" w:color="auto"/>
                <w:bottom w:val="none" w:sz="0" w:space="0" w:color="auto"/>
                <w:right w:val="none" w:sz="0" w:space="0" w:color="auto"/>
              </w:divBdr>
            </w:div>
            <w:div w:id="1789083754">
              <w:marLeft w:val="0"/>
              <w:marRight w:val="0"/>
              <w:marTop w:val="0"/>
              <w:marBottom w:val="0"/>
              <w:divBdr>
                <w:top w:val="none" w:sz="0" w:space="0" w:color="auto"/>
                <w:left w:val="none" w:sz="0" w:space="0" w:color="auto"/>
                <w:bottom w:val="none" w:sz="0" w:space="0" w:color="auto"/>
                <w:right w:val="none" w:sz="0" w:space="0" w:color="auto"/>
              </w:divBdr>
            </w:div>
            <w:div w:id="839006345">
              <w:marLeft w:val="0"/>
              <w:marRight w:val="0"/>
              <w:marTop w:val="0"/>
              <w:marBottom w:val="0"/>
              <w:divBdr>
                <w:top w:val="none" w:sz="0" w:space="0" w:color="auto"/>
                <w:left w:val="none" w:sz="0" w:space="0" w:color="auto"/>
                <w:bottom w:val="none" w:sz="0" w:space="0" w:color="auto"/>
                <w:right w:val="none" w:sz="0" w:space="0" w:color="auto"/>
              </w:divBdr>
            </w:div>
            <w:div w:id="162286763">
              <w:marLeft w:val="0"/>
              <w:marRight w:val="0"/>
              <w:marTop w:val="0"/>
              <w:marBottom w:val="0"/>
              <w:divBdr>
                <w:top w:val="none" w:sz="0" w:space="0" w:color="auto"/>
                <w:left w:val="none" w:sz="0" w:space="0" w:color="auto"/>
                <w:bottom w:val="none" w:sz="0" w:space="0" w:color="auto"/>
                <w:right w:val="none" w:sz="0" w:space="0" w:color="auto"/>
              </w:divBdr>
            </w:div>
            <w:div w:id="1567376584">
              <w:marLeft w:val="0"/>
              <w:marRight w:val="0"/>
              <w:marTop w:val="0"/>
              <w:marBottom w:val="0"/>
              <w:divBdr>
                <w:top w:val="none" w:sz="0" w:space="0" w:color="auto"/>
                <w:left w:val="none" w:sz="0" w:space="0" w:color="auto"/>
                <w:bottom w:val="none" w:sz="0" w:space="0" w:color="auto"/>
                <w:right w:val="none" w:sz="0" w:space="0" w:color="auto"/>
              </w:divBdr>
            </w:div>
            <w:div w:id="1555697961">
              <w:marLeft w:val="0"/>
              <w:marRight w:val="0"/>
              <w:marTop w:val="0"/>
              <w:marBottom w:val="0"/>
              <w:divBdr>
                <w:top w:val="none" w:sz="0" w:space="0" w:color="auto"/>
                <w:left w:val="none" w:sz="0" w:space="0" w:color="auto"/>
                <w:bottom w:val="none" w:sz="0" w:space="0" w:color="auto"/>
                <w:right w:val="none" w:sz="0" w:space="0" w:color="auto"/>
              </w:divBdr>
              <w:divsChild>
                <w:div w:id="1230966640">
                  <w:marLeft w:val="0"/>
                  <w:marRight w:val="0"/>
                  <w:marTop w:val="0"/>
                  <w:marBottom w:val="0"/>
                  <w:divBdr>
                    <w:top w:val="none" w:sz="0" w:space="0" w:color="auto"/>
                    <w:left w:val="none" w:sz="0" w:space="0" w:color="auto"/>
                    <w:bottom w:val="none" w:sz="0" w:space="0" w:color="auto"/>
                    <w:right w:val="none" w:sz="0" w:space="0" w:color="auto"/>
                  </w:divBdr>
                </w:div>
                <w:div w:id="1487353849">
                  <w:marLeft w:val="0"/>
                  <w:marRight w:val="0"/>
                  <w:marTop w:val="0"/>
                  <w:marBottom w:val="0"/>
                  <w:divBdr>
                    <w:top w:val="none" w:sz="0" w:space="0" w:color="auto"/>
                    <w:left w:val="none" w:sz="0" w:space="0" w:color="auto"/>
                    <w:bottom w:val="none" w:sz="0" w:space="0" w:color="auto"/>
                    <w:right w:val="none" w:sz="0" w:space="0" w:color="auto"/>
                  </w:divBdr>
                </w:div>
                <w:div w:id="1889610931">
                  <w:marLeft w:val="0"/>
                  <w:marRight w:val="0"/>
                  <w:marTop w:val="0"/>
                  <w:marBottom w:val="0"/>
                  <w:divBdr>
                    <w:top w:val="none" w:sz="0" w:space="0" w:color="auto"/>
                    <w:left w:val="none" w:sz="0" w:space="0" w:color="auto"/>
                    <w:bottom w:val="none" w:sz="0" w:space="0" w:color="auto"/>
                    <w:right w:val="none" w:sz="0" w:space="0" w:color="auto"/>
                  </w:divBdr>
                </w:div>
                <w:div w:id="1861622809">
                  <w:marLeft w:val="0"/>
                  <w:marRight w:val="0"/>
                  <w:marTop w:val="0"/>
                  <w:marBottom w:val="0"/>
                  <w:divBdr>
                    <w:top w:val="none" w:sz="0" w:space="0" w:color="auto"/>
                    <w:left w:val="none" w:sz="0" w:space="0" w:color="auto"/>
                    <w:bottom w:val="none" w:sz="0" w:space="0" w:color="auto"/>
                    <w:right w:val="none" w:sz="0" w:space="0" w:color="auto"/>
                  </w:divBdr>
                </w:div>
                <w:div w:id="143814941">
                  <w:marLeft w:val="0"/>
                  <w:marRight w:val="0"/>
                  <w:marTop w:val="0"/>
                  <w:marBottom w:val="0"/>
                  <w:divBdr>
                    <w:top w:val="none" w:sz="0" w:space="0" w:color="auto"/>
                    <w:left w:val="none" w:sz="0" w:space="0" w:color="auto"/>
                    <w:bottom w:val="none" w:sz="0" w:space="0" w:color="auto"/>
                    <w:right w:val="none" w:sz="0" w:space="0" w:color="auto"/>
                  </w:divBdr>
                </w:div>
                <w:div w:id="335379244">
                  <w:marLeft w:val="0"/>
                  <w:marRight w:val="0"/>
                  <w:marTop w:val="0"/>
                  <w:marBottom w:val="0"/>
                  <w:divBdr>
                    <w:top w:val="none" w:sz="0" w:space="0" w:color="auto"/>
                    <w:left w:val="none" w:sz="0" w:space="0" w:color="auto"/>
                    <w:bottom w:val="none" w:sz="0" w:space="0" w:color="auto"/>
                    <w:right w:val="none" w:sz="0" w:space="0" w:color="auto"/>
                  </w:divBdr>
                </w:div>
                <w:div w:id="1747723196">
                  <w:marLeft w:val="0"/>
                  <w:marRight w:val="0"/>
                  <w:marTop w:val="0"/>
                  <w:marBottom w:val="0"/>
                  <w:divBdr>
                    <w:top w:val="none" w:sz="0" w:space="0" w:color="auto"/>
                    <w:left w:val="none" w:sz="0" w:space="0" w:color="auto"/>
                    <w:bottom w:val="none" w:sz="0" w:space="0" w:color="auto"/>
                    <w:right w:val="none" w:sz="0" w:space="0" w:color="auto"/>
                  </w:divBdr>
                </w:div>
                <w:div w:id="1873959198">
                  <w:marLeft w:val="0"/>
                  <w:marRight w:val="0"/>
                  <w:marTop w:val="0"/>
                  <w:marBottom w:val="0"/>
                  <w:divBdr>
                    <w:top w:val="none" w:sz="0" w:space="0" w:color="auto"/>
                    <w:left w:val="none" w:sz="0" w:space="0" w:color="auto"/>
                    <w:bottom w:val="none" w:sz="0" w:space="0" w:color="auto"/>
                    <w:right w:val="none" w:sz="0" w:space="0" w:color="auto"/>
                  </w:divBdr>
                </w:div>
                <w:div w:id="1950627499">
                  <w:marLeft w:val="0"/>
                  <w:marRight w:val="0"/>
                  <w:marTop w:val="0"/>
                  <w:marBottom w:val="0"/>
                  <w:divBdr>
                    <w:top w:val="none" w:sz="0" w:space="0" w:color="auto"/>
                    <w:left w:val="none" w:sz="0" w:space="0" w:color="auto"/>
                    <w:bottom w:val="none" w:sz="0" w:space="0" w:color="auto"/>
                    <w:right w:val="none" w:sz="0" w:space="0" w:color="auto"/>
                  </w:divBdr>
                </w:div>
              </w:divsChild>
            </w:div>
            <w:div w:id="1533808747">
              <w:marLeft w:val="0"/>
              <w:marRight w:val="0"/>
              <w:marTop w:val="0"/>
              <w:marBottom w:val="0"/>
              <w:divBdr>
                <w:top w:val="none" w:sz="0" w:space="0" w:color="auto"/>
                <w:left w:val="none" w:sz="0" w:space="0" w:color="auto"/>
                <w:bottom w:val="none" w:sz="0" w:space="0" w:color="auto"/>
                <w:right w:val="none" w:sz="0" w:space="0" w:color="auto"/>
              </w:divBdr>
            </w:div>
            <w:div w:id="1428308347">
              <w:marLeft w:val="0"/>
              <w:marRight w:val="0"/>
              <w:marTop w:val="0"/>
              <w:marBottom w:val="0"/>
              <w:divBdr>
                <w:top w:val="none" w:sz="0" w:space="0" w:color="auto"/>
                <w:left w:val="none" w:sz="0" w:space="0" w:color="auto"/>
                <w:bottom w:val="none" w:sz="0" w:space="0" w:color="auto"/>
                <w:right w:val="none" w:sz="0" w:space="0" w:color="auto"/>
              </w:divBdr>
            </w:div>
            <w:div w:id="572543563">
              <w:marLeft w:val="0"/>
              <w:marRight w:val="0"/>
              <w:marTop w:val="0"/>
              <w:marBottom w:val="0"/>
              <w:divBdr>
                <w:top w:val="none" w:sz="0" w:space="0" w:color="auto"/>
                <w:left w:val="none" w:sz="0" w:space="0" w:color="auto"/>
                <w:bottom w:val="none" w:sz="0" w:space="0" w:color="auto"/>
                <w:right w:val="none" w:sz="0" w:space="0" w:color="auto"/>
              </w:divBdr>
            </w:div>
            <w:div w:id="732823592">
              <w:marLeft w:val="0"/>
              <w:marRight w:val="0"/>
              <w:marTop w:val="0"/>
              <w:marBottom w:val="0"/>
              <w:divBdr>
                <w:top w:val="none" w:sz="0" w:space="0" w:color="auto"/>
                <w:left w:val="none" w:sz="0" w:space="0" w:color="auto"/>
                <w:bottom w:val="none" w:sz="0" w:space="0" w:color="auto"/>
                <w:right w:val="none" w:sz="0" w:space="0" w:color="auto"/>
              </w:divBdr>
            </w:div>
            <w:div w:id="417795767">
              <w:marLeft w:val="0"/>
              <w:marRight w:val="0"/>
              <w:marTop w:val="0"/>
              <w:marBottom w:val="0"/>
              <w:divBdr>
                <w:top w:val="none" w:sz="0" w:space="0" w:color="auto"/>
                <w:left w:val="none" w:sz="0" w:space="0" w:color="auto"/>
                <w:bottom w:val="none" w:sz="0" w:space="0" w:color="auto"/>
                <w:right w:val="none" w:sz="0" w:space="0" w:color="auto"/>
              </w:divBdr>
            </w:div>
            <w:div w:id="397478367">
              <w:marLeft w:val="0"/>
              <w:marRight w:val="0"/>
              <w:marTop w:val="0"/>
              <w:marBottom w:val="0"/>
              <w:divBdr>
                <w:top w:val="none" w:sz="0" w:space="0" w:color="auto"/>
                <w:left w:val="none" w:sz="0" w:space="0" w:color="auto"/>
                <w:bottom w:val="none" w:sz="0" w:space="0" w:color="auto"/>
                <w:right w:val="none" w:sz="0" w:space="0" w:color="auto"/>
              </w:divBdr>
            </w:div>
            <w:div w:id="1033312241">
              <w:marLeft w:val="0"/>
              <w:marRight w:val="0"/>
              <w:marTop w:val="0"/>
              <w:marBottom w:val="0"/>
              <w:divBdr>
                <w:top w:val="none" w:sz="0" w:space="0" w:color="auto"/>
                <w:left w:val="none" w:sz="0" w:space="0" w:color="auto"/>
                <w:bottom w:val="none" w:sz="0" w:space="0" w:color="auto"/>
                <w:right w:val="none" w:sz="0" w:space="0" w:color="auto"/>
              </w:divBdr>
            </w:div>
            <w:div w:id="43061491">
              <w:marLeft w:val="0"/>
              <w:marRight w:val="0"/>
              <w:marTop w:val="0"/>
              <w:marBottom w:val="0"/>
              <w:divBdr>
                <w:top w:val="none" w:sz="0" w:space="0" w:color="auto"/>
                <w:left w:val="none" w:sz="0" w:space="0" w:color="auto"/>
                <w:bottom w:val="none" w:sz="0" w:space="0" w:color="auto"/>
                <w:right w:val="none" w:sz="0" w:space="0" w:color="auto"/>
              </w:divBdr>
            </w:div>
            <w:div w:id="1189216291">
              <w:marLeft w:val="0"/>
              <w:marRight w:val="0"/>
              <w:marTop w:val="0"/>
              <w:marBottom w:val="0"/>
              <w:divBdr>
                <w:top w:val="none" w:sz="0" w:space="0" w:color="auto"/>
                <w:left w:val="none" w:sz="0" w:space="0" w:color="auto"/>
                <w:bottom w:val="none" w:sz="0" w:space="0" w:color="auto"/>
                <w:right w:val="none" w:sz="0" w:space="0" w:color="auto"/>
              </w:divBdr>
            </w:div>
            <w:div w:id="900674347">
              <w:marLeft w:val="0"/>
              <w:marRight w:val="0"/>
              <w:marTop w:val="0"/>
              <w:marBottom w:val="0"/>
              <w:divBdr>
                <w:top w:val="none" w:sz="0" w:space="0" w:color="auto"/>
                <w:left w:val="none" w:sz="0" w:space="0" w:color="auto"/>
                <w:bottom w:val="none" w:sz="0" w:space="0" w:color="auto"/>
                <w:right w:val="none" w:sz="0" w:space="0" w:color="auto"/>
              </w:divBdr>
            </w:div>
            <w:div w:id="283316175">
              <w:marLeft w:val="0"/>
              <w:marRight w:val="0"/>
              <w:marTop w:val="0"/>
              <w:marBottom w:val="0"/>
              <w:divBdr>
                <w:top w:val="none" w:sz="0" w:space="0" w:color="auto"/>
                <w:left w:val="none" w:sz="0" w:space="0" w:color="auto"/>
                <w:bottom w:val="none" w:sz="0" w:space="0" w:color="auto"/>
                <w:right w:val="none" w:sz="0" w:space="0" w:color="auto"/>
              </w:divBdr>
            </w:div>
            <w:div w:id="1936017303">
              <w:marLeft w:val="0"/>
              <w:marRight w:val="0"/>
              <w:marTop w:val="0"/>
              <w:marBottom w:val="0"/>
              <w:divBdr>
                <w:top w:val="none" w:sz="0" w:space="0" w:color="auto"/>
                <w:left w:val="none" w:sz="0" w:space="0" w:color="auto"/>
                <w:bottom w:val="none" w:sz="0" w:space="0" w:color="auto"/>
                <w:right w:val="none" w:sz="0" w:space="0" w:color="auto"/>
              </w:divBdr>
            </w:div>
            <w:div w:id="258832300">
              <w:marLeft w:val="0"/>
              <w:marRight w:val="0"/>
              <w:marTop w:val="0"/>
              <w:marBottom w:val="0"/>
              <w:divBdr>
                <w:top w:val="none" w:sz="0" w:space="0" w:color="auto"/>
                <w:left w:val="none" w:sz="0" w:space="0" w:color="auto"/>
                <w:bottom w:val="none" w:sz="0" w:space="0" w:color="auto"/>
                <w:right w:val="none" w:sz="0" w:space="0" w:color="auto"/>
              </w:divBdr>
            </w:div>
            <w:div w:id="521357088">
              <w:marLeft w:val="0"/>
              <w:marRight w:val="0"/>
              <w:marTop w:val="0"/>
              <w:marBottom w:val="0"/>
              <w:divBdr>
                <w:top w:val="none" w:sz="0" w:space="0" w:color="auto"/>
                <w:left w:val="none" w:sz="0" w:space="0" w:color="auto"/>
                <w:bottom w:val="none" w:sz="0" w:space="0" w:color="auto"/>
                <w:right w:val="none" w:sz="0" w:space="0" w:color="auto"/>
              </w:divBdr>
            </w:div>
            <w:div w:id="1147821475">
              <w:marLeft w:val="0"/>
              <w:marRight w:val="0"/>
              <w:marTop w:val="0"/>
              <w:marBottom w:val="0"/>
              <w:divBdr>
                <w:top w:val="none" w:sz="0" w:space="0" w:color="auto"/>
                <w:left w:val="none" w:sz="0" w:space="0" w:color="auto"/>
                <w:bottom w:val="none" w:sz="0" w:space="0" w:color="auto"/>
                <w:right w:val="none" w:sz="0" w:space="0" w:color="auto"/>
              </w:divBdr>
            </w:div>
            <w:div w:id="178503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449855">
      <w:bodyDiv w:val="1"/>
      <w:marLeft w:val="0"/>
      <w:marRight w:val="0"/>
      <w:marTop w:val="0"/>
      <w:marBottom w:val="0"/>
      <w:divBdr>
        <w:top w:val="none" w:sz="0" w:space="0" w:color="auto"/>
        <w:left w:val="none" w:sz="0" w:space="0" w:color="auto"/>
        <w:bottom w:val="none" w:sz="0" w:space="0" w:color="auto"/>
        <w:right w:val="none" w:sz="0" w:space="0" w:color="auto"/>
      </w:divBdr>
      <w:divsChild>
        <w:div w:id="732003754">
          <w:marLeft w:val="0"/>
          <w:marRight w:val="0"/>
          <w:marTop w:val="0"/>
          <w:marBottom w:val="0"/>
          <w:divBdr>
            <w:top w:val="none" w:sz="0" w:space="0" w:color="auto"/>
            <w:left w:val="none" w:sz="0" w:space="0" w:color="auto"/>
            <w:bottom w:val="none" w:sz="0" w:space="0" w:color="auto"/>
            <w:right w:val="none" w:sz="0" w:space="0" w:color="auto"/>
          </w:divBdr>
        </w:div>
        <w:div w:id="513151762">
          <w:marLeft w:val="0"/>
          <w:marRight w:val="0"/>
          <w:marTop w:val="0"/>
          <w:marBottom w:val="0"/>
          <w:divBdr>
            <w:top w:val="none" w:sz="0" w:space="0" w:color="auto"/>
            <w:left w:val="none" w:sz="0" w:space="0" w:color="auto"/>
            <w:bottom w:val="none" w:sz="0" w:space="0" w:color="auto"/>
            <w:right w:val="none" w:sz="0" w:space="0" w:color="auto"/>
          </w:divBdr>
        </w:div>
        <w:div w:id="546339156">
          <w:marLeft w:val="0"/>
          <w:marRight w:val="0"/>
          <w:marTop w:val="0"/>
          <w:marBottom w:val="0"/>
          <w:divBdr>
            <w:top w:val="none" w:sz="0" w:space="0" w:color="auto"/>
            <w:left w:val="none" w:sz="0" w:space="0" w:color="auto"/>
            <w:bottom w:val="none" w:sz="0" w:space="0" w:color="auto"/>
            <w:right w:val="none" w:sz="0" w:space="0" w:color="auto"/>
          </w:divBdr>
        </w:div>
        <w:div w:id="1147550398">
          <w:marLeft w:val="0"/>
          <w:marRight w:val="0"/>
          <w:marTop w:val="0"/>
          <w:marBottom w:val="0"/>
          <w:divBdr>
            <w:top w:val="none" w:sz="0" w:space="0" w:color="auto"/>
            <w:left w:val="none" w:sz="0" w:space="0" w:color="auto"/>
            <w:bottom w:val="none" w:sz="0" w:space="0" w:color="auto"/>
            <w:right w:val="none" w:sz="0" w:space="0" w:color="auto"/>
          </w:divBdr>
        </w:div>
        <w:div w:id="802120738">
          <w:marLeft w:val="0"/>
          <w:marRight w:val="0"/>
          <w:marTop w:val="0"/>
          <w:marBottom w:val="0"/>
          <w:divBdr>
            <w:top w:val="none" w:sz="0" w:space="0" w:color="auto"/>
            <w:left w:val="none" w:sz="0" w:space="0" w:color="auto"/>
            <w:bottom w:val="none" w:sz="0" w:space="0" w:color="auto"/>
            <w:right w:val="none" w:sz="0" w:space="0" w:color="auto"/>
          </w:divBdr>
        </w:div>
        <w:div w:id="354700501">
          <w:marLeft w:val="0"/>
          <w:marRight w:val="0"/>
          <w:marTop w:val="0"/>
          <w:marBottom w:val="0"/>
          <w:divBdr>
            <w:top w:val="none" w:sz="0" w:space="0" w:color="auto"/>
            <w:left w:val="none" w:sz="0" w:space="0" w:color="auto"/>
            <w:bottom w:val="none" w:sz="0" w:space="0" w:color="auto"/>
            <w:right w:val="none" w:sz="0" w:space="0" w:color="auto"/>
          </w:divBdr>
        </w:div>
        <w:div w:id="703793795">
          <w:marLeft w:val="0"/>
          <w:marRight w:val="0"/>
          <w:marTop w:val="0"/>
          <w:marBottom w:val="0"/>
          <w:divBdr>
            <w:top w:val="none" w:sz="0" w:space="0" w:color="auto"/>
            <w:left w:val="none" w:sz="0" w:space="0" w:color="auto"/>
            <w:bottom w:val="none" w:sz="0" w:space="0" w:color="auto"/>
            <w:right w:val="none" w:sz="0" w:space="0" w:color="auto"/>
          </w:divBdr>
        </w:div>
        <w:div w:id="1104423545">
          <w:marLeft w:val="0"/>
          <w:marRight w:val="0"/>
          <w:marTop w:val="0"/>
          <w:marBottom w:val="0"/>
          <w:divBdr>
            <w:top w:val="none" w:sz="0" w:space="0" w:color="auto"/>
            <w:left w:val="none" w:sz="0" w:space="0" w:color="auto"/>
            <w:bottom w:val="none" w:sz="0" w:space="0" w:color="auto"/>
            <w:right w:val="none" w:sz="0" w:space="0" w:color="auto"/>
          </w:divBdr>
        </w:div>
        <w:div w:id="2057699516">
          <w:marLeft w:val="0"/>
          <w:marRight w:val="0"/>
          <w:marTop w:val="0"/>
          <w:marBottom w:val="0"/>
          <w:divBdr>
            <w:top w:val="none" w:sz="0" w:space="0" w:color="auto"/>
            <w:left w:val="none" w:sz="0" w:space="0" w:color="auto"/>
            <w:bottom w:val="none" w:sz="0" w:space="0" w:color="auto"/>
            <w:right w:val="none" w:sz="0" w:space="0" w:color="auto"/>
          </w:divBdr>
        </w:div>
        <w:div w:id="14239125">
          <w:marLeft w:val="0"/>
          <w:marRight w:val="0"/>
          <w:marTop w:val="0"/>
          <w:marBottom w:val="0"/>
          <w:divBdr>
            <w:top w:val="none" w:sz="0" w:space="0" w:color="auto"/>
            <w:left w:val="none" w:sz="0" w:space="0" w:color="auto"/>
            <w:bottom w:val="none" w:sz="0" w:space="0" w:color="auto"/>
            <w:right w:val="none" w:sz="0" w:space="0" w:color="auto"/>
          </w:divBdr>
          <w:divsChild>
            <w:div w:id="963459020">
              <w:marLeft w:val="0"/>
              <w:marRight w:val="0"/>
              <w:marTop w:val="0"/>
              <w:marBottom w:val="0"/>
              <w:divBdr>
                <w:top w:val="none" w:sz="0" w:space="0" w:color="auto"/>
                <w:left w:val="none" w:sz="0" w:space="0" w:color="auto"/>
                <w:bottom w:val="none" w:sz="0" w:space="0" w:color="auto"/>
                <w:right w:val="none" w:sz="0" w:space="0" w:color="auto"/>
              </w:divBdr>
            </w:div>
            <w:div w:id="669646869">
              <w:marLeft w:val="0"/>
              <w:marRight w:val="0"/>
              <w:marTop w:val="0"/>
              <w:marBottom w:val="0"/>
              <w:divBdr>
                <w:top w:val="none" w:sz="0" w:space="0" w:color="auto"/>
                <w:left w:val="none" w:sz="0" w:space="0" w:color="auto"/>
                <w:bottom w:val="none" w:sz="0" w:space="0" w:color="auto"/>
                <w:right w:val="none" w:sz="0" w:space="0" w:color="auto"/>
              </w:divBdr>
            </w:div>
            <w:div w:id="1007828168">
              <w:marLeft w:val="0"/>
              <w:marRight w:val="0"/>
              <w:marTop w:val="0"/>
              <w:marBottom w:val="0"/>
              <w:divBdr>
                <w:top w:val="none" w:sz="0" w:space="0" w:color="auto"/>
                <w:left w:val="none" w:sz="0" w:space="0" w:color="auto"/>
                <w:bottom w:val="none" w:sz="0" w:space="0" w:color="auto"/>
                <w:right w:val="none" w:sz="0" w:space="0" w:color="auto"/>
              </w:divBdr>
            </w:div>
            <w:div w:id="1495678323">
              <w:marLeft w:val="0"/>
              <w:marRight w:val="0"/>
              <w:marTop w:val="0"/>
              <w:marBottom w:val="0"/>
              <w:divBdr>
                <w:top w:val="none" w:sz="0" w:space="0" w:color="auto"/>
                <w:left w:val="none" w:sz="0" w:space="0" w:color="auto"/>
                <w:bottom w:val="none" w:sz="0" w:space="0" w:color="auto"/>
                <w:right w:val="none" w:sz="0" w:space="0" w:color="auto"/>
              </w:divBdr>
            </w:div>
            <w:div w:id="281885993">
              <w:marLeft w:val="0"/>
              <w:marRight w:val="0"/>
              <w:marTop w:val="0"/>
              <w:marBottom w:val="0"/>
              <w:divBdr>
                <w:top w:val="none" w:sz="0" w:space="0" w:color="auto"/>
                <w:left w:val="none" w:sz="0" w:space="0" w:color="auto"/>
                <w:bottom w:val="none" w:sz="0" w:space="0" w:color="auto"/>
                <w:right w:val="none" w:sz="0" w:space="0" w:color="auto"/>
              </w:divBdr>
            </w:div>
            <w:div w:id="1686515225">
              <w:marLeft w:val="0"/>
              <w:marRight w:val="0"/>
              <w:marTop w:val="0"/>
              <w:marBottom w:val="0"/>
              <w:divBdr>
                <w:top w:val="none" w:sz="0" w:space="0" w:color="auto"/>
                <w:left w:val="none" w:sz="0" w:space="0" w:color="auto"/>
                <w:bottom w:val="none" w:sz="0" w:space="0" w:color="auto"/>
                <w:right w:val="none" w:sz="0" w:space="0" w:color="auto"/>
              </w:divBdr>
            </w:div>
            <w:div w:id="372584072">
              <w:marLeft w:val="0"/>
              <w:marRight w:val="0"/>
              <w:marTop w:val="0"/>
              <w:marBottom w:val="0"/>
              <w:divBdr>
                <w:top w:val="none" w:sz="0" w:space="0" w:color="auto"/>
                <w:left w:val="none" w:sz="0" w:space="0" w:color="auto"/>
                <w:bottom w:val="none" w:sz="0" w:space="0" w:color="auto"/>
                <w:right w:val="none" w:sz="0" w:space="0" w:color="auto"/>
              </w:divBdr>
            </w:div>
            <w:div w:id="483090712">
              <w:marLeft w:val="0"/>
              <w:marRight w:val="0"/>
              <w:marTop w:val="0"/>
              <w:marBottom w:val="0"/>
              <w:divBdr>
                <w:top w:val="none" w:sz="0" w:space="0" w:color="auto"/>
                <w:left w:val="none" w:sz="0" w:space="0" w:color="auto"/>
                <w:bottom w:val="none" w:sz="0" w:space="0" w:color="auto"/>
                <w:right w:val="none" w:sz="0" w:space="0" w:color="auto"/>
              </w:divBdr>
            </w:div>
            <w:div w:id="1907954694">
              <w:marLeft w:val="0"/>
              <w:marRight w:val="0"/>
              <w:marTop w:val="0"/>
              <w:marBottom w:val="0"/>
              <w:divBdr>
                <w:top w:val="none" w:sz="0" w:space="0" w:color="auto"/>
                <w:left w:val="none" w:sz="0" w:space="0" w:color="auto"/>
                <w:bottom w:val="none" w:sz="0" w:space="0" w:color="auto"/>
                <w:right w:val="none" w:sz="0" w:space="0" w:color="auto"/>
              </w:divBdr>
            </w:div>
            <w:div w:id="1200707897">
              <w:marLeft w:val="0"/>
              <w:marRight w:val="0"/>
              <w:marTop w:val="0"/>
              <w:marBottom w:val="0"/>
              <w:divBdr>
                <w:top w:val="none" w:sz="0" w:space="0" w:color="auto"/>
                <w:left w:val="none" w:sz="0" w:space="0" w:color="auto"/>
                <w:bottom w:val="none" w:sz="0" w:space="0" w:color="auto"/>
                <w:right w:val="none" w:sz="0" w:space="0" w:color="auto"/>
              </w:divBdr>
            </w:div>
            <w:div w:id="186069040">
              <w:marLeft w:val="0"/>
              <w:marRight w:val="0"/>
              <w:marTop w:val="0"/>
              <w:marBottom w:val="0"/>
              <w:divBdr>
                <w:top w:val="none" w:sz="0" w:space="0" w:color="auto"/>
                <w:left w:val="none" w:sz="0" w:space="0" w:color="auto"/>
                <w:bottom w:val="none" w:sz="0" w:space="0" w:color="auto"/>
                <w:right w:val="none" w:sz="0" w:space="0" w:color="auto"/>
              </w:divBdr>
            </w:div>
            <w:div w:id="928999837">
              <w:marLeft w:val="0"/>
              <w:marRight w:val="0"/>
              <w:marTop w:val="0"/>
              <w:marBottom w:val="0"/>
              <w:divBdr>
                <w:top w:val="none" w:sz="0" w:space="0" w:color="auto"/>
                <w:left w:val="none" w:sz="0" w:space="0" w:color="auto"/>
                <w:bottom w:val="none" w:sz="0" w:space="0" w:color="auto"/>
                <w:right w:val="none" w:sz="0" w:space="0" w:color="auto"/>
              </w:divBdr>
            </w:div>
            <w:div w:id="1597785149">
              <w:marLeft w:val="0"/>
              <w:marRight w:val="0"/>
              <w:marTop w:val="0"/>
              <w:marBottom w:val="0"/>
              <w:divBdr>
                <w:top w:val="none" w:sz="0" w:space="0" w:color="auto"/>
                <w:left w:val="none" w:sz="0" w:space="0" w:color="auto"/>
                <w:bottom w:val="none" w:sz="0" w:space="0" w:color="auto"/>
                <w:right w:val="none" w:sz="0" w:space="0" w:color="auto"/>
              </w:divBdr>
            </w:div>
            <w:div w:id="70275348">
              <w:marLeft w:val="0"/>
              <w:marRight w:val="0"/>
              <w:marTop w:val="0"/>
              <w:marBottom w:val="0"/>
              <w:divBdr>
                <w:top w:val="none" w:sz="0" w:space="0" w:color="auto"/>
                <w:left w:val="none" w:sz="0" w:space="0" w:color="auto"/>
                <w:bottom w:val="none" w:sz="0" w:space="0" w:color="auto"/>
                <w:right w:val="none" w:sz="0" w:space="0" w:color="auto"/>
              </w:divBdr>
            </w:div>
            <w:div w:id="245506649">
              <w:marLeft w:val="0"/>
              <w:marRight w:val="0"/>
              <w:marTop w:val="0"/>
              <w:marBottom w:val="0"/>
              <w:divBdr>
                <w:top w:val="none" w:sz="0" w:space="0" w:color="auto"/>
                <w:left w:val="none" w:sz="0" w:space="0" w:color="auto"/>
                <w:bottom w:val="none" w:sz="0" w:space="0" w:color="auto"/>
                <w:right w:val="none" w:sz="0" w:space="0" w:color="auto"/>
              </w:divBdr>
            </w:div>
            <w:div w:id="1370186558">
              <w:marLeft w:val="0"/>
              <w:marRight w:val="0"/>
              <w:marTop w:val="0"/>
              <w:marBottom w:val="0"/>
              <w:divBdr>
                <w:top w:val="none" w:sz="0" w:space="0" w:color="auto"/>
                <w:left w:val="none" w:sz="0" w:space="0" w:color="auto"/>
                <w:bottom w:val="none" w:sz="0" w:space="0" w:color="auto"/>
                <w:right w:val="none" w:sz="0" w:space="0" w:color="auto"/>
              </w:divBdr>
            </w:div>
            <w:div w:id="1442916099">
              <w:marLeft w:val="0"/>
              <w:marRight w:val="0"/>
              <w:marTop w:val="0"/>
              <w:marBottom w:val="0"/>
              <w:divBdr>
                <w:top w:val="none" w:sz="0" w:space="0" w:color="auto"/>
                <w:left w:val="none" w:sz="0" w:space="0" w:color="auto"/>
                <w:bottom w:val="none" w:sz="0" w:space="0" w:color="auto"/>
                <w:right w:val="none" w:sz="0" w:space="0" w:color="auto"/>
              </w:divBdr>
            </w:div>
            <w:div w:id="769086886">
              <w:marLeft w:val="0"/>
              <w:marRight w:val="0"/>
              <w:marTop w:val="0"/>
              <w:marBottom w:val="0"/>
              <w:divBdr>
                <w:top w:val="none" w:sz="0" w:space="0" w:color="auto"/>
                <w:left w:val="none" w:sz="0" w:space="0" w:color="auto"/>
                <w:bottom w:val="none" w:sz="0" w:space="0" w:color="auto"/>
                <w:right w:val="none" w:sz="0" w:space="0" w:color="auto"/>
              </w:divBdr>
            </w:div>
            <w:div w:id="1903711282">
              <w:marLeft w:val="0"/>
              <w:marRight w:val="0"/>
              <w:marTop w:val="0"/>
              <w:marBottom w:val="0"/>
              <w:divBdr>
                <w:top w:val="none" w:sz="0" w:space="0" w:color="auto"/>
                <w:left w:val="none" w:sz="0" w:space="0" w:color="auto"/>
                <w:bottom w:val="none" w:sz="0" w:space="0" w:color="auto"/>
                <w:right w:val="none" w:sz="0" w:space="0" w:color="auto"/>
              </w:divBdr>
            </w:div>
            <w:div w:id="280264080">
              <w:marLeft w:val="0"/>
              <w:marRight w:val="0"/>
              <w:marTop w:val="0"/>
              <w:marBottom w:val="0"/>
              <w:divBdr>
                <w:top w:val="none" w:sz="0" w:space="0" w:color="auto"/>
                <w:left w:val="none" w:sz="0" w:space="0" w:color="auto"/>
                <w:bottom w:val="none" w:sz="0" w:space="0" w:color="auto"/>
                <w:right w:val="none" w:sz="0" w:space="0" w:color="auto"/>
              </w:divBdr>
            </w:div>
            <w:div w:id="952903626">
              <w:marLeft w:val="0"/>
              <w:marRight w:val="0"/>
              <w:marTop w:val="0"/>
              <w:marBottom w:val="0"/>
              <w:divBdr>
                <w:top w:val="none" w:sz="0" w:space="0" w:color="auto"/>
                <w:left w:val="none" w:sz="0" w:space="0" w:color="auto"/>
                <w:bottom w:val="none" w:sz="0" w:space="0" w:color="auto"/>
                <w:right w:val="none" w:sz="0" w:space="0" w:color="auto"/>
              </w:divBdr>
            </w:div>
            <w:div w:id="105656894">
              <w:marLeft w:val="0"/>
              <w:marRight w:val="0"/>
              <w:marTop w:val="0"/>
              <w:marBottom w:val="0"/>
              <w:divBdr>
                <w:top w:val="none" w:sz="0" w:space="0" w:color="auto"/>
                <w:left w:val="none" w:sz="0" w:space="0" w:color="auto"/>
                <w:bottom w:val="none" w:sz="0" w:space="0" w:color="auto"/>
                <w:right w:val="none" w:sz="0" w:space="0" w:color="auto"/>
              </w:divBdr>
            </w:div>
            <w:div w:id="210189748">
              <w:marLeft w:val="0"/>
              <w:marRight w:val="0"/>
              <w:marTop w:val="0"/>
              <w:marBottom w:val="0"/>
              <w:divBdr>
                <w:top w:val="none" w:sz="0" w:space="0" w:color="auto"/>
                <w:left w:val="none" w:sz="0" w:space="0" w:color="auto"/>
                <w:bottom w:val="none" w:sz="0" w:space="0" w:color="auto"/>
                <w:right w:val="none" w:sz="0" w:space="0" w:color="auto"/>
              </w:divBdr>
            </w:div>
            <w:div w:id="1025593757">
              <w:marLeft w:val="0"/>
              <w:marRight w:val="0"/>
              <w:marTop w:val="0"/>
              <w:marBottom w:val="0"/>
              <w:divBdr>
                <w:top w:val="none" w:sz="0" w:space="0" w:color="auto"/>
                <w:left w:val="none" w:sz="0" w:space="0" w:color="auto"/>
                <w:bottom w:val="none" w:sz="0" w:space="0" w:color="auto"/>
                <w:right w:val="none" w:sz="0" w:space="0" w:color="auto"/>
              </w:divBdr>
            </w:div>
            <w:div w:id="141701092">
              <w:marLeft w:val="0"/>
              <w:marRight w:val="0"/>
              <w:marTop w:val="0"/>
              <w:marBottom w:val="0"/>
              <w:divBdr>
                <w:top w:val="none" w:sz="0" w:space="0" w:color="auto"/>
                <w:left w:val="none" w:sz="0" w:space="0" w:color="auto"/>
                <w:bottom w:val="none" w:sz="0" w:space="0" w:color="auto"/>
                <w:right w:val="none" w:sz="0" w:space="0" w:color="auto"/>
              </w:divBdr>
            </w:div>
            <w:div w:id="1411272491">
              <w:marLeft w:val="0"/>
              <w:marRight w:val="0"/>
              <w:marTop w:val="0"/>
              <w:marBottom w:val="0"/>
              <w:divBdr>
                <w:top w:val="none" w:sz="0" w:space="0" w:color="auto"/>
                <w:left w:val="none" w:sz="0" w:space="0" w:color="auto"/>
                <w:bottom w:val="none" w:sz="0" w:space="0" w:color="auto"/>
                <w:right w:val="none" w:sz="0" w:space="0" w:color="auto"/>
              </w:divBdr>
            </w:div>
            <w:div w:id="1236696565">
              <w:marLeft w:val="0"/>
              <w:marRight w:val="0"/>
              <w:marTop w:val="0"/>
              <w:marBottom w:val="0"/>
              <w:divBdr>
                <w:top w:val="none" w:sz="0" w:space="0" w:color="auto"/>
                <w:left w:val="none" w:sz="0" w:space="0" w:color="auto"/>
                <w:bottom w:val="none" w:sz="0" w:space="0" w:color="auto"/>
                <w:right w:val="none" w:sz="0" w:space="0" w:color="auto"/>
              </w:divBdr>
            </w:div>
            <w:div w:id="1222137961">
              <w:marLeft w:val="0"/>
              <w:marRight w:val="0"/>
              <w:marTop w:val="0"/>
              <w:marBottom w:val="0"/>
              <w:divBdr>
                <w:top w:val="none" w:sz="0" w:space="0" w:color="auto"/>
                <w:left w:val="none" w:sz="0" w:space="0" w:color="auto"/>
                <w:bottom w:val="none" w:sz="0" w:space="0" w:color="auto"/>
                <w:right w:val="none" w:sz="0" w:space="0" w:color="auto"/>
              </w:divBdr>
            </w:div>
            <w:div w:id="1170870793">
              <w:marLeft w:val="0"/>
              <w:marRight w:val="0"/>
              <w:marTop w:val="0"/>
              <w:marBottom w:val="0"/>
              <w:divBdr>
                <w:top w:val="none" w:sz="0" w:space="0" w:color="auto"/>
                <w:left w:val="none" w:sz="0" w:space="0" w:color="auto"/>
                <w:bottom w:val="none" w:sz="0" w:space="0" w:color="auto"/>
                <w:right w:val="none" w:sz="0" w:space="0" w:color="auto"/>
              </w:divBdr>
            </w:div>
            <w:div w:id="1776753737">
              <w:marLeft w:val="0"/>
              <w:marRight w:val="0"/>
              <w:marTop w:val="0"/>
              <w:marBottom w:val="0"/>
              <w:divBdr>
                <w:top w:val="none" w:sz="0" w:space="0" w:color="auto"/>
                <w:left w:val="none" w:sz="0" w:space="0" w:color="auto"/>
                <w:bottom w:val="none" w:sz="0" w:space="0" w:color="auto"/>
                <w:right w:val="none" w:sz="0" w:space="0" w:color="auto"/>
              </w:divBdr>
            </w:div>
            <w:div w:id="585920285">
              <w:marLeft w:val="0"/>
              <w:marRight w:val="0"/>
              <w:marTop w:val="0"/>
              <w:marBottom w:val="0"/>
              <w:divBdr>
                <w:top w:val="none" w:sz="0" w:space="0" w:color="auto"/>
                <w:left w:val="none" w:sz="0" w:space="0" w:color="auto"/>
                <w:bottom w:val="none" w:sz="0" w:space="0" w:color="auto"/>
                <w:right w:val="none" w:sz="0" w:space="0" w:color="auto"/>
              </w:divBdr>
            </w:div>
            <w:div w:id="1553928848">
              <w:marLeft w:val="0"/>
              <w:marRight w:val="0"/>
              <w:marTop w:val="0"/>
              <w:marBottom w:val="0"/>
              <w:divBdr>
                <w:top w:val="none" w:sz="0" w:space="0" w:color="auto"/>
                <w:left w:val="none" w:sz="0" w:space="0" w:color="auto"/>
                <w:bottom w:val="none" w:sz="0" w:space="0" w:color="auto"/>
                <w:right w:val="none" w:sz="0" w:space="0" w:color="auto"/>
              </w:divBdr>
            </w:div>
            <w:div w:id="1052467001">
              <w:marLeft w:val="0"/>
              <w:marRight w:val="0"/>
              <w:marTop w:val="0"/>
              <w:marBottom w:val="0"/>
              <w:divBdr>
                <w:top w:val="none" w:sz="0" w:space="0" w:color="auto"/>
                <w:left w:val="none" w:sz="0" w:space="0" w:color="auto"/>
                <w:bottom w:val="none" w:sz="0" w:space="0" w:color="auto"/>
                <w:right w:val="none" w:sz="0" w:space="0" w:color="auto"/>
              </w:divBdr>
            </w:div>
            <w:div w:id="1127823096">
              <w:marLeft w:val="0"/>
              <w:marRight w:val="0"/>
              <w:marTop w:val="0"/>
              <w:marBottom w:val="0"/>
              <w:divBdr>
                <w:top w:val="none" w:sz="0" w:space="0" w:color="auto"/>
                <w:left w:val="none" w:sz="0" w:space="0" w:color="auto"/>
                <w:bottom w:val="none" w:sz="0" w:space="0" w:color="auto"/>
                <w:right w:val="none" w:sz="0" w:space="0" w:color="auto"/>
              </w:divBdr>
            </w:div>
            <w:div w:id="1824618700">
              <w:marLeft w:val="0"/>
              <w:marRight w:val="0"/>
              <w:marTop w:val="0"/>
              <w:marBottom w:val="0"/>
              <w:divBdr>
                <w:top w:val="none" w:sz="0" w:space="0" w:color="auto"/>
                <w:left w:val="none" w:sz="0" w:space="0" w:color="auto"/>
                <w:bottom w:val="none" w:sz="0" w:space="0" w:color="auto"/>
                <w:right w:val="none" w:sz="0" w:space="0" w:color="auto"/>
              </w:divBdr>
            </w:div>
            <w:div w:id="1724283098">
              <w:marLeft w:val="0"/>
              <w:marRight w:val="0"/>
              <w:marTop w:val="0"/>
              <w:marBottom w:val="0"/>
              <w:divBdr>
                <w:top w:val="none" w:sz="0" w:space="0" w:color="auto"/>
                <w:left w:val="none" w:sz="0" w:space="0" w:color="auto"/>
                <w:bottom w:val="none" w:sz="0" w:space="0" w:color="auto"/>
                <w:right w:val="none" w:sz="0" w:space="0" w:color="auto"/>
              </w:divBdr>
            </w:div>
            <w:div w:id="1619488135">
              <w:marLeft w:val="0"/>
              <w:marRight w:val="0"/>
              <w:marTop w:val="0"/>
              <w:marBottom w:val="0"/>
              <w:divBdr>
                <w:top w:val="none" w:sz="0" w:space="0" w:color="auto"/>
                <w:left w:val="none" w:sz="0" w:space="0" w:color="auto"/>
                <w:bottom w:val="none" w:sz="0" w:space="0" w:color="auto"/>
                <w:right w:val="none" w:sz="0" w:space="0" w:color="auto"/>
              </w:divBdr>
            </w:div>
            <w:div w:id="46225737">
              <w:marLeft w:val="0"/>
              <w:marRight w:val="0"/>
              <w:marTop w:val="0"/>
              <w:marBottom w:val="0"/>
              <w:divBdr>
                <w:top w:val="none" w:sz="0" w:space="0" w:color="auto"/>
                <w:left w:val="none" w:sz="0" w:space="0" w:color="auto"/>
                <w:bottom w:val="none" w:sz="0" w:space="0" w:color="auto"/>
                <w:right w:val="none" w:sz="0" w:space="0" w:color="auto"/>
              </w:divBdr>
            </w:div>
            <w:div w:id="143917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5770">
      <w:bodyDiv w:val="1"/>
      <w:marLeft w:val="0"/>
      <w:marRight w:val="0"/>
      <w:marTop w:val="0"/>
      <w:marBottom w:val="0"/>
      <w:divBdr>
        <w:top w:val="none" w:sz="0" w:space="0" w:color="auto"/>
        <w:left w:val="none" w:sz="0" w:space="0" w:color="auto"/>
        <w:bottom w:val="none" w:sz="0" w:space="0" w:color="auto"/>
        <w:right w:val="none" w:sz="0" w:space="0" w:color="auto"/>
      </w:divBdr>
      <w:divsChild>
        <w:div w:id="117458988">
          <w:marLeft w:val="0"/>
          <w:marRight w:val="0"/>
          <w:marTop w:val="0"/>
          <w:marBottom w:val="0"/>
          <w:divBdr>
            <w:top w:val="none" w:sz="0" w:space="0" w:color="auto"/>
            <w:left w:val="none" w:sz="0" w:space="0" w:color="auto"/>
            <w:bottom w:val="none" w:sz="0" w:space="0" w:color="auto"/>
            <w:right w:val="none" w:sz="0" w:space="0" w:color="auto"/>
          </w:divBdr>
        </w:div>
        <w:div w:id="414859656">
          <w:marLeft w:val="0"/>
          <w:marRight w:val="0"/>
          <w:marTop w:val="0"/>
          <w:marBottom w:val="0"/>
          <w:divBdr>
            <w:top w:val="none" w:sz="0" w:space="0" w:color="auto"/>
            <w:left w:val="none" w:sz="0" w:space="0" w:color="auto"/>
            <w:bottom w:val="none" w:sz="0" w:space="0" w:color="auto"/>
            <w:right w:val="none" w:sz="0" w:space="0" w:color="auto"/>
          </w:divBdr>
          <w:divsChild>
            <w:div w:id="1865514360">
              <w:marLeft w:val="0"/>
              <w:marRight w:val="0"/>
              <w:marTop w:val="0"/>
              <w:marBottom w:val="0"/>
              <w:divBdr>
                <w:top w:val="none" w:sz="0" w:space="0" w:color="auto"/>
                <w:left w:val="none" w:sz="0" w:space="0" w:color="auto"/>
                <w:bottom w:val="none" w:sz="0" w:space="0" w:color="auto"/>
                <w:right w:val="none" w:sz="0" w:space="0" w:color="auto"/>
              </w:divBdr>
              <w:divsChild>
                <w:div w:id="159161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381095">
          <w:marLeft w:val="0"/>
          <w:marRight w:val="0"/>
          <w:marTop w:val="0"/>
          <w:marBottom w:val="0"/>
          <w:divBdr>
            <w:top w:val="none" w:sz="0" w:space="0" w:color="auto"/>
            <w:left w:val="none" w:sz="0" w:space="0" w:color="auto"/>
            <w:bottom w:val="none" w:sz="0" w:space="0" w:color="auto"/>
            <w:right w:val="none" w:sz="0" w:space="0" w:color="auto"/>
          </w:divBdr>
        </w:div>
        <w:div w:id="1609463692">
          <w:marLeft w:val="0"/>
          <w:marRight w:val="0"/>
          <w:marTop w:val="0"/>
          <w:marBottom w:val="0"/>
          <w:divBdr>
            <w:top w:val="none" w:sz="0" w:space="0" w:color="auto"/>
            <w:left w:val="none" w:sz="0" w:space="0" w:color="auto"/>
            <w:bottom w:val="none" w:sz="0" w:space="0" w:color="auto"/>
            <w:right w:val="none" w:sz="0" w:space="0" w:color="auto"/>
          </w:divBdr>
        </w:div>
        <w:div w:id="1654605422">
          <w:marLeft w:val="0"/>
          <w:marRight w:val="0"/>
          <w:marTop w:val="0"/>
          <w:marBottom w:val="0"/>
          <w:divBdr>
            <w:top w:val="none" w:sz="0" w:space="0" w:color="auto"/>
            <w:left w:val="none" w:sz="0" w:space="0" w:color="auto"/>
            <w:bottom w:val="none" w:sz="0" w:space="0" w:color="auto"/>
            <w:right w:val="none" w:sz="0" w:space="0" w:color="auto"/>
          </w:divBdr>
        </w:div>
        <w:div w:id="279411427">
          <w:marLeft w:val="0"/>
          <w:marRight w:val="0"/>
          <w:marTop w:val="0"/>
          <w:marBottom w:val="0"/>
          <w:divBdr>
            <w:top w:val="none" w:sz="0" w:space="0" w:color="auto"/>
            <w:left w:val="none" w:sz="0" w:space="0" w:color="auto"/>
            <w:bottom w:val="none" w:sz="0" w:space="0" w:color="auto"/>
            <w:right w:val="none" w:sz="0" w:space="0" w:color="auto"/>
          </w:divBdr>
        </w:div>
        <w:div w:id="2135638417">
          <w:marLeft w:val="0"/>
          <w:marRight w:val="0"/>
          <w:marTop w:val="0"/>
          <w:marBottom w:val="0"/>
          <w:divBdr>
            <w:top w:val="none" w:sz="0" w:space="0" w:color="auto"/>
            <w:left w:val="none" w:sz="0" w:space="0" w:color="auto"/>
            <w:bottom w:val="none" w:sz="0" w:space="0" w:color="auto"/>
            <w:right w:val="none" w:sz="0" w:space="0" w:color="auto"/>
          </w:divBdr>
        </w:div>
        <w:div w:id="2079746875">
          <w:marLeft w:val="0"/>
          <w:marRight w:val="0"/>
          <w:marTop w:val="0"/>
          <w:marBottom w:val="0"/>
          <w:divBdr>
            <w:top w:val="none" w:sz="0" w:space="0" w:color="auto"/>
            <w:left w:val="none" w:sz="0" w:space="0" w:color="auto"/>
            <w:bottom w:val="none" w:sz="0" w:space="0" w:color="auto"/>
            <w:right w:val="none" w:sz="0" w:space="0" w:color="auto"/>
          </w:divBdr>
        </w:div>
        <w:div w:id="1565874088">
          <w:marLeft w:val="0"/>
          <w:marRight w:val="0"/>
          <w:marTop w:val="0"/>
          <w:marBottom w:val="0"/>
          <w:divBdr>
            <w:top w:val="none" w:sz="0" w:space="0" w:color="auto"/>
            <w:left w:val="none" w:sz="0" w:space="0" w:color="auto"/>
            <w:bottom w:val="none" w:sz="0" w:space="0" w:color="auto"/>
            <w:right w:val="none" w:sz="0" w:space="0" w:color="auto"/>
          </w:divBdr>
        </w:div>
        <w:div w:id="1473863250">
          <w:marLeft w:val="0"/>
          <w:marRight w:val="0"/>
          <w:marTop w:val="0"/>
          <w:marBottom w:val="0"/>
          <w:divBdr>
            <w:top w:val="none" w:sz="0" w:space="0" w:color="auto"/>
            <w:left w:val="none" w:sz="0" w:space="0" w:color="auto"/>
            <w:bottom w:val="none" w:sz="0" w:space="0" w:color="auto"/>
            <w:right w:val="none" w:sz="0" w:space="0" w:color="auto"/>
          </w:divBdr>
        </w:div>
        <w:div w:id="571819110">
          <w:marLeft w:val="0"/>
          <w:marRight w:val="0"/>
          <w:marTop w:val="0"/>
          <w:marBottom w:val="0"/>
          <w:divBdr>
            <w:top w:val="none" w:sz="0" w:space="0" w:color="auto"/>
            <w:left w:val="none" w:sz="0" w:space="0" w:color="auto"/>
            <w:bottom w:val="none" w:sz="0" w:space="0" w:color="auto"/>
            <w:right w:val="none" w:sz="0" w:space="0" w:color="auto"/>
          </w:divBdr>
        </w:div>
        <w:div w:id="686755767">
          <w:marLeft w:val="0"/>
          <w:marRight w:val="0"/>
          <w:marTop w:val="0"/>
          <w:marBottom w:val="0"/>
          <w:divBdr>
            <w:top w:val="none" w:sz="0" w:space="0" w:color="auto"/>
            <w:left w:val="none" w:sz="0" w:space="0" w:color="auto"/>
            <w:bottom w:val="none" w:sz="0" w:space="0" w:color="auto"/>
            <w:right w:val="none" w:sz="0" w:space="0" w:color="auto"/>
          </w:divBdr>
        </w:div>
        <w:div w:id="1989675021">
          <w:marLeft w:val="0"/>
          <w:marRight w:val="0"/>
          <w:marTop w:val="0"/>
          <w:marBottom w:val="0"/>
          <w:divBdr>
            <w:top w:val="none" w:sz="0" w:space="0" w:color="auto"/>
            <w:left w:val="none" w:sz="0" w:space="0" w:color="auto"/>
            <w:bottom w:val="none" w:sz="0" w:space="0" w:color="auto"/>
            <w:right w:val="none" w:sz="0" w:space="0" w:color="auto"/>
          </w:divBdr>
        </w:div>
        <w:div w:id="2015496558">
          <w:marLeft w:val="0"/>
          <w:marRight w:val="0"/>
          <w:marTop w:val="0"/>
          <w:marBottom w:val="0"/>
          <w:divBdr>
            <w:top w:val="none" w:sz="0" w:space="0" w:color="auto"/>
            <w:left w:val="none" w:sz="0" w:space="0" w:color="auto"/>
            <w:bottom w:val="none" w:sz="0" w:space="0" w:color="auto"/>
            <w:right w:val="none" w:sz="0" w:space="0" w:color="auto"/>
          </w:divBdr>
        </w:div>
        <w:div w:id="1428499613">
          <w:marLeft w:val="0"/>
          <w:marRight w:val="0"/>
          <w:marTop w:val="0"/>
          <w:marBottom w:val="0"/>
          <w:divBdr>
            <w:top w:val="none" w:sz="0" w:space="0" w:color="auto"/>
            <w:left w:val="none" w:sz="0" w:space="0" w:color="auto"/>
            <w:bottom w:val="none" w:sz="0" w:space="0" w:color="auto"/>
            <w:right w:val="none" w:sz="0" w:space="0" w:color="auto"/>
          </w:divBdr>
        </w:div>
        <w:div w:id="660813396">
          <w:marLeft w:val="0"/>
          <w:marRight w:val="0"/>
          <w:marTop w:val="0"/>
          <w:marBottom w:val="0"/>
          <w:divBdr>
            <w:top w:val="none" w:sz="0" w:space="0" w:color="auto"/>
            <w:left w:val="none" w:sz="0" w:space="0" w:color="auto"/>
            <w:bottom w:val="none" w:sz="0" w:space="0" w:color="auto"/>
            <w:right w:val="none" w:sz="0" w:space="0" w:color="auto"/>
          </w:divBdr>
        </w:div>
        <w:div w:id="1067268821">
          <w:marLeft w:val="0"/>
          <w:marRight w:val="0"/>
          <w:marTop w:val="0"/>
          <w:marBottom w:val="0"/>
          <w:divBdr>
            <w:top w:val="none" w:sz="0" w:space="0" w:color="auto"/>
            <w:left w:val="none" w:sz="0" w:space="0" w:color="auto"/>
            <w:bottom w:val="none" w:sz="0" w:space="0" w:color="auto"/>
            <w:right w:val="none" w:sz="0" w:space="0" w:color="auto"/>
          </w:divBdr>
        </w:div>
        <w:div w:id="190843538">
          <w:marLeft w:val="0"/>
          <w:marRight w:val="0"/>
          <w:marTop w:val="0"/>
          <w:marBottom w:val="0"/>
          <w:divBdr>
            <w:top w:val="none" w:sz="0" w:space="0" w:color="auto"/>
            <w:left w:val="none" w:sz="0" w:space="0" w:color="auto"/>
            <w:bottom w:val="none" w:sz="0" w:space="0" w:color="auto"/>
            <w:right w:val="none" w:sz="0" w:space="0" w:color="auto"/>
          </w:divBdr>
        </w:div>
        <w:div w:id="199362484">
          <w:marLeft w:val="0"/>
          <w:marRight w:val="0"/>
          <w:marTop w:val="0"/>
          <w:marBottom w:val="0"/>
          <w:divBdr>
            <w:top w:val="none" w:sz="0" w:space="0" w:color="auto"/>
            <w:left w:val="none" w:sz="0" w:space="0" w:color="auto"/>
            <w:bottom w:val="none" w:sz="0" w:space="0" w:color="auto"/>
            <w:right w:val="none" w:sz="0" w:space="0" w:color="auto"/>
          </w:divBdr>
        </w:div>
        <w:div w:id="384255909">
          <w:marLeft w:val="0"/>
          <w:marRight w:val="0"/>
          <w:marTop w:val="0"/>
          <w:marBottom w:val="0"/>
          <w:divBdr>
            <w:top w:val="none" w:sz="0" w:space="0" w:color="auto"/>
            <w:left w:val="none" w:sz="0" w:space="0" w:color="auto"/>
            <w:bottom w:val="none" w:sz="0" w:space="0" w:color="auto"/>
            <w:right w:val="none" w:sz="0" w:space="0" w:color="auto"/>
          </w:divBdr>
        </w:div>
        <w:div w:id="304043846">
          <w:marLeft w:val="0"/>
          <w:marRight w:val="0"/>
          <w:marTop w:val="0"/>
          <w:marBottom w:val="0"/>
          <w:divBdr>
            <w:top w:val="none" w:sz="0" w:space="0" w:color="auto"/>
            <w:left w:val="none" w:sz="0" w:space="0" w:color="auto"/>
            <w:bottom w:val="none" w:sz="0" w:space="0" w:color="auto"/>
            <w:right w:val="none" w:sz="0" w:space="0" w:color="auto"/>
          </w:divBdr>
        </w:div>
        <w:div w:id="1210607160">
          <w:marLeft w:val="0"/>
          <w:marRight w:val="0"/>
          <w:marTop w:val="0"/>
          <w:marBottom w:val="0"/>
          <w:divBdr>
            <w:top w:val="none" w:sz="0" w:space="0" w:color="auto"/>
            <w:left w:val="none" w:sz="0" w:space="0" w:color="auto"/>
            <w:bottom w:val="none" w:sz="0" w:space="0" w:color="auto"/>
            <w:right w:val="none" w:sz="0" w:space="0" w:color="auto"/>
          </w:divBdr>
        </w:div>
        <w:div w:id="199905339">
          <w:marLeft w:val="0"/>
          <w:marRight w:val="0"/>
          <w:marTop w:val="0"/>
          <w:marBottom w:val="0"/>
          <w:divBdr>
            <w:top w:val="none" w:sz="0" w:space="0" w:color="auto"/>
            <w:left w:val="none" w:sz="0" w:space="0" w:color="auto"/>
            <w:bottom w:val="none" w:sz="0" w:space="0" w:color="auto"/>
            <w:right w:val="none" w:sz="0" w:space="0" w:color="auto"/>
          </w:divBdr>
          <w:divsChild>
            <w:div w:id="560211641">
              <w:marLeft w:val="0"/>
              <w:marRight w:val="0"/>
              <w:marTop w:val="0"/>
              <w:marBottom w:val="0"/>
              <w:divBdr>
                <w:top w:val="none" w:sz="0" w:space="0" w:color="auto"/>
                <w:left w:val="none" w:sz="0" w:space="0" w:color="auto"/>
                <w:bottom w:val="none" w:sz="0" w:space="0" w:color="auto"/>
                <w:right w:val="none" w:sz="0" w:space="0" w:color="auto"/>
              </w:divBdr>
            </w:div>
          </w:divsChild>
        </w:div>
        <w:div w:id="288557444">
          <w:marLeft w:val="0"/>
          <w:marRight w:val="0"/>
          <w:marTop w:val="0"/>
          <w:marBottom w:val="0"/>
          <w:divBdr>
            <w:top w:val="none" w:sz="0" w:space="0" w:color="auto"/>
            <w:left w:val="none" w:sz="0" w:space="0" w:color="auto"/>
            <w:bottom w:val="none" w:sz="0" w:space="0" w:color="auto"/>
            <w:right w:val="none" w:sz="0" w:space="0" w:color="auto"/>
          </w:divBdr>
        </w:div>
        <w:div w:id="662509570">
          <w:marLeft w:val="0"/>
          <w:marRight w:val="0"/>
          <w:marTop w:val="0"/>
          <w:marBottom w:val="0"/>
          <w:divBdr>
            <w:top w:val="none" w:sz="0" w:space="0" w:color="auto"/>
            <w:left w:val="none" w:sz="0" w:space="0" w:color="auto"/>
            <w:bottom w:val="none" w:sz="0" w:space="0" w:color="auto"/>
            <w:right w:val="none" w:sz="0" w:space="0" w:color="auto"/>
          </w:divBdr>
        </w:div>
        <w:div w:id="327098631">
          <w:marLeft w:val="0"/>
          <w:marRight w:val="0"/>
          <w:marTop w:val="0"/>
          <w:marBottom w:val="0"/>
          <w:divBdr>
            <w:top w:val="none" w:sz="0" w:space="0" w:color="auto"/>
            <w:left w:val="none" w:sz="0" w:space="0" w:color="auto"/>
            <w:bottom w:val="none" w:sz="0" w:space="0" w:color="auto"/>
            <w:right w:val="none" w:sz="0" w:space="0" w:color="auto"/>
          </w:divBdr>
        </w:div>
        <w:div w:id="687608460">
          <w:marLeft w:val="0"/>
          <w:marRight w:val="0"/>
          <w:marTop w:val="0"/>
          <w:marBottom w:val="0"/>
          <w:divBdr>
            <w:top w:val="none" w:sz="0" w:space="0" w:color="auto"/>
            <w:left w:val="none" w:sz="0" w:space="0" w:color="auto"/>
            <w:bottom w:val="none" w:sz="0" w:space="0" w:color="auto"/>
            <w:right w:val="none" w:sz="0" w:space="0" w:color="auto"/>
          </w:divBdr>
        </w:div>
        <w:div w:id="127868062">
          <w:marLeft w:val="0"/>
          <w:marRight w:val="0"/>
          <w:marTop w:val="0"/>
          <w:marBottom w:val="0"/>
          <w:divBdr>
            <w:top w:val="none" w:sz="0" w:space="0" w:color="auto"/>
            <w:left w:val="none" w:sz="0" w:space="0" w:color="auto"/>
            <w:bottom w:val="none" w:sz="0" w:space="0" w:color="auto"/>
            <w:right w:val="none" w:sz="0" w:space="0" w:color="auto"/>
          </w:divBdr>
        </w:div>
        <w:div w:id="1815832476">
          <w:marLeft w:val="0"/>
          <w:marRight w:val="0"/>
          <w:marTop w:val="0"/>
          <w:marBottom w:val="0"/>
          <w:divBdr>
            <w:top w:val="none" w:sz="0" w:space="0" w:color="auto"/>
            <w:left w:val="none" w:sz="0" w:space="0" w:color="auto"/>
            <w:bottom w:val="none" w:sz="0" w:space="0" w:color="auto"/>
            <w:right w:val="none" w:sz="0" w:space="0" w:color="auto"/>
          </w:divBdr>
        </w:div>
        <w:div w:id="82336261">
          <w:marLeft w:val="0"/>
          <w:marRight w:val="0"/>
          <w:marTop w:val="0"/>
          <w:marBottom w:val="0"/>
          <w:divBdr>
            <w:top w:val="none" w:sz="0" w:space="0" w:color="auto"/>
            <w:left w:val="none" w:sz="0" w:space="0" w:color="auto"/>
            <w:bottom w:val="none" w:sz="0" w:space="0" w:color="auto"/>
            <w:right w:val="none" w:sz="0" w:space="0" w:color="auto"/>
          </w:divBdr>
        </w:div>
        <w:div w:id="567376125">
          <w:marLeft w:val="0"/>
          <w:marRight w:val="0"/>
          <w:marTop w:val="0"/>
          <w:marBottom w:val="0"/>
          <w:divBdr>
            <w:top w:val="none" w:sz="0" w:space="0" w:color="auto"/>
            <w:left w:val="none" w:sz="0" w:space="0" w:color="auto"/>
            <w:bottom w:val="none" w:sz="0" w:space="0" w:color="auto"/>
            <w:right w:val="none" w:sz="0" w:space="0" w:color="auto"/>
          </w:divBdr>
        </w:div>
        <w:div w:id="598219116">
          <w:marLeft w:val="0"/>
          <w:marRight w:val="0"/>
          <w:marTop w:val="0"/>
          <w:marBottom w:val="0"/>
          <w:divBdr>
            <w:top w:val="none" w:sz="0" w:space="0" w:color="auto"/>
            <w:left w:val="none" w:sz="0" w:space="0" w:color="auto"/>
            <w:bottom w:val="none" w:sz="0" w:space="0" w:color="auto"/>
            <w:right w:val="none" w:sz="0" w:space="0" w:color="auto"/>
          </w:divBdr>
        </w:div>
        <w:div w:id="1323237652">
          <w:marLeft w:val="0"/>
          <w:marRight w:val="0"/>
          <w:marTop w:val="0"/>
          <w:marBottom w:val="0"/>
          <w:divBdr>
            <w:top w:val="none" w:sz="0" w:space="0" w:color="auto"/>
            <w:left w:val="none" w:sz="0" w:space="0" w:color="auto"/>
            <w:bottom w:val="none" w:sz="0" w:space="0" w:color="auto"/>
            <w:right w:val="none" w:sz="0" w:space="0" w:color="auto"/>
          </w:divBdr>
        </w:div>
        <w:div w:id="1490054344">
          <w:marLeft w:val="0"/>
          <w:marRight w:val="0"/>
          <w:marTop w:val="0"/>
          <w:marBottom w:val="0"/>
          <w:divBdr>
            <w:top w:val="none" w:sz="0" w:space="0" w:color="auto"/>
            <w:left w:val="none" w:sz="0" w:space="0" w:color="auto"/>
            <w:bottom w:val="none" w:sz="0" w:space="0" w:color="auto"/>
            <w:right w:val="none" w:sz="0" w:space="0" w:color="auto"/>
          </w:divBdr>
        </w:div>
        <w:div w:id="1471170129">
          <w:marLeft w:val="0"/>
          <w:marRight w:val="0"/>
          <w:marTop w:val="0"/>
          <w:marBottom w:val="0"/>
          <w:divBdr>
            <w:top w:val="none" w:sz="0" w:space="0" w:color="auto"/>
            <w:left w:val="none" w:sz="0" w:space="0" w:color="auto"/>
            <w:bottom w:val="none" w:sz="0" w:space="0" w:color="auto"/>
            <w:right w:val="none" w:sz="0" w:space="0" w:color="auto"/>
          </w:divBdr>
        </w:div>
        <w:div w:id="894465027">
          <w:marLeft w:val="0"/>
          <w:marRight w:val="0"/>
          <w:marTop w:val="0"/>
          <w:marBottom w:val="0"/>
          <w:divBdr>
            <w:top w:val="none" w:sz="0" w:space="0" w:color="auto"/>
            <w:left w:val="none" w:sz="0" w:space="0" w:color="auto"/>
            <w:bottom w:val="none" w:sz="0" w:space="0" w:color="auto"/>
            <w:right w:val="none" w:sz="0" w:space="0" w:color="auto"/>
          </w:divBdr>
        </w:div>
        <w:div w:id="1051152836">
          <w:marLeft w:val="0"/>
          <w:marRight w:val="0"/>
          <w:marTop w:val="0"/>
          <w:marBottom w:val="0"/>
          <w:divBdr>
            <w:top w:val="none" w:sz="0" w:space="0" w:color="auto"/>
            <w:left w:val="none" w:sz="0" w:space="0" w:color="auto"/>
            <w:bottom w:val="none" w:sz="0" w:space="0" w:color="auto"/>
            <w:right w:val="none" w:sz="0" w:space="0" w:color="auto"/>
          </w:divBdr>
        </w:div>
        <w:div w:id="1882284061">
          <w:marLeft w:val="0"/>
          <w:marRight w:val="0"/>
          <w:marTop w:val="0"/>
          <w:marBottom w:val="0"/>
          <w:divBdr>
            <w:top w:val="none" w:sz="0" w:space="0" w:color="auto"/>
            <w:left w:val="none" w:sz="0" w:space="0" w:color="auto"/>
            <w:bottom w:val="none" w:sz="0" w:space="0" w:color="auto"/>
            <w:right w:val="none" w:sz="0" w:space="0" w:color="auto"/>
          </w:divBdr>
        </w:div>
        <w:div w:id="1662536847">
          <w:marLeft w:val="0"/>
          <w:marRight w:val="0"/>
          <w:marTop w:val="0"/>
          <w:marBottom w:val="0"/>
          <w:divBdr>
            <w:top w:val="none" w:sz="0" w:space="0" w:color="auto"/>
            <w:left w:val="none" w:sz="0" w:space="0" w:color="auto"/>
            <w:bottom w:val="none" w:sz="0" w:space="0" w:color="auto"/>
            <w:right w:val="none" w:sz="0" w:space="0" w:color="auto"/>
          </w:divBdr>
        </w:div>
        <w:div w:id="711685293">
          <w:marLeft w:val="0"/>
          <w:marRight w:val="0"/>
          <w:marTop w:val="0"/>
          <w:marBottom w:val="0"/>
          <w:divBdr>
            <w:top w:val="none" w:sz="0" w:space="0" w:color="auto"/>
            <w:left w:val="none" w:sz="0" w:space="0" w:color="auto"/>
            <w:bottom w:val="none" w:sz="0" w:space="0" w:color="auto"/>
            <w:right w:val="none" w:sz="0" w:space="0" w:color="auto"/>
          </w:divBdr>
        </w:div>
        <w:div w:id="732317449">
          <w:marLeft w:val="0"/>
          <w:marRight w:val="0"/>
          <w:marTop w:val="0"/>
          <w:marBottom w:val="0"/>
          <w:divBdr>
            <w:top w:val="none" w:sz="0" w:space="0" w:color="auto"/>
            <w:left w:val="none" w:sz="0" w:space="0" w:color="auto"/>
            <w:bottom w:val="none" w:sz="0" w:space="0" w:color="auto"/>
            <w:right w:val="none" w:sz="0" w:space="0" w:color="auto"/>
          </w:divBdr>
        </w:div>
        <w:div w:id="944313171">
          <w:marLeft w:val="0"/>
          <w:marRight w:val="0"/>
          <w:marTop w:val="0"/>
          <w:marBottom w:val="0"/>
          <w:divBdr>
            <w:top w:val="none" w:sz="0" w:space="0" w:color="auto"/>
            <w:left w:val="none" w:sz="0" w:space="0" w:color="auto"/>
            <w:bottom w:val="none" w:sz="0" w:space="0" w:color="auto"/>
            <w:right w:val="none" w:sz="0" w:space="0" w:color="auto"/>
          </w:divBdr>
        </w:div>
        <w:div w:id="1823889736">
          <w:marLeft w:val="0"/>
          <w:marRight w:val="0"/>
          <w:marTop w:val="0"/>
          <w:marBottom w:val="0"/>
          <w:divBdr>
            <w:top w:val="none" w:sz="0" w:space="0" w:color="auto"/>
            <w:left w:val="none" w:sz="0" w:space="0" w:color="auto"/>
            <w:bottom w:val="none" w:sz="0" w:space="0" w:color="auto"/>
            <w:right w:val="none" w:sz="0" w:space="0" w:color="auto"/>
          </w:divBdr>
        </w:div>
        <w:div w:id="1158427452">
          <w:marLeft w:val="0"/>
          <w:marRight w:val="0"/>
          <w:marTop w:val="0"/>
          <w:marBottom w:val="0"/>
          <w:divBdr>
            <w:top w:val="none" w:sz="0" w:space="0" w:color="auto"/>
            <w:left w:val="none" w:sz="0" w:space="0" w:color="auto"/>
            <w:bottom w:val="none" w:sz="0" w:space="0" w:color="auto"/>
            <w:right w:val="none" w:sz="0" w:space="0" w:color="auto"/>
          </w:divBdr>
        </w:div>
        <w:div w:id="263611762">
          <w:marLeft w:val="0"/>
          <w:marRight w:val="0"/>
          <w:marTop w:val="0"/>
          <w:marBottom w:val="0"/>
          <w:divBdr>
            <w:top w:val="none" w:sz="0" w:space="0" w:color="auto"/>
            <w:left w:val="none" w:sz="0" w:space="0" w:color="auto"/>
            <w:bottom w:val="none" w:sz="0" w:space="0" w:color="auto"/>
            <w:right w:val="none" w:sz="0" w:space="0" w:color="auto"/>
          </w:divBdr>
        </w:div>
        <w:div w:id="1585068812">
          <w:marLeft w:val="0"/>
          <w:marRight w:val="0"/>
          <w:marTop w:val="0"/>
          <w:marBottom w:val="0"/>
          <w:divBdr>
            <w:top w:val="none" w:sz="0" w:space="0" w:color="auto"/>
            <w:left w:val="none" w:sz="0" w:space="0" w:color="auto"/>
            <w:bottom w:val="none" w:sz="0" w:space="0" w:color="auto"/>
            <w:right w:val="none" w:sz="0" w:space="0" w:color="auto"/>
          </w:divBdr>
        </w:div>
        <w:div w:id="1276408684">
          <w:marLeft w:val="0"/>
          <w:marRight w:val="0"/>
          <w:marTop w:val="0"/>
          <w:marBottom w:val="0"/>
          <w:divBdr>
            <w:top w:val="none" w:sz="0" w:space="0" w:color="auto"/>
            <w:left w:val="none" w:sz="0" w:space="0" w:color="auto"/>
            <w:bottom w:val="none" w:sz="0" w:space="0" w:color="auto"/>
            <w:right w:val="none" w:sz="0" w:space="0" w:color="auto"/>
          </w:divBdr>
          <w:divsChild>
            <w:div w:id="1137145826">
              <w:marLeft w:val="0"/>
              <w:marRight w:val="0"/>
              <w:marTop w:val="0"/>
              <w:marBottom w:val="0"/>
              <w:divBdr>
                <w:top w:val="none" w:sz="0" w:space="0" w:color="auto"/>
                <w:left w:val="none" w:sz="0" w:space="0" w:color="auto"/>
                <w:bottom w:val="none" w:sz="0" w:space="0" w:color="auto"/>
                <w:right w:val="none" w:sz="0" w:space="0" w:color="auto"/>
              </w:divBdr>
            </w:div>
            <w:div w:id="1384409594">
              <w:marLeft w:val="0"/>
              <w:marRight w:val="0"/>
              <w:marTop w:val="0"/>
              <w:marBottom w:val="0"/>
              <w:divBdr>
                <w:top w:val="none" w:sz="0" w:space="0" w:color="auto"/>
                <w:left w:val="none" w:sz="0" w:space="0" w:color="auto"/>
                <w:bottom w:val="none" w:sz="0" w:space="0" w:color="auto"/>
                <w:right w:val="none" w:sz="0" w:space="0" w:color="auto"/>
              </w:divBdr>
            </w:div>
            <w:div w:id="893741010">
              <w:marLeft w:val="0"/>
              <w:marRight w:val="0"/>
              <w:marTop w:val="0"/>
              <w:marBottom w:val="0"/>
              <w:divBdr>
                <w:top w:val="none" w:sz="0" w:space="0" w:color="auto"/>
                <w:left w:val="none" w:sz="0" w:space="0" w:color="auto"/>
                <w:bottom w:val="none" w:sz="0" w:space="0" w:color="auto"/>
                <w:right w:val="none" w:sz="0" w:space="0" w:color="auto"/>
              </w:divBdr>
            </w:div>
            <w:div w:id="148983385">
              <w:marLeft w:val="0"/>
              <w:marRight w:val="0"/>
              <w:marTop w:val="0"/>
              <w:marBottom w:val="0"/>
              <w:divBdr>
                <w:top w:val="none" w:sz="0" w:space="0" w:color="auto"/>
                <w:left w:val="none" w:sz="0" w:space="0" w:color="auto"/>
                <w:bottom w:val="none" w:sz="0" w:space="0" w:color="auto"/>
                <w:right w:val="none" w:sz="0" w:space="0" w:color="auto"/>
              </w:divBdr>
            </w:div>
          </w:divsChild>
        </w:div>
        <w:div w:id="349378790">
          <w:marLeft w:val="0"/>
          <w:marRight w:val="0"/>
          <w:marTop w:val="0"/>
          <w:marBottom w:val="0"/>
          <w:divBdr>
            <w:top w:val="none" w:sz="0" w:space="0" w:color="auto"/>
            <w:left w:val="none" w:sz="0" w:space="0" w:color="auto"/>
            <w:bottom w:val="none" w:sz="0" w:space="0" w:color="auto"/>
            <w:right w:val="none" w:sz="0" w:space="0" w:color="auto"/>
          </w:divBdr>
        </w:div>
        <w:div w:id="777453879">
          <w:marLeft w:val="0"/>
          <w:marRight w:val="0"/>
          <w:marTop w:val="0"/>
          <w:marBottom w:val="0"/>
          <w:divBdr>
            <w:top w:val="none" w:sz="0" w:space="0" w:color="auto"/>
            <w:left w:val="none" w:sz="0" w:space="0" w:color="auto"/>
            <w:bottom w:val="none" w:sz="0" w:space="0" w:color="auto"/>
            <w:right w:val="none" w:sz="0" w:space="0" w:color="auto"/>
          </w:divBdr>
        </w:div>
        <w:div w:id="459346055">
          <w:marLeft w:val="0"/>
          <w:marRight w:val="0"/>
          <w:marTop w:val="0"/>
          <w:marBottom w:val="0"/>
          <w:divBdr>
            <w:top w:val="none" w:sz="0" w:space="0" w:color="auto"/>
            <w:left w:val="none" w:sz="0" w:space="0" w:color="auto"/>
            <w:bottom w:val="none" w:sz="0" w:space="0" w:color="auto"/>
            <w:right w:val="none" w:sz="0" w:space="0" w:color="auto"/>
          </w:divBdr>
        </w:div>
        <w:div w:id="406457358">
          <w:marLeft w:val="0"/>
          <w:marRight w:val="0"/>
          <w:marTop w:val="0"/>
          <w:marBottom w:val="0"/>
          <w:divBdr>
            <w:top w:val="none" w:sz="0" w:space="0" w:color="auto"/>
            <w:left w:val="none" w:sz="0" w:space="0" w:color="auto"/>
            <w:bottom w:val="none" w:sz="0" w:space="0" w:color="auto"/>
            <w:right w:val="none" w:sz="0" w:space="0" w:color="auto"/>
          </w:divBdr>
        </w:div>
        <w:div w:id="2081444642">
          <w:marLeft w:val="0"/>
          <w:marRight w:val="0"/>
          <w:marTop w:val="0"/>
          <w:marBottom w:val="0"/>
          <w:divBdr>
            <w:top w:val="none" w:sz="0" w:space="0" w:color="auto"/>
            <w:left w:val="none" w:sz="0" w:space="0" w:color="auto"/>
            <w:bottom w:val="none" w:sz="0" w:space="0" w:color="auto"/>
            <w:right w:val="none" w:sz="0" w:space="0" w:color="auto"/>
          </w:divBdr>
        </w:div>
        <w:div w:id="1856924313">
          <w:marLeft w:val="0"/>
          <w:marRight w:val="0"/>
          <w:marTop w:val="0"/>
          <w:marBottom w:val="0"/>
          <w:divBdr>
            <w:top w:val="none" w:sz="0" w:space="0" w:color="auto"/>
            <w:left w:val="none" w:sz="0" w:space="0" w:color="auto"/>
            <w:bottom w:val="none" w:sz="0" w:space="0" w:color="auto"/>
            <w:right w:val="none" w:sz="0" w:space="0" w:color="auto"/>
          </w:divBdr>
        </w:div>
        <w:div w:id="536624789">
          <w:marLeft w:val="0"/>
          <w:marRight w:val="0"/>
          <w:marTop w:val="0"/>
          <w:marBottom w:val="0"/>
          <w:divBdr>
            <w:top w:val="none" w:sz="0" w:space="0" w:color="auto"/>
            <w:left w:val="none" w:sz="0" w:space="0" w:color="auto"/>
            <w:bottom w:val="none" w:sz="0" w:space="0" w:color="auto"/>
            <w:right w:val="none" w:sz="0" w:space="0" w:color="auto"/>
          </w:divBdr>
        </w:div>
        <w:div w:id="1655992072">
          <w:marLeft w:val="0"/>
          <w:marRight w:val="0"/>
          <w:marTop w:val="0"/>
          <w:marBottom w:val="0"/>
          <w:divBdr>
            <w:top w:val="none" w:sz="0" w:space="0" w:color="auto"/>
            <w:left w:val="none" w:sz="0" w:space="0" w:color="auto"/>
            <w:bottom w:val="none" w:sz="0" w:space="0" w:color="auto"/>
            <w:right w:val="none" w:sz="0" w:space="0" w:color="auto"/>
          </w:divBdr>
        </w:div>
        <w:div w:id="498077591">
          <w:marLeft w:val="0"/>
          <w:marRight w:val="0"/>
          <w:marTop w:val="0"/>
          <w:marBottom w:val="0"/>
          <w:divBdr>
            <w:top w:val="none" w:sz="0" w:space="0" w:color="auto"/>
            <w:left w:val="none" w:sz="0" w:space="0" w:color="auto"/>
            <w:bottom w:val="none" w:sz="0" w:space="0" w:color="auto"/>
            <w:right w:val="none" w:sz="0" w:space="0" w:color="auto"/>
          </w:divBdr>
        </w:div>
        <w:div w:id="625618933">
          <w:marLeft w:val="0"/>
          <w:marRight w:val="0"/>
          <w:marTop w:val="0"/>
          <w:marBottom w:val="0"/>
          <w:divBdr>
            <w:top w:val="none" w:sz="0" w:space="0" w:color="auto"/>
            <w:left w:val="none" w:sz="0" w:space="0" w:color="auto"/>
            <w:bottom w:val="none" w:sz="0" w:space="0" w:color="auto"/>
            <w:right w:val="none" w:sz="0" w:space="0" w:color="auto"/>
          </w:divBdr>
        </w:div>
        <w:div w:id="1407339755">
          <w:marLeft w:val="0"/>
          <w:marRight w:val="0"/>
          <w:marTop w:val="0"/>
          <w:marBottom w:val="0"/>
          <w:divBdr>
            <w:top w:val="none" w:sz="0" w:space="0" w:color="auto"/>
            <w:left w:val="none" w:sz="0" w:space="0" w:color="auto"/>
            <w:bottom w:val="none" w:sz="0" w:space="0" w:color="auto"/>
            <w:right w:val="none" w:sz="0" w:space="0" w:color="auto"/>
          </w:divBdr>
        </w:div>
        <w:div w:id="1819809657">
          <w:marLeft w:val="0"/>
          <w:marRight w:val="0"/>
          <w:marTop w:val="0"/>
          <w:marBottom w:val="0"/>
          <w:divBdr>
            <w:top w:val="none" w:sz="0" w:space="0" w:color="auto"/>
            <w:left w:val="none" w:sz="0" w:space="0" w:color="auto"/>
            <w:bottom w:val="none" w:sz="0" w:space="0" w:color="auto"/>
            <w:right w:val="none" w:sz="0" w:space="0" w:color="auto"/>
          </w:divBdr>
        </w:div>
        <w:div w:id="492112536">
          <w:marLeft w:val="0"/>
          <w:marRight w:val="0"/>
          <w:marTop w:val="0"/>
          <w:marBottom w:val="0"/>
          <w:divBdr>
            <w:top w:val="none" w:sz="0" w:space="0" w:color="auto"/>
            <w:left w:val="none" w:sz="0" w:space="0" w:color="auto"/>
            <w:bottom w:val="none" w:sz="0" w:space="0" w:color="auto"/>
            <w:right w:val="none" w:sz="0" w:space="0" w:color="auto"/>
          </w:divBdr>
        </w:div>
        <w:div w:id="1869483729">
          <w:marLeft w:val="0"/>
          <w:marRight w:val="0"/>
          <w:marTop w:val="0"/>
          <w:marBottom w:val="0"/>
          <w:divBdr>
            <w:top w:val="none" w:sz="0" w:space="0" w:color="auto"/>
            <w:left w:val="none" w:sz="0" w:space="0" w:color="auto"/>
            <w:bottom w:val="none" w:sz="0" w:space="0" w:color="auto"/>
            <w:right w:val="none" w:sz="0" w:space="0" w:color="auto"/>
          </w:divBdr>
        </w:div>
        <w:div w:id="1645236284">
          <w:marLeft w:val="0"/>
          <w:marRight w:val="0"/>
          <w:marTop w:val="0"/>
          <w:marBottom w:val="0"/>
          <w:divBdr>
            <w:top w:val="none" w:sz="0" w:space="0" w:color="auto"/>
            <w:left w:val="none" w:sz="0" w:space="0" w:color="auto"/>
            <w:bottom w:val="none" w:sz="0" w:space="0" w:color="auto"/>
            <w:right w:val="none" w:sz="0" w:space="0" w:color="auto"/>
          </w:divBdr>
        </w:div>
        <w:div w:id="651982386">
          <w:marLeft w:val="0"/>
          <w:marRight w:val="0"/>
          <w:marTop w:val="0"/>
          <w:marBottom w:val="0"/>
          <w:divBdr>
            <w:top w:val="none" w:sz="0" w:space="0" w:color="auto"/>
            <w:left w:val="none" w:sz="0" w:space="0" w:color="auto"/>
            <w:bottom w:val="none" w:sz="0" w:space="0" w:color="auto"/>
            <w:right w:val="none" w:sz="0" w:space="0" w:color="auto"/>
          </w:divBdr>
        </w:div>
        <w:div w:id="135532936">
          <w:marLeft w:val="0"/>
          <w:marRight w:val="0"/>
          <w:marTop w:val="0"/>
          <w:marBottom w:val="0"/>
          <w:divBdr>
            <w:top w:val="none" w:sz="0" w:space="0" w:color="auto"/>
            <w:left w:val="none" w:sz="0" w:space="0" w:color="auto"/>
            <w:bottom w:val="none" w:sz="0" w:space="0" w:color="auto"/>
            <w:right w:val="none" w:sz="0" w:space="0" w:color="auto"/>
          </w:divBdr>
        </w:div>
        <w:div w:id="571235341">
          <w:marLeft w:val="0"/>
          <w:marRight w:val="0"/>
          <w:marTop w:val="0"/>
          <w:marBottom w:val="0"/>
          <w:divBdr>
            <w:top w:val="none" w:sz="0" w:space="0" w:color="auto"/>
            <w:left w:val="none" w:sz="0" w:space="0" w:color="auto"/>
            <w:bottom w:val="none" w:sz="0" w:space="0" w:color="auto"/>
            <w:right w:val="none" w:sz="0" w:space="0" w:color="auto"/>
          </w:divBdr>
        </w:div>
        <w:div w:id="1883664108">
          <w:marLeft w:val="0"/>
          <w:marRight w:val="0"/>
          <w:marTop w:val="0"/>
          <w:marBottom w:val="0"/>
          <w:divBdr>
            <w:top w:val="none" w:sz="0" w:space="0" w:color="auto"/>
            <w:left w:val="none" w:sz="0" w:space="0" w:color="auto"/>
            <w:bottom w:val="none" w:sz="0" w:space="0" w:color="auto"/>
            <w:right w:val="none" w:sz="0" w:space="0" w:color="auto"/>
          </w:divBdr>
        </w:div>
        <w:div w:id="2102484657">
          <w:marLeft w:val="0"/>
          <w:marRight w:val="0"/>
          <w:marTop w:val="0"/>
          <w:marBottom w:val="0"/>
          <w:divBdr>
            <w:top w:val="none" w:sz="0" w:space="0" w:color="auto"/>
            <w:left w:val="none" w:sz="0" w:space="0" w:color="auto"/>
            <w:bottom w:val="none" w:sz="0" w:space="0" w:color="auto"/>
            <w:right w:val="none" w:sz="0" w:space="0" w:color="auto"/>
          </w:divBdr>
        </w:div>
        <w:div w:id="1149708453">
          <w:marLeft w:val="0"/>
          <w:marRight w:val="0"/>
          <w:marTop w:val="0"/>
          <w:marBottom w:val="0"/>
          <w:divBdr>
            <w:top w:val="none" w:sz="0" w:space="0" w:color="auto"/>
            <w:left w:val="none" w:sz="0" w:space="0" w:color="auto"/>
            <w:bottom w:val="none" w:sz="0" w:space="0" w:color="auto"/>
            <w:right w:val="none" w:sz="0" w:space="0" w:color="auto"/>
          </w:divBdr>
        </w:div>
        <w:div w:id="332726924">
          <w:marLeft w:val="0"/>
          <w:marRight w:val="0"/>
          <w:marTop w:val="0"/>
          <w:marBottom w:val="0"/>
          <w:divBdr>
            <w:top w:val="none" w:sz="0" w:space="0" w:color="auto"/>
            <w:left w:val="none" w:sz="0" w:space="0" w:color="auto"/>
            <w:bottom w:val="none" w:sz="0" w:space="0" w:color="auto"/>
            <w:right w:val="none" w:sz="0" w:space="0" w:color="auto"/>
          </w:divBdr>
          <w:divsChild>
            <w:div w:id="1323896817">
              <w:marLeft w:val="0"/>
              <w:marRight w:val="0"/>
              <w:marTop w:val="0"/>
              <w:marBottom w:val="0"/>
              <w:divBdr>
                <w:top w:val="none" w:sz="0" w:space="0" w:color="auto"/>
                <w:left w:val="none" w:sz="0" w:space="0" w:color="auto"/>
                <w:bottom w:val="none" w:sz="0" w:space="0" w:color="auto"/>
                <w:right w:val="none" w:sz="0" w:space="0" w:color="auto"/>
              </w:divBdr>
            </w:div>
            <w:div w:id="554779119">
              <w:marLeft w:val="0"/>
              <w:marRight w:val="0"/>
              <w:marTop w:val="0"/>
              <w:marBottom w:val="0"/>
              <w:divBdr>
                <w:top w:val="none" w:sz="0" w:space="0" w:color="auto"/>
                <w:left w:val="none" w:sz="0" w:space="0" w:color="auto"/>
                <w:bottom w:val="none" w:sz="0" w:space="0" w:color="auto"/>
                <w:right w:val="none" w:sz="0" w:space="0" w:color="auto"/>
              </w:divBdr>
            </w:div>
          </w:divsChild>
        </w:div>
        <w:div w:id="1338000461">
          <w:marLeft w:val="0"/>
          <w:marRight w:val="0"/>
          <w:marTop w:val="0"/>
          <w:marBottom w:val="0"/>
          <w:divBdr>
            <w:top w:val="none" w:sz="0" w:space="0" w:color="auto"/>
            <w:left w:val="none" w:sz="0" w:space="0" w:color="auto"/>
            <w:bottom w:val="none" w:sz="0" w:space="0" w:color="auto"/>
            <w:right w:val="none" w:sz="0" w:space="0" w:color="auto"/>
          </w:divBdr>
        </w:div>
        <w:div w:id="1298299163">
          <w:marLeft w:val="0"/>
          <w:marRight w:val="0"/>
          <w:marTop w:val="0"/>
          <w:marBottom w:val="0"/>
          <w:divBdr>
            <w:top w:val="none" w:sz="0" w:space="0" w:color="auto"/>
            <w:left w:val="none" w:sz="0" w:space="0" w:color="auto"/>
            <w:bottom w:val="none" w:sz="0" w:space="0" w:color="auto"/>
            <w:right w:val="none" w:sz="0" w:space="0" w:color="auto"/>
          </w:divBdr>
        </w:div>
        <w:div w:id="820660225">
          <w:marLeft w:val="0"/>
          <w:marRight w:val="0"/>
          <w:marTop w:val="0"/>
          <w:marBottom w:val="0"/>
          <w:divBdr>
            <w:top w:val="none" w:sz="0" w:space="0" w:color="auto"/>
            <w:left w:val="none" w:sz="0" w:space="0" w:color="auto"/>
            <w:bottom w:val="none" w:sz="0" w:space="0" w:color="auto"/>
            <w:right w:val="none" w:sz="0" w:space="0" w:color="auto"/>
          </w:divBdr>
        </w:div>
        <w:div w:id="1862817574">
          <w:marLeft w:val="0"/>
          <w:marRight w:val="0"/>
          <w:marTop w:val="0"/>
          <w:marBottom w:val="0"/>
          <w:divBdr>
            <w:top w:val="none" w:sz="0" w:space="0" w:color="auto"/>
            <w:left w:val="none" w:sz="0" w:space="0" w:color="auto"/>
            <w:bottom w:val="none" w:sz="0" w:space="0" w:color="auto"/>
            <w:right w:val="none" w:sz="0" w:space="0" w:color="auto"/>
          </w:divBdr>
        </w:div>
        <w:div w:id="1947273181">
          <w:marLeft w:val="0"/>
          <w:marRight w:val="0"/>
          <w:marTop w:val="0"/>
          <w:marBottom w:val="0"/>
          <w:divBdr>
            <w:top w:val="none" w:sz="0" w:space="0" w:color="auto"/>
            <w:left w:val="none" w:sz="0" w:space="0" w:color="auto"/>
            <w:bottom w:val="none" w:sz="0" w:space="0" w:color="auto"/>
            <w:right w:val="none" w:sz="0" w:space="0" w:color="auto"/>
          </w:divBdr>
        </w:div>
        <w:div w:id="614559182">
          <w:marLeft w:val="0"/>
          <w:marRight w:val="0"/>
          <w:marTop w:val="0"/>
          <w:marBottom w:val="0"/>
          <w:divBdr>
            <w:top w:val="none" w:sz="0" w:space="0" w:color="auto"/>
            <w:left w:val="none" w:sz="0" w:space="0" w:color="auto"/>
            <w:bottom w:val="none" w:sz="0" w:space="0" w:color="auto"/>
            <w:right w:val="none" w:sz="0" w:space="0" w:color="auto"/>
          </w:divBdr>
        </w:div>
        <w:div w:id="738477913">
          <w:marLeft w:val="0"/>
          <w:marRight w:val="0"/>
          <w:marTop w:val="0"/>
          <w:marBottom w:val="0"/>
          <w:divBdr>
            <w:top w:val="none" w:sz="0" w:space="0" w:color="auto"/>
            <w:left w:val="none" w:sz="0" w:space="0" w:color="auto"/>
            <w:bottom w:val="none" w:sz="0" w:space="0" w:color="auto"/>
            <w:right w:val="none" w:sz="0" w:space="0" w:color="auto"/>
          </w:divBdr>
        </w:div>
        <w:div w:id="1339651102">
          <w:marLeft w:val="0"/>
          <w:marRight w:val="0"/>
          <w:marTop w:val="0"/>
          <w:marBottom w:val="0"/>
          <w:divBdr>
            <w:top w:val="none" w:sz="0" w:space="0" w:color="auto"/>
            <w:left w:val="none" w:sz="0" w:space="0" w:color="auto"/>
            <w:bottom w:val="none" w:sz="0" w:space="0" w:color="auto"/>
            <w:right w:val="none" w:sz="0" w:space="0" w:color="auto"/>
          </w:divBdr>
        </w:div>
        <w:div w:id="1591423939">
          <w:marLeft w:val="0"/>
          <w:marRight w:val="0"/>
          <w:marTop w:val="0"/>
          <w:marBottom w:val="0"/>
          <w:divBdr>
            <w:top w:val="none" w:sz="0" w:space="0" w:color="auto"/>
            <w:left w:val="none" w:sz="0" w:space="0" w:color="auto"/>
            <w:bottom w:val="none" w:sz="0" w:space="0" w:color="auto"/>
            <w:right w:val="none" w:sz="0" w:space="0" w:color="auto"/>
          </w:divBdr>
        </w:div>
        <w:div w:id="1178886354">
          <w:marLeft w:val="0"/>
          <w:marRight w:val="0"/>
          <w:marTop w:val="0"/>
          <w:marBottom w:val="0"/>
          <w:divBdr>
            <w:top w:val="none" w:sz="0" w:space="0" w:color="auto"/>
            <w:left w:val="none" w:sz="0" w:space="0" w:color="auto"/>
            <w:bottom w:val="none" w:sz="0" w:space="0" w:color="auto"/>
            <w:right w:val="none" w:sz="0" w:space="0" w:color="auto"/>
          </w:divBdr>
        </w:div>
        <w:div w:id="260914988">
          <w:marLeft w:val="0"/>
          <w:marRight w:val="0"/>
          <w:marTop w:val="0"/>
          <w:marBottom w:val="0"/>
          <w:divBdr>
            <w:top w:val="none" w:sz="0" w:space="0" w:color="auto"/>
            <w:left w:val="none" w:sz="0" w:space="0" w:color="auto"/>
            <w:bottom w:val="none" w:sz="0" w:space="0" w:color="auto"/>
            <w:right w:val="none" w:sz="0" w:space="0" w:color="auto"/>
          </w:divBdr>
        </w:div>
        <w:div w:id="456148203">
          <w:marLeft w:val="0"/>
          <w:marRight w:val="0"/>
          <w:marTop w:val="0"/>
          <w:marBottom w:val="0"/>
          <w:divBdr>
            <w:top w:val="none" w:sz="0" w:space="0" w:color="auto"/>
            <w:left w:val="none" w:sz="0" w:space="0" w:color="auto"/>
            <w:bottom w:val="none" w:sz="0" w:space="0" w:color="auto"/>
            <w:right w:val="none" w:sz="0" w:space="0" w:color="auto"/>
          </w:divBdr>
        </w:div>
        <w:div w:id="291863679">
          <w:marLeft w:val="0"/>
          <w:marRight w:val="0"/>
          <w:marTop w:val="0"/>
          <w:marBottom w:val="0"/>
          <w:divBdr>
            <w:top w:val="none" w:sz="0" w:space="0" w:color="auto"/>
            <w:left w:val="none" w:sz="0" w:space="0" w:color="auto"/>
            <w:bottom w:val="none" w:sz="0" w:space="0" w:color="auto"/>
            <w:right w:val="none" w:sz="0" w:space="0" w:color="auto"/>
          </w:divBdr>
        </w:div>
        <w:div w:id="1028607416">
          <w:marLeft w:val="0"/>
          <w:marRight w:val="0"/>
          <w:marTop w:val="0"/>
          <w:marBottom w:val="0"/>
          <w:divBdr>
            <w:top w:val="none" w:sz="0" w:space="0" w:color="auto"/>
            <w:left w:val="none" w:sz="0" w:space="0" w:color="auto"/>
            <w:bottom w:val="none" w:sz="0" w:space="0" w:color="auto"/>
            <w:right w:val="none" w:sz="0" w:space="0" w:color="auto"/>
          </w:divBdr>
        </w:div>
        <w:div w:id="956444770">
          <w:marLeft w:val="0"/>
          <w:marRight w:val="0"/>
          <w:marTop w:val="0"/>
          <w:marBottom w:val="0"/>
          <w:divBdr>
            <w:top w:val="none" w:sz="0" w:space="0" w:color="auto"/>
            <w:left w:val="none" w:sz="0" w:space="0" w:color="auto"/>
            <w:bottom w:val="none" w:sz="0" w:space="0" w:color="auto"/>
            <w:right w:val="none" w:sz="0" w:space="0" w:color="auto"/>
          </w:divBdr>
        </w:div>
        <w:div w:id="607858873">
          <w:marLeft w:val="0"/>
          <w:marRight w:val="0"/>
          <w:marTop w:val="0"/>
          <w:marBottom w:val="0"/>
          <w:divBdr>
            <w:top w:val="none" w:sz="0" w:space="0" w:color="auto"/>
            <w:left w:val="none" w:sz="0" w:space="0" w:color="auto"/>
            <w:bottom w:val="none" w:sz="0" w:space="0" w:color="auto"/>
            <w:right w:val="none" w:sz="0" w:space="0" w:color="auto"/>
          </w:divBdr>
        </w:div>
        <w:div w:id="1016882494">
          <w:marLeft w:val="0"/>
          <w:marRight w:val="0"/>
          <w:marTop w:val="0"/>
          <w:marBottom w:val="0"/>
          <w:divBdr>
            <w:top w:val="none" w:sz="0" w:space="0" w:color="auto"/>
            <w:left w:val="none" w:sz="0" w:space="0" w:color="auto"/>
            <w:bottom w:val="none" w:sz="0" w:space="0" w:color="auto"/>
            <w:right w:val="none" w:sz="0" w:space="0" w:color="auto"/>
          </w:divBdr>
        </w:div>
        <w:div w:id="641689055">
          <w:marLeft w:val="0"/>
          <w:marRight w:val="0"/>
          <w:marTop w:val="0"/>
          <w:marBottom w:val="0"/>
          <w:divBdr>
            <w:top w:val="none" w:sz="0" w:space="0" w:color="auto"/>
            <w:left w:val="none" w:sz="0" w:space="0" w:color="auto"/>
            <w:bottom w:val="none" w:sz="0" w:space="0" w:color="auto"/>
            <w:right w:val="none" w:sz="0" w:space="0" w:color="auto"/>
          </w:divBdr>
        </w:div>
        <w:div w:id="1411386573">
          <w:marLeft w:val="0"/>
          <w:marRight w:val="0"/>
          <w:marTop w:val="0"/>
          <w:marBottom w:val="0"/>
          <w:divBdr>
            <w:top w:val="none" w:sz="0" w:space="0" w:color="auto"/>
            <w:left w:val="none" w:sz="0" w:space="0" w:color="auto"/>
            <w:bottom w:val="none" w:sz="0" w:space="0" w:color="auto"/>
            <w:right w:val="none" w:sz="0" w:space="0" w:color="auto"/>
          </w:divBdr>
        </w:div>
        <w:div w:id="666906367">
          <w:marLeft w:val="0"/>
          <w:marRight w:val="0"/>
          <w:marTop w:val="0"/>
          <w:marBottom w:val="0"/>
          <w:divBdr>
            <w:top w:val="none" w:sz="0" w:space="0" w:color="auto"/>
            <w:left w:val="none" w:sz="0" w:space="0" w:color="auto"/>
            <w:bottom w:val="none" w:sz="0" w:space="0" w:color="auto"/>
            <w:right w:val="none" w:sz="0" w:space="0" w:color="auto"/>
          </w:divBdr>
        </w:div>
        <w:div w:id="2041583438">
          <w:marLeft w:val="0"/>
          <w:marRight w:val="0"/>
          <w:marTop w:val="0"/>
          <w:marBottom w:val="0"/>
          <w:divBdr>
            <w:top w:val="none" w:sz="0" w:space="0" w:color="auto"/>
            <w:left w:val="none" w:sz="0" w:space="0" w:color="auto"/>
            <w:bottom w:val="none" w:sz="0" w:space="0" w:color="auto"/>
            <w:right w:val="none" w:sz="0" w:space="0" w:color="auto"/>
          </w:divBdr>
        </w:div>
        <w:div w:id="281226062">
          <w:marLeft w:val="0"/>
          <w:marRight w:val="0"/>
          <w:marTop w:val="0"/>
          <w:marBottom w:val="0"/>
          <w:divBdr>
            <w:top w:val="none" w:sz="0" w:space="0" w:color="auto"/>
            <w:left w:val="none" w:sz="0" w:space="0" w:color="auto"/>
            <w:bottom w:val="none" w:sz="0" w:space="0" w:color="auto"/>
            <w:right w:val="none" w:sz="0" w:space="0" w:color="auto"/>
          </w:divBdr>
        </w:div>
        <w:div w:id="1552766259">
          <w:marLeft w:val="0"/>
          <w:marRight w:val="0"/>
          <w:marTop w:val="0"/>
          <w:marBottom w:val="0"/>
          <w:divBdr>
            <w:top w:val="none" w:sz="0" w:space="0" w:color="auto"/>
            <w:left w:val="none" w:sz="0" w:space="0" w:color="auto"/>
            <w:bottom w:val="none" w:sz="0" w:space="0" w:color="auto"/>
            <w:right w:val="none" w:sz="0" w:space="0" w:color="auto"/>
          </w:divBdr>
        </w:div>
        <w:div w:id="589698335">
          <w:marLeft w:val="0"/>
          <w:marRight w:val="0"/>
          <w:marTop w:val="0"/>
          <w:marBottom w:val="0"/>
          <w:divBdr>
            <w:top w:val="none" w:sz="0" w:space="0" w:color="auto"/>
            <w:left w:val="none" w:sz="0" w:space="0" w:color="auto"/>
            <w:bottom w:val="none" w:sz="0" w:space="0" w:color="auto"/>
            <w:right w:val="none" w:sz="0" w:space="0" w:color="auto"/>
          </w:divBdr>
        </w:div>
        <w:div w:id="1556119149">
          <w:marLeft w:val="0"/>
          <w:marRight w:val="0"/>
          <w:marTop w:val="0"/>
          <w:marBottom w:val="0"/>
          <w:divBdr>
            <w:top w:val="none" w:sz="0" w:space="0" w:color="auto"/>
            <w:left w:val="none" w:sz="0" w:space="0" w:color="auto"/>
            <w:bottom w:val="none" w:sz="0" w:space="0" w:color="auto"/>
            <w:right w:val="none" w:sz="0" w:space="0" w:color="auto"/>
          </w:divBdr>
        </w:div>
        <w:div w:id="1459106478">
          <w:marLeft w:val="0"/>
          <w:marRight w:val="0"/>
          <w:marTop w:val="0"/>
          <w:marBottom w:val="0"/>
          <w:divBdr>
            <w:top w:val="none" w:sz="0" w:space="0" w:color="auto"/>
            <w:left w:val="none" w:sz="0" w:space="0" w:color="auto"/>
            <w:bottom w:val="none" w:sz="0" w:space="0" w:color="auto"/>
            <w:right w:val="none" w:sz="0" w:space="0" w:color="auto"/>
          </w:divBdr>
        </w:div>
        <w:div w:id="1377313858">
          <w:marLeft w:val="0"/>
          <w:marRight w:val="0"/>
          <w:marTop w:val="0"/>
          <w:marBottom w:val="0"/>
          <w:divBdr>
            <w:top w:val="none" w:sz="0" w:space="0" w:color="auto"/>
            <w:left w:val="none" w:sz="0" w:space="0" w:color="auto"/>
            <w:bottom w:val="none" w:sz="0" w:space="0" w:color="auto"/>
            <w:right w:val="none" w:sz="0" w:space="0" w:color="auto"/>
          </w:divBdr>
        </w:div>
        <w:div w:id="63648646">
          <w:marLeft w:val="0"/>
          <w:marRight w:val="0"/>
          <w:marTop w:val="0"/>
          <w:marBottom w:val="0"/>
          <w:divBdr>
            <w:top w:val="none" w:sz="0" w:space="0" w:color="auto"/>
            <w:left w:val="none" w:sz="0" w:space="0" w:color="auto"/>
            <w:bottom w:val="none" w:sz="0" w:space="0" w:color="auto"/>
            <w:right w:val="none" w:sz="0" w:space="0" w:color="auto"/>
          </w:divBdr>
        </w:div>
        <w:div w:id="1009673214">
          <w:marLeft w:val="0"/>
          <w:marRight w:val="0"/>
          <w:marTop w:val="0"/>
          <w:marBottom w:val="0"/>
          <w:divBdr>
            <w:top w:val="none" w:sz="0" w:space="0" w:color="auto"/>
            <w:left w:val="none" w:sz="0" w:space="0" w:color="auto"/>
            <w:bottom w:val="none" w:sz="0" w:space="0" w:color="auto"/>
            <w:right w:val="none" w:sz="0" w:space="0" w:color="auto"/>
          </w:divBdr>
        </w:div>
        <w:div w:id="983972407">
          <w:marLeft w:val="0"/>
          <w:marRight w:val="0"/>
          <w:marTop w:val="0"/>
          <w:marBottom w:val="0"/>
          <w:divBdr>
            <w:top w:val="none" w:sz="0" w:space="0" w:color="auto"/>
            <w:left w:val="none" w:sz="0" w:space="0" w:color="auto"/>
            <w:bottom w:val="none" w:sz="0" w:space="0" w:color="auto"/>
            <w:right w:val="none" w:sz="0" w:space="0" w:color="auto"/>
          </w:divBdr>
        </w:div>
        <w:div w:id="2083136182">
          <w:marLeft w:val="0"/>
          <w:marRight w:val="0"/>
          <w:marTop w:val="0"/>
          <w:marBottom w:val="0"/>
          <w:divBdr>
            <w:top w:val="none" w:sz="0" w:space="0" w:color="auto"/>
            <w:left w:val="none" w:sz="0" w:space="0" w:color="auto"/>
            <w:bottom w:val="none" w:sz="0" w:space="0" w:color="auto"/>
            <w:right w:val="none" w:sz="0" w:space="0" w:color="auto"/>
          </w:divBdr>
        </w:div>
        <w:div w:id="1314599518">
          <w:marLeft w:val="0"/>
          <w:marRight w:val="0"/>
          <w:marTop w:val="0"/>
          <w:marBottom w:val="0"/>
          <w:divBdr>
            <w:top w:val="none" w:sz="0" w:space="0" w:color="auto"/>
            <w:left w:val="none" w:sz="0" w:space="0" w:color="auto"/>
            <w:bottom w:val="none" w:sz="0" w:space="0" w:color="auto"/>
            <w:right w:val="none" w:sz="0" w:space="0" w:color="auto"/>
          </w:divBdr>
          <w:divsChild>
            <w:div w:id="731853913">
              <w:marLeft w:val="0"/>
              <w:marRight w:val="0"/>
              <w:marTop w:val="0"/>
              <w:marBottom w:val="0"/>
              <w:divBdr>
                <w:top w:val="none" w:sz="0" w:space="0" w:color="auto"/>
                <w:left w:val="none" w:sz="0" w:space="0" w:color="auto"/>
                <w:bottom w:val="none" w:sz="0" w:space="0" w:color="auto"/>
                <w:right w:val="none" w:sz="0" w:space="0" w:color="auto"/>
              </w:divBdr>
            </w:div>
            <w:div w:id="1651523380">
              <w:marLeft w:val="0"/>
              <w:marRight w:val="0"/>
              <w:marTop w:val="0"/>
              <w:marBottom w:val="0"/>
              <w:divBdr>
                <w:top w:val="none" w:sz="0" w:space="0" w:color="auto"/>
                <w:left w:val="none" w:sz="0" w:space="0" w:color="auto"/>
                <w:bottom w:val="none" w:sz="0" w:space="0" w:color="auto"/>
                <w:right w:val="none" w:sz="0" w:space="0" w:color="auto"/>
              </w:divBdr>
            </w:div>
          </w:divsChild>
        </w:div>
        <w:div w:id="1222445008">
          <w:marLeft w:val="0"/>
          <w:marRight w:val="0"/>
          <w:marTop w:val="0"/>
          <w:marBottom w:val="0"/>
          <w:divBdr>
            <w:top w:val="none" w:sz="0" w:space="0" w:color="auto"/>
            <w:left w:val="none" w:sz="0" w:space="0" w:color="auto"/>
            <w:bottom w:val="none" w:sz="0" w:space="0" w:color="auto"/>
            <w:right w:val="none" w:sz="0" w:space="0" w:color="auto"/>
          </w:divBdr>
        </w:div>
        <w:div w:id="1339431390">
          <w:marLeft w:val="0"/>
          <w:marRight w:val="0"/>
          <w:marTop w:val="0"/>
          <w:marBottom w:val="0"/>
          <w:divBdr>
            <w:top w:val="none" w:sz="0" w:space="0" w:color="auto"/>
            <w:left w:val="none" w:sz="0" w:space="0" w:color="auto"/>
            <w:bottom w:val="none" w:sz="0" w:space="0" w:color="auto"/>
            <w:right w:val="none" w:sz="0" w:space="0" w:color="auto"/>
          </w:divBdr>
        </w:div>
        <w:div w:id="1525361601">
          <w:marLeft w:val="0"/>
          <w:marRight w:val="0"/>
          <w:marTop w:val="0"/>
          <w:marBottom w:val="0"/>
          <w:divBdr>
            <w:top w:val="none" w:sz="0" w:space="0" w:color="auto"/>
            <w:left w:val="none" w:sz="0" w:space="0" w:color="auto"/>
            <w:bottom w:val="none" w:sz="0" w:space="0" w:color="auto"/>
            <w:right w:val="none" w:sz="0" w:space="0" w:color="auto"/>
          </w:divBdr>
        </w:div>
        <w:div w:id="744762555">
          <w:marLeft w:val="0"/>
          <w:marRight w:val="0"/>
          <w:marTop w:val="0"/>
          <w:marBottom w:val="0"/>
          <w:divBdr>
            <w:top w:val="none" w:sz="0" w:space="0" w:color="auto"/>
            <w:left w:val="none" w:sz="0" w:space="0" w:color="auto"/>
            <w:bottom w:val="none" w:sz="0" w:space="0" w:color="auto"/>
            <w:right w:val="none" w:sz="0" w:space="0" w:color="auto"/>
          </w:divBdr>
        </w:div>
        <w:div w:id="316226678">
          <w:marLeft w:val="0"/>
          <w:marRight w:val="0"/>
          <w:marTop w:val="0"/>
          <w:marBottom w:val="0"/>
          <w:divBdr>
            <w:top w:val="none" w:sz="0" w:space="0" w:color="auto"/>
            <w:left w:val="none" w:sz="0" w:space="0" w:color="auto"/>
            <w:bottom w:val="none" w:sz="0" w:space="0" w:color="auto"/>
            <w:right w:val="none" w:sz="0" w:space="0" w:color="auto"/>
          </w:divBdr>
        </w:div>
        <w:div w:id="357972324">
          <w:marLeft w:val="0"/>
          <w:marRight w:val="0"/>
          <w:marTop w:val="0"/>
          <w:marBottom w:val="0"/>
          <w:divBdr>
            <w:top w:val="none" w:sz="0" w:space="0" w:color="auto"/>
            <w:left w:val="none" w:sz="0" w:space="0" w:color="auto"/>
            <w:bottom w:val="none" w:sz="0" w:space="0" w:color="auto"/>
            <w:right w:val="none" w:sz="0" w:space="0" w:color="auto"/>
          </w:divBdr>
        </w:div>
        <w:div w:id="1461805994">
          <w:marLeft w:val="0"/>
          <w:marRight w:val="0"/>
          <w:marTop w:val="0"/>
          <w:marBottom w:val="0"/>
          <w:divBdr>
            <w:top w:val="none" w:sz="0" w:space="0" w:color="auto"/>
            <w:left w:val="none" w:sz="0" w:space="0" w:color="auto"/>
            <w:bottom w:val="none" w:sz="0" w:space="0" w:color="auto"/>
            <w:right w:val="none" w:sz="0" w:space="0" w:color="auto"/>
          </w:divBdr>
          <w:divsChild>
            <w:div w:id="1031757983">
              <w:marLeft w:val="0"/>
              <w:marRight w:val="0"/>
              <w:marTop w:val="0"/>
              <w:marBottom w:val="0"/>
              <w:divBdr>
                <w:top w:val="none" w:sz="0" w:space="0" w:color="auto"/>
                <w:left w:val="none" w:sz="0" w:space="0" w:color="auto"/>
                <w:bottom w:val="none" w:sz="0" w:space="0" w:color="auto"/>
                <w:right w:val="none" w:sz="0" w:space="0" w:color="auto"/>
              </w:divBdr>
            </w:div>
            <w:div w:id="1634752784">
              <w:marLeft w:val="0"/>
              <w:marRight w:val="0"/>
              <w:marTop w:val="0"/>
              <w:marBottom w:val="0"/>
              <w:divBdr>
                <w:top w:val="none" w:sz="0" w:space="0" w:color="auto"/>
                <w:left w:val="none" w:sz="0" w:space="0" w:color="auto"/>
                <w:bottom w:val="none" w:sz="0" w:space="0" w:color="auto"/>
                <w:right w:val="none" w:sz="0" w:space="0" w:color="auto"/>
              </w:divBdr>
            </w:div>
          </w:divsChild>
        </w:div>
        <w:div w:id="170922914">
          <w:marLeft w:val="0"/>
          <w:marRight w:val="0"/>
          <w:marTop w:val="0"/>
          <w:marBottom w:val="0"/>
          <w:divBdr>
            <w:top w:val="none" w:sz="0" w:space="0" w:color="auto"/>
            <w:left w:val="none" w:sz="0" w:space="0" w:color="auto"/>
            <w:bottom w:val="none" w:sz="0" w:space="0" w:color="auto"/>
            <w:right w:val="none" w:sz="0" w:space="0" w:color="auto"/>
          </w:divBdr>
        </w:div>
        <w:div w:id="727385715">
          <w:marLeft w:val="0"/>
          <w:marRight w:val="0"/>
          <w:marTop w:val="0"/>
          <w:marBottom w:val="0"/>
          <w:divBdr>
            <w:top w:val="none" w:sz="0" w:space="0" w:color="auto"/>
            <w:left w:val="none" w:sz="0" w:space="0" w:color="auto"/>
            <w:bottom w:val="none" w:sz="0" w:space="0" w:color="auto"/>
            <w:right w:val="none" w:sz="0" w:space="0" w:color="auto"/>
          </w:divBdr>
        </w:div>
        <w:div w:id="36903939">
          <w:marLeft w:val="0"/>
          <w:marRight w:val="0"/>
          <w:marTop w:val="0"/>
          <w:marBottom w:val="0"/>
          <w:divBdr>
            <w:top w:val="none" w:sz="0" w:space="0" w:color="auto"/>
            <w:left w:val="none" w:sz="0" w:space="0" w:color="auto"/>
            <w:bottom w:val="none" w:sz="0" w:space="0" w:color="auto"/>
            <w:right w:val="none" w:sz="0" w:space="0" w:color="auto"/>
          </w:divBdr>
        </w:div>
        <w:div w:id="1077436079">
          <w:marLeft w:val="0"/>
          <w:marRight w:val="0"/>
          <w:marTop w:val="0"/>
          <w:marBottom w:val="0"/>
          <w:divBdr>
            <w:top w:val="none" w:sz="0" w:space="0" w:color="auto"/>
            <w:left w:val="none" w:sz="0" w:space="0" w:color="auto"/>
            <w:bottom w:val="none" w:sz="0" w:space="0" w:color="auto"/>
            <w:right w:val="none" w:sz="0" w:space="0" w:color="auto"/>
          </w:divBdr>
        </w:div>
        <w:div w:id="454524535">
          <w:marLeft w:val="0"/>
          <w:marRight w:val="0"/>
          <w:marTop w:val="0"/>
          <w:marBottom w:val="0"/>
          <w:divBdr>
            <w:top w:val="none" w:sz="0" w:space="0" w:color="auto"/>
            <w:left w:val="none" w:sz="0" w:space="0" w:color="auto"/>
            <w:bottom w:val="none" w:sz="0" w:space="0" w:color="auto"/>
            <w:right w:val="none" w:sz="0" w:space="0" w:color="auto"/>
          </w:divBdr>
          <w:divsChild>
            <w:div w:id="1990548483">
              <w:marLeft w:val="0"/>
              <w:marRight w:val="0"/>
              <w:marTop w:val="0"/>
              <w:marBottom w:val="0"/>
              <w:divBdr>
                <w:top w:val="none" w:sz="0" w:space="0" w:color="auto"/>
                <w:left w:val="none" w:sz="0" w:space="0" w:color="auto"/>
                <w:bottom w:val="none" w:sz="0" w:space="0" w:color="auto"/>
                <w:right w:val="none" w:sz="0" w:space="0" w:color="auto"/>
              </w:divBdr>
            </w:div>
            <w:div w:id="340283381">
              <w:marLeft w:val="0"/>
              <w:marRight w:val="0"/>
              <w:marTop w:val="0"/>
              <w:marBottom w:val="0"/>
              <w:divBdr>
                <w:top w:val="none" w:sz="0" w:space="0" w:color="auto"/>
                <w:left w:val="none" w:sz="0" w:space="0" w:color="auto"/>
                <w:bottom w:val="none" w:sz="0" w:space="0" w:color="auto"/>
                <w:right w:val="none" w:sz="0" w:space="0" w:color="auto"/>
              </w:divBdr>
            </w:div>
            <w:div w:id="251357145">
              <w:marLeft w:val="0"/>
              <w:marRight w:val="0"/>
              <w:marTop w:val="0"/>
              <w:marBottom w:val="0"/>
              <w:divBdr>
                <w:top w:val="none" w:sz="0" w:space="0" w:color="auto"/>
                <w:left w:val="none" w:sz="0" w:space="0" w:color="auto"/>
                <w:bottom w:val="none" w:sz="0" w:space="0" w:color="auto"/>
                <w:right w:val="none" w:sz="0" w:space="0" w:color="auto"/>
              </w:divBdr>
            </w:div>
            <w:div w:id="315383472">
              <w:marLeft w:val="0"/>
              <w:marRight w:val="0"/>
              <w:marTop w:val="0"/>
              <w:marBottom w:val="0"/>
              <w:divBdr>
                <w:top w:val="none" w:sz="0" w:space="0" w:color="auto"/>
                <w:left w:val="none" w:sz="0" w:space="0" w:color="auto"/>
                <w:bottom w:val="none" w:sz="0" w:space="0" w:color="auto"/>
                <w:right w:val="none" w:sz="0" w:space="0" w:color="auto"/>
              </w:divBdr>
            </w:div>
            <w:div w:id="693728187">
              <w:marLeft w:val="0"/>
              <w:marRight w:val="0"/>
              <w:marTop w:val="0"/>
              <w:marBottom w:val="0"/>
              <w:divBdr>
                <w:top w:val="none" w:sz="0" w:space="0" w:color="auto"/>
                <w:left w:val="none" w:sz="0" w:space="0" w:color="auto"/>
                <w:bottom w:val="none" w:sz="0" w:space="0" w:color="auto"/>
                <w:right w:val="none" w:sz="0" w:space="0" w:color="auto"/>
              </w:divBdr>
            </w:div>
            <w:div w:id="23409992">
              <w:marLeft w:val="0"/>
              <w:marRight w:val="0"/>
              <w:marTop w:val="0"/>
              <w:marBottom w:val="0"/>
              <w:divBdr>
                <w:top w:val="none" w:sz="0" w:space="0" w:color="auto"/>
                <w:left w:val="none" w:sz="0" w:space="0" w:color="auto"/>
                <w:bottom w:val="none" w:sz="0" w:space="0" w:color="auto"/>
                <w:right w:val="none" w:sz="0" w:space="0" w:color="auto"/>
              </w:divBdr>
            </w:div>
            <w:div w:id="364058240">
              <w:marLeft w:val="0"/>
              <w:marRight w:val="0"/>
              <w:marTop w:val="0"/>
              <w:marBottom w:val="0"/>
              <w:divBdr>
                <w:top w:val="none" w:sz="0" w:space="0" w:color="auto"/>
                <w:left w:val="none" w:sz="0" w:space="0" w:color="auto"/>
                <w:bottom w:val="none" w:sz="0" w:space="0" w:color="auto"/>
                <w:right w:val="none" w:sz="0" w:space="0" w:color="auto"/>
              </w:divBdr>
            </w:div>
            <w:div w:id="721056593">
              <w:marLeft w:val="0"/>
              <w:marRight w:val="0"/>
              <w:marTop w:val="0"/>
              <w:marBottom w:val="0"/>
              <w:divBdr>
                <w:top w:val="none" w:sz="0" w:space="0" w:color="auto"/>
                <w:left w:val="none" w:sz="0" w:space="0" w:color="auto"/>
                <w:bottom w:val="none" w:sz="0" w:space="0" w:color="auto"/>
                <w:right w:val="none" w:sz="0" w:space="0" w:color="auto"/>
              </w:divBdr>
            </w:div>
            <w:div w:id="440227523">
              <w:marLeft w:val="0"/>
              <w:marRight w:val="0"/>
              <w:marTop w:val="0"/>
              <w:marBottom w:val="0"/>
              <w:divBdr>
                <w:top w:val="none" w:sz="0" w:space="0" w:color="auto"/>
                <w:left w:val="none" w:sz="0" w:space="0" w:color="auto"/>
                <w:bottom w:val="none" w:sz="0" w:space="0" w:color="auto"/>
                <w:right w:val="none" w:sz="0" w:space="0" w:color="auto"/>
              </w:divBdr>
            </w:div>
            <w:div w:id="426269243">
              <w:marLeft w:val="0"/>
              <w:marRight w:val="0"/>
              <w:marTop w:val="0"/>
              <w:marBottom w:val="0"/>
              <w:divBdr>
                <w:top w:val="none" w:sz="0" w:space="0" w:color="auto"/>
                <w:left w:val="none" w:sz="0" w:space="0" w:color="auto"/>
                <w:bottom w:val="none" w:sz="0" w:space="0" w:color="auto"/>
                <w:right w:val="none" w:sz="0" w:space="0" w:color="auto"/>
              </w:divBdr>
            </w:div>
          </w:divsChild>
        </w:div>
        <w:div w:id="1376735486">
          <w:marLeft w:val="0"/>
          <w:marRight w:val="0"/>
          <w:marTop w:val="0"/>
          <w:marBottom w:val="0"/>
          <w:divBdr>
            <w:top w:val="none" w:sz="0" w:space="0" w:color="auto"/>
            <w:left w:val="none" w:sz="0" w:space="0" w:color="auto"/>
            <w:bottom w:val="none" w:sz="0" w:space="0" w:color="auto"/>
            <w:right w:val="none" w:sz="0" w:space="0" w:color="auto"/>
          </w:divBdr>
        </w:div>
        <w:div w:id="1274171136">
          <w:marLeft w:val="0"/>
          <w:marRight w:val="0"/>
          <w:marTop w:val="0"/>
          <w:marBottom w:val="0"/>
          <w:divBdr>
            <w:top w:val="none" w:sz="0" w:space="0" w:color="auto"/>
            <w:left w:val="none" w:sz="0" w:space="0" w:color="auto"/>
            <w:bottom w:val="none" w:sz="0" w:space="0" w:color="auto"/>
            <w:right w:val="none" w:sz="0" w:space="0" w:color="auto"/>
          </w:divBdr>
        </w:div>
        <w:div w:id="1580754745">
          <w:marLeft w:val="0"/>
          <w:marRight w:val="0"/>
          <w:marTop w:val="0"/>
          <w:marBottom w:val="0"/>
          <w:divBdr>
            <w:top w:val="none" w:sz="0" w:space="0" w:color="auto"/>
            <w:left w:val="none" w:sz="0" w:space="0" w:color="auto"/>
            <w:bottom w:val="none" w:sz="0" w:space="0" w:color="auto"/>
            <w:right w:val="none" w:sz="0" w:space="0" w:color="auto"/>
          </w:divBdr>
        </w:div>
        <w:div w:id="687564930">
          <w:marLeft w:val="0"/>
          <w:marRight w:val="0"/>
          <w:marTop w:val="0"/>
          <w:marBottom w:val="0"/>
          <w:divBdr>
            <w:top w:val="none" w:sz="0" w:space="0" w:color="auto"/>
            <w:left w:val="none" w:sz="0" w:space="0" w:color="auto"/>
            <w:bottom w:val="none" w:sz="0" w:space="0" w:color="auto"/>
            <w:right w:val="none" w:sz="0" w:space="0" w:color="auto"/>
          </w:divBdr>
        </w:div>
        <w:div w:id="1922060426">
          <w:marLeft w:val="0"/>
          <w:marRight w:val="0"/>
          <w:marTop w:val="0"/>
          <w:marBottom w:val="0"/>
          <w:divBdr>
            <w:top w:val="none" w:sz="0" w:space="0" w:color="auto"/>
            <w:left w:val="none" w:sz="0" w:space="0" w:color="auto"/>
            <w:bottom w:val="none" w:sz="0" w:space="0" w:color="auto"/>
            <w:right w:val="none" w:sz="0" w:space="0" w:color="auto"/>
          </w:divBdr>
        </w:div>
        <w:div w:id="1761178993">
          <w:marLeft w:val="0"/>
          <w:marRight w:val="0"/>
          <w:marTop w:val="0"/>
          <w:marBottom w:val="0"/>
          <w:divBdr>
            <w:top w:val="none" w:sz="0" w:space="0" w:color="auto"/>
            <w:left w:val="none" w:sz="0" w:space="0" w:color="auto"/>
            <w:bottom w:val="none" w:sz="0" w:space="0" w:color="auto"/>
            <w:right w:val="none" w:sz="0" w:space="0" w:color="auto"/>
          </w:divBdr>
        </w:div>
        <w:div w:id="297807599">
          <w:marLeft w:val="0"/>
          <w:marRight w:val="0"/>
          <w:marTop w:val="0"/>
          <w:marBottom w:val="0"/>
          <w:divBdr>
            <w:top w:val="none" w:sz="0" w:space="0" w:color="auto"/>
            <w:left w:val="none" w:sz="0" w:space="0" w:color="auto"/>
            <w:bottom w:val="none" w:sz="0" w:space="0" w:color="auto"/>
            <w:right w:val="none" w:sz="0" w:space="0" w:color="auto"/>
          </w:divBdr>
        </w:div>
        <w:div w:id="261375048">
          <w:marLeft w:val="0"/>
          <w:marRight w:val="0"/>
          <w:marTop w:val="0"/>
          <w:marBottom w:val="0"/>
          <w:divBdr>
            <w:top w:val="none" w:sz="0" w:space="0" w:color="auto"/>
            <w:left w:val="none" w:sz="0" w:space="0" w:color="auto"/>
            <w:bottom w:val="none" w:sz="0" w:space="0" w:color="auto"/>
            <w:right w:val="none" w:sz="0" w:space="0" w:color="auto"/>
          </w:divBdr>
          <w:divsChild>
            <w:div w:id="715350112">
              <w:marLeft w:val="0"/>
              <w:marRight w:val="0"/>
              <w:marTop w:val="0"/>
              <w:marBottom w:val="0"/>
              <w:divBdr>
                <w:top w:val="none" w:sz="0" w:space="0" w:color="auto"/>
                <w:left w:val="none" w:sz="0" w:space="0" w:color="auto"/>
                <w:bottom w:val="none" w:sz="0" w:space="0" w:color="auto"/>
                <w:right w:val="none" w:sz="0" w:space="0" w:color="auto"/>
              </w:divBdr>
            </w:div>
            <w:div w:id="1630895203">
              <w:marLeft w:val="0"/>
              <w:marRight w:val="0"/>
              <w:marTop w:val="0"/>
              <w:marBottom w:val="0"/>
              <w:divBdr>
                <w:top w:val="none" w:sz="0" w:space="0" w:color="auto"/>
                <w:left w:val="none" w:sz="0" w:space="0" w:color="auto"/>
                <w:bottom w:val="none" w:sz="0" w:space="0" w:color="auto"/>
                <w:right w:val="none" w:sz="0" w:space="0" w:color="auto"/>
              </w:divBdr>
            </w:div>
            <w:div w:id="16585250">
              <w:marLeft w:val="0"/>
              <w:marRight w:val="0"/>
              <w:marTop w:val="0"/>
              <w:marBottom w:val="0"/>
              <w:divBdr>
                <w:top w:val="none" w:sz="0" w:space="0" w:color="auto"/>
                <w:left w:val="none" w:sz="0" w:space="0" w:color="auto"/>
                <w:bottom w:val="none" w:sz="0" w:space="0" w:color="auto"/>
                <w:right w:val="none" w:sz="0" w:space="0" w:color="auto"/>
              </w:divBdr>
            </w:div>
            <w:div w:id="1067457759">
              <w:marLeft w:val="0"/>
              <w:marRight w:val="0"/>
              <w:marTop w:val="0"/>
              <w:marBottom w:val="0"/>
              <w:divBdr>
                <w:top w:val="none" w:sz="0" w:space="0" w:color="auto"/>
                <w:left w:val="none" w:sz="0" w:space="0" w:color="auto"/>
                <w:bottom w:val="none" w:sz="0" w:space="0" w:color="auto"/>
                <w:right w:val="none" w:sz="0" w:space="0" w:color="auto"/>
              </w:divBdr>
            </w:div>
            <w:div w:id="865948544">
              <w:marLeft w:val="0"/>
              <w:marRight w:val="0"/>
              <w:marTop w:val="0"/>
              <w:marBottom w:val="0"/>
              <w:divBdr>
                <w:top w:val="none" w:sz="0" w:space="0" w:color="auto"/>
                <w:left w:val="none" w:sz="0" w:space="0" w:color="auto"/>
                <w:bottom w:val="none" w:sz="0" w:space="0" w:color="auto"/>
                <w:right w:val="none" w:sz="0" w:space="0" w:color="auto"/>
              </w:divBdr>
            </w:div>
            <w:div w:id="1797796367">
              <w:marLeft w:val="0"/>
              <w:marRight w:val="0"/>
              <w:marTop w:val="0"/>
              <w:marBottom w:val="0"/>
              <w:divBdr>
                <w:top w:val="none" w:sz="0" w:space="0" w:color="auto"/>
                <w:left w:val="none" w:sz="0" w:space="0" w:color="auto"/>
                <w:bottom w:val="none" w:sz="0" w:space="0" w:color="auto"/>
                <w:right w:val="none" w:sz="0" w:space="0" w:color="auto"/>
              </w:divBdr>
            </w:div>
            <w:div w:id="2063013639">
              <w:marLeft w:val="0"/>
              <w:marRight w:val="0"/>
              <w:marTop w:val="0"/>
              <w:marBottom w:val="0"/>
              <w:divBdr>
                <w:top w:val="none" w:sz="0" w:space="0" w:color="auto"/>
                <w:left w:val="none" w:sz="0" w:space="0" w:color="auto"/>
                <w:bottom w:val="none" w:sz="0" w:space="0" w:color="auto"/>
                <w:right w:val="none" w:sz="0" w:space="0" w:color="auto"/>
              </w:divBdr>
            </w:div>
            <w:div w:id="2060125109">
              <w:marLeft w:val="0"/>
              <w:marRight w:val="0"/>
              <w:marTop w:val="0"/>
              <w:marBottom w:val="0"/>
              <w:divBdr>
                <w:top w:val="none" w:sz="0" w:space="0" w:color="auto"/>
                <w:left w:val="none" w:sz="0" w:space="0" w:color="auto"/>
                <w:bottom w:val="none" w:sz="0" w:space="0" w:color="auto"/>
                <w:right w:val="none" w:sz="0" w:space="0" w:color="auto"/>
              </w:divBdr>
            </w:div>
            <w:div w:id="1369178916">
              <w:marLeft w:val="0"/>
              <w:marRight w:val="0"/>
              <w:marTop w:val="0"/>
              <w:marBottom w:val="0"/>
              <w:divBdr>
                <w:top w:val="none" w:sz="0" w:space="0" w:color="auto"/>
                <w:left w:val="none" w:sz="0" w:space="0" w:color="auto"/>
                <w:bottom w:val="none" w:sz="0" w:space="0" w:color="auto"/>
                <w:right w:val="none" w:sz="0" w:space="0" w:color="auto"/>
              </w:divBdr>
            </w:div>
            <w:div w:id="210463368">
              <w:marLeft w:val="0"/>
              <w:marRight w:val="0"/>
              <w:marTop w:val="0"/>
              <w:marBottom w:val="0"/>
              <w:divBdr>
                <w:top w:val="none" w:sz="0" w:space="0" w:color="auto"/>
                <w:left w:val="none" w:sz="0" w:space="0" w:color="auto"/>
                <w:bottom w:val="none" w:sz="0" w:space="0" w:color="auto"/>
                <w:right w:val="none" w:sz="0" w:space="0" w:color="auto"/>
              </w:divBdr>
            </w:div>
            <w:div w:id="241915713">
              <w:marLeft w:val="0"/>
              <w:marRight w:val="0"/>
              <w:marTop w:val="0"/>
              <w:marBottom w:val="0"/>
              <w:divBdr>
                <w:top w:val="none" w:sz="0" w:space="0" w:color="auto"/>
                <w:left w:val="none" w:sz="0" w:space="0" w:color="auto"/>
                <w:bottom w:val="none" w:sz="0" w:space="0" w:color="auto"/>
                <w:right w:val="none" w:sz="0" w:space="0" w:color="auto"/>
              </w:divBdr>
            </w:div>
            <w:div w:id="206069305">
              <w:marLeft w:val="0"/>
              <w:marRight w:val="0"/>
              <w:marTop w:val="0"/>
              <w:marBottom w:val="0"/>
              <w:divBdr>
                <w:top w:val="none" w:sz="0" w:space="0" w:color="auto"/>
                <w:left w:val="none" w:sz="0" w:space="0" w:color="auto"/>
                <w:bottom w:val="none" w:sz="0" w:space="0" w:color="auto"/>
                <w:right w:val="none" w:sz="0" w:space="0" w:color="auto"/>
              </w:divBdr>
            </w:div>
            <w:div w:id="1566917918">
              <w:marLeft w:val="0"/>
              <w:marRight w:val="0"/>
              <w:marTop w:val="0"/>
              <w:marBottom w:val="0"/>
              <w:divBdr>
                <w:top w:val="none" w:sz="0" w:space="0" w:color="auto"/>
                <w:left w:val="none" w:sz="0" w:space="0" w:color="auto"/>
                <w:bottom w:val="none" w:sz="0" w:space="0" w:color="auto"/>
                <w:right w:val="none" w:sz="0" w:space="0" w:color="auto"/>
              </w:divBdr>
            </w:div>
            <w:div w:id="760879479">
              <w:marLeft w:val="0"/>
              <w:marRight w:val="0"/>
              <w:marTop w:val="0"/>
              <w:marBottom w:val="0"/>
              <w:divBdr>
                <w:top w:val="none" w:sz="0" w:space="0" w:color="auto"/>
                <w:left w:val="none" w:sz="0" w:space="0" w:color="auto"/>
                <w:bottom w:val="none" w:sz="0" w:space="0" w:color="auto"/>
                <w:right w:val="none" w:sz="0" w:space="0" w:color="auto"/>
              </w:divBdr>
            </w:div>
            <w:div w:id="197204769">
              <w:marLeft w:val="0"/>
              <w:marRight w:val="0"/>
              <w:marTop w:val="0"/>
              <w:marBottom w:val="0"/>
              <w:divBdr>
                <w:top w:val="none" w:sz="0" w:space="0" w:color="auto"/>
                <w:left w:val="none" w:sz="0" w:space="0" w:color="auto"/>
                <w:bottom w:val="none" w:sz="0" w:space="0" w:color="auto"/>
                <w:right w:val="none" w:sz="0" w:space="0" w:color="auto"/>
              </w:divBdr>
            </w:div>
            <w:div w:id="1106775313">
              <w:marLeft w:val="0"/>
              <w:marRight w:val="0"/>
              <w:marTop w:val="0"/>
              <w:marBottom w:val="0"/>
              <w:divBdr>
                <w:top w:val="none" w:sz="0" w:space="0" w:color="auto"/>
                <w:left w:val="none" w:sz="0" w:space="0" w:color="auto"/>
                <w:bottom w:val="none" w:sz="0" w:space="0" w:color="auto"/>
                <w:right w:val="none" w:sz="0" w:space="0" w:color="auto"/>
              </w:divBdr>
            </w:div>
            <w:div w:id="1195772365">
              <w:marLeft w:val="0"/>
              <w:marRight w:val="0"/>
              <w:marTop w:val="0"/>
              <w:marBottom w:val="0"/>
              <w:divBdr>
                <w:top w:val="none" w:sz="0" w:space="0" w:color="auto"/>
                <w:left w:val="none" w:sz="0" w:space="0" w:color="auto"/>
                <w:bottom w:val="none" w:sz="0" w:space="0" w:color="auto"/>
                <w:right w:val="none" w:sz="0" w:space="0" w:color="auto"/>
              </w:divBdr>
            </w:div>
            <w:div w:id="200286505">
              <w:marLeft w:val="0"/>
              <w:marRight w:val="0"/>
              <w:marTop w:val="0"/>
              <w:marBottom w:val="0"/>
              <w:divBdr>
                <w:top w:val="none" w:sz="0" w:space="0" w:color="auto"/>
                <w:left w:val="none" w:sz="0" w:space="0" w:color="auto"/>
                <w:bottom w:val="none" w:sz="0" w:space="0" w:color="auto"/>
                <w:right w:val="none" w:sz="0" w:space="0" w:color="auto"/>
              </w:divBdr>
            </w:div>
            <w:div w:id="976447438">
              <w:marLeft w:val="0"/>
              <w:marRight w:val="0"/>
              <w:marTop w:val="0"/>
              <w:marBottom w:val="0"/>
              <w:divBdr>
                <w:top w:val="none" w:sz="0" w:space="0" w:color="auto"/>
                <w:left w:val="none" w:sz="0" w:space="0" w:color="auto"/>
                <w:bottom w:val="none" w:sz="0" w:space="0" w:color="auto"/>
                <w:right w:val="none" w:sz="0" w:space="0" w:color="auto"/>
              </w:divBdr>
            </w:div>
            <w:div w:id="2086757812">
              <w:marLeft w:val="0"/>
              <w:marRight w:val="0"/>
              <w:marTop w:val="0"/>
              <w:marBottom w:val="0"/>
              <w:divBdr>
                <w:top w:val="none" w:sz="0" w:space="0" w:color="auto"/>
                <w:left w:val="none" w:sz="0" w:space="0" w:color="auto"/>
                <w:bottom w:val="none" w:sz="0" w:space="0" w:color="auto"/>
                <w:right w:val="none" w:sz="0" w:space="0" w:color="auto"/>
              </w:divBdr>
            </w:div>
            <w:div w:id="1453862773">
              <w:marLeft w:val="0"/>
              <w:marRight w:val="0"/>
              <w:marTop w:val="0"/>
              <w:marBottom w:val="0"/>
              <w:divBdr>
                <w:top w:val="none" w:sz="0" w:space="0" w:color="auto"/>
                <w:left w:val="none" w:sz="0" w:space="0" w:color="auto"/>
                <w:bottom w:val="none" w:sz="0" w:space="0" w:color="auto"/>
                <w:right w:val="none" w:sz="0" w:space="0" w:color="auto"/>
              </w:divBdr>
            </w:div>
            <w:div w:id="1101875986">
              <w:marLeft w:val="0"/>
              <w:marRight w:val="0"/>
              <w:marTop w:val="0"/>
              <w:marBottom w:val="0"/>
              <w:divBdr>
                <w:top w:val="none" w:sz="0" w:space="0" w:color="auto"/>
                <w:left w:val="none" w:sz="0" w:space="0" w:color="auto"/>
                <w:bottom w:val="none" w:sz="0" w:space="0" w:color="auto"/>
                <w:right w:val="none" w:sz="0" w:space="0" w:color="auto"/>
              </w:divBdr>
            </w:div>
            <w:div w:id="41835979">
              <w:marLeft w:val="0"/>
              <w:marRight w:val="0"/>
              <w:marTop w:val="0"/>
              <w:marBottom w:val="0"/>
              <w:divBdr>
                <w:top w:val="none" w:sz="0" w:space="0" w:color="auto"/>
                <w:left w:val="none" w:sz="0" w:space="0" w:color="auto"/>
                <w:bottom w:val="none" w:sz="0" w:space="0" w:color="auto"/>
                <w:right w:val="none" w:sz="0" w:space="0" w:color="auto"/>
              </w:divBdr>
            </w:div>
            <w:div w:id="1375735708">
              <w:marLeft w:val="0"/>
              <w:marRight w:val="0"/>
              <w:marTop w:val="0"/>
              <w:marBottom w:val="0"/>
              <w:divBdr>
                <w:top w:val="none" w:sz="0" w:space="0" w:color="auto"/>
                <w:left w:val="none" w:sz="0" w:space="0" w:color="auto"/>
                <w:bottom w:val="none" w:sz="0" w:space="0" w:color="auto"/>
                <w:right w:val="none" w:sz="0" w:space="0" w:color="auto"/>
              </w:divBdr>
            </w:div>
            <w:div w:id="1585142495">
              <w:marLeft w:val="0"/>
              <w:marRight w:val="0"/>
              <w:marTop w:val="0"/>
              <w:marBottom w:val="0"/>
              <w:divBdr>
                <w:top w:val="none" w:sz="0" w:space="0" w:color="auto"/>
                <w:left w:val="none" w:sz="0" w:space="0" w:color="auto"/>
                <w:bottom w:val="none" w:sz="0" w:space="0" w:color="auto"/>
                <w:right w:val="none" w:sz="0" w:space="0" w:color="auto"/>
              </w:divBdr>
            </w:div>
            <w:div w:id="1253080556">
              <w:marLeft w:val="0"/>
              <w:marRight w:val="0"/>
              <w:marTop w:val="0"/>
              <w:marBottom w:val="0"/>
              <w:divBdr>
                <w:top w:val="none" w:sz="0" w:space="0" w:color="auto"/>
                <w:left w:val="none" w:sz="0" w:space="0" w:color="auto"/>
                <w:bottom w:val="none" w:sz="0" w:space="0" w:color="auto"/>
                <w:right w:val="none" w:sz="0" w:space="0" w:color="auto"/>
              </w:divBdr>
            </w:div>
            <w:div w:id="1936858106">
              <w:marLeft w:val="0"/>
              <w:marRight w:val="0"/>
              <w:marTop w:val="0"/>
              <w:marBottom w:val="0"/>
              <w:divBdr>
                <w:top w:val="none" w:sz="0" w:space="0" w:color="auto"/>
                <w:left w:val="none" w:sz="0" w:space="0" w:color="auto"/>
                <w:bottom w:val="none" w:sz="0" w:space="0" w:color="auto"/>
                <w:right w:val="none" w:sz="0" w:space="0" w:color="auto"/>
              </w:divBdr>
            </w:div>
            <w:div w:id="1220364382">
              <w:marLeft w:val="0"/>
              <w:marRight w:val="0"/>
              <w:marTop w:val="0"/>
              <w:marBottom w:val="0"/>
              <w:divBdr>
                <w:top w:val="none" w:sz="0" w:space="0" w:color="auto"/>
                <w:left w:val="none" w:sz="0" w:space="0" w:color="auto"/>
                <w:bottom w:val="none" w:sz="0" w:space="0" w:color="auto"/>
                <w:right w:val="none" w:sz="0" w:space="0" w:color="auto"/>
              </w:divBdr>
            </w:div>
            <w:div w:id="1839347893">
              <w:marLeft w:val="0"/>
              <w:marRight w:val="0"/>
              <w:marTop w:val="0"/>
              <w:marBottom w:val="0"/>
              <w:divBdr>
                <w:top w:val="none" w:sz="0" w:space="0" w:color="auto"/>
                <w:left w:val="none" w:sz="0" w:space="0" w:color="auto"/>
                <w:bottom w:val="none" w:sz="0" w:space="0" w:color="auto"/>
                <w:right w:val="none" w:sz="0" w:space="0" w:color="auto"/>
              </w:divBdr>
            </w:div>
            <w:div w:id="251623778">
              <w:marLeft w:val="0"/>
              <w:marRight w:val="0"/>
              <w:marTop w:val="0"/>
              <w:marBottom w:val="0"/>
              <w:divBdr>
                <w:top w:val="none" w:sz="0" w:space="0" w:color="auto"/>
                <w:left w:val="none" w:sz="0" w:space="0" w:color="auto"/>
                <w:bottom w:val="none" w:sz="0" w:space="0" w:color="auto"/>
                <w:right w:val="none" w:sz="0" w:space="0" w:color="auto"/>
              </w:divBdr>
            </w:div>
            <w:div w:id="1172255203">
              <w:marLeft w:val="0"/>
              <w:marRight w:val="0"/>
              <w:marTop w:val="0"/>
              <w:marBottom w:val="0"/>
              <w:divBdr>
                <w:top w:val="none" w:sz="0" w:space="0" w:color="auto"/>
                <w:left w:val="none" w:sz="0" w:space="0" w:color="auto"/>
                <w:bottom w:val="none" w:sz="0" w:space="0" w:color="auto"/>
                <w:right w:val="none" w:sz="0" w:space="0" w:color="auto"/>
              </w:divBdr>
            </w:div>
            <w:div w:id="1738046033">
              <w:marLeft w:val="0"/>
              <w:marRight w:val="0"/>
              <w:marTop w:val="0"/>
              <w:marBottom w:val="0"/>
              <w:divBdr>
                <w:top w:val="none" w:sz="0" w:space="0" w:color="auto"/>
                <w:left w:val="none" w:sz="0" w:space="0" w:color="auto"/>
                <w:bottom w:val="none" w:sz="0" w:space="0" w:color="auto"/>
                <w:right w:val="none" w:sz="0" w:space="0" w:color="auto"/>
              </w:divBdr>
            </w:div>
            <w:div w:id="736706450">
              <w:marLeft w:val="0"/>
              <w:marRight w:val="0"/>
              <w:marTop w:val="0"/>
              <w:marBottom w:val="0"/>
              <w:divBdr>
                <w:top w:val="none" w:sz="0" w:space="0" w:color="auto"/>
                <w:left w:val="none" w:sz="0" w:space="0" w:color="auto"/>
                <w:bottom w:val="none" w:sz="0" w:space="0" w:color="auto"/>
                <w:right w:val="none" w:sz="0" w:space="0" w:color="auto"/>
              </w:divBdr>
            </w:div>
            <w:div w:id="1507937825">
              <w:marLeft w:val="0"/>
              <w:marRight w:val="0"/>
              <w:marTop w:val="0"/>
              <w:marBottom w:val="0"/>
              <w:divBdr>
                <w:top w:val="none" w:sz="0" w:space="0" w:color="auto"/>
                <w:left w:val="none" w:sz="0" w:space="0" w:color="auto"/>
                <w:bottom w:val="none" w:sz="0" w:space="0" w:color="auto"/>
                <w:right w:val="none" w:sz="0" w:space="0" w:color="auto"/>
              </w:divBdr>
            </w:div>
            <w:div w:id="1655530612">
              <w:marLeft w:val="0"/>
              <w:marRight w:val="0"/>
              <w:marTop w:val="0"/>
              <w:marBottom w:val="0"/>
              <w:divBdr>
                <w:top w:val="none" w:sz="0" w:space="0" w:color="auto"/>
                <w:left w:val="none" w:sz="0" w:space="0" w:color="auto"/>
                <w:bottom w:val="none" w:sz="0" w:space="0" w:color="auto"/>
                <w:right w:val="none" w:sz="0" w:space="0" w:color="auto"/>
              </w:divBdr>
            </w:div>
            <w:div w:id="1690990213">
              <w:marLeft w:val="0"/>
              <w:marRight w:val="0"/>
              <w:marTop w:val="0"/>
              <w:marBottom w:val="0"/>
              <w:divBdr>
                <w:top w:val="none" w:sz="0" w:space="0" w:color="auto"/>
                <w:left w:val="none" w:sz="0" w:space="0" w:color="auto"/>
                <w:bottom w:val="none" w:sz="0" w:space="0" w:color="auto"/>
                <w:right w:val="none" w:sz="0" w:space="0" w:color="auto"/>
              </w:divBdr>
            </w:div>
            <w:div w:id="2021201508">
              <w:marLeft w:val="0"/>
              <w:marRight w:val="0"/>
              <w:marTop w:val="0"/>
              <w:marBottom w:val="0"/>
              <w:divBdr>
                <w:top w:val="none" w:sz="0" w:space="0" w:color="auto"/>
                <w:left w:val="none" w:sz="0" w:space="0" w:color="auto"/>
                <w:bottom w:val="none" w:sz="0" w:space="0" w:color="auto"/>
                <w:right w:val="none" w:sz="0" w:space="0" w:color="auto"/>
              </w:divBdr>
            </w:div>
            <w:div w:id="2128162668">
              <w:marLeft w:val="0"/>
              <w:marRight w:val="0"/>
              <w:marTop w:val="0"/>
              <w:marBottom w:val="0"/>
              <w:divBdr>
                <w:top w:val="none" w:sz="0" w:space="0" w:color="auto"/>
                <w:left w:val="none" w:sz="0" w:space="0" w:color="auto"/>
                <w:bottom w:val="none" w:sz="0" w:space="0" w:color="auto"/>
                <w:right w:val="none" w:sz="0" w:space="0" w:color="auto"/>
              </w:divBdr>
            </w:div>
            <w:div w:id="1787194720">
              <w:marLeft w:val="0"/>
              <w:marRight w:val="0"/>
              <w:marTop w:val="0"/>
              <w:marBottom w:val="0"/>
              <w:divBdr>
                <w:top w:val="none" w:sz="0" w:space="0" w:color="auto"/>
                <w:left w:val="none" w:sz="0" w:space="0" w:color="auto"/>
                <w:bottom w:val="none" w:sz="0" w:space="0" w:color="auto"/>
                <w:right w:val="none" w:sz="0" w:space="0" w:color="auto"/>
              </w:divBdr>
            </w:div>
            <w:div w:id="726494762">
              <w:marLeft w:val="0"/>
              <w:marRight w:val="0"/>
              <w:marTop w:val="0"/>
              <w:marBottom w:val="0"/>
              <w:divBdr>
                <w:top w:val="none" w:sz="0" w:space="0" w:color="auto"/>
                <w:left w:val="none" w:sz="0" w:space="0" w:color="auto"/>
                <w:bottom w:val="none" w:sz="0" w:space="0" w:color="auto"/>
                <w:right w:val="none" w:sz="0" w:space="0" w:color="auto"/>
              </w:divBdr>
            </w:div>
            <w:div w:id="1983388942">
              <w:marLeft w:val="0"/>
              <w:marRight w:val="0"/>
              <w:marTop w:val="0"/>
              <w:marBottom w:val="0"/>
              <w:divBdr>
                <w:top w:val="none" w:sz="0" w:space="0" w:color="auto"/>
                <w:left w:val="none" w:sz="0" w:space="0" w:color="auto"/>
                <w:bottom w:val="none" w:sz="0" w:space="0" w:color="auto"/>
                <w:right w:val="none" w:sz="0" w:space="0" w:color="auto"/>
              </w:divBdr>
            </w:div>
            <w:div w:id="1087963757">
              <w:marLeft w:val="0"/>
              <w:marRight w:val="0"/>
              <w:marTop w:val="0"/>
              <w:marBottom w:val="0"/>
              <w:divBdr>
                <w:top w:val="none" w:sz="0" w:space="0" w:color="auto"/>
                <w:left w:val="none" w:sz="0" w:space="0" w:color="auto"/>
                <w:bottom w:val="none" w:sz="0" w:space="0" w:color="auto"/>
                <w:right w:val="none" w:sz="0" w:space="0" w:color="auto"/>
              </w:divBdr>
            </w:div>
            <w:div w:id="627473245">
              <w:marLeft w:val="0"/>
              <w:marRight w:val="0"/>
              <w:marTop w:val="0"/>
              <w:marBottom w:val="0"/>
              <w:divBdr>
                <w:top w:val="none" w:sz="0" w:space="0" w:color="auto"/>
                <w:left w:val="none" w:sz="0" w:space="0" w:color="auto"/>
                <w:bottom w:val="none" w:sz="0" w:space="0" w:color="auto"/>
                <w:right w:val="none" w:sz="0" w:space="0" w:color="auto"/>
              </w:divBdr>
            </w:div>
            <w:div w:id="1536120772">
              <w:marLeft w:val="0"/>
              <w:marRight w:val="0"/>
              <w:marTop w:val="0"/>
              <w:marBottom w:val="0"/>
              <w:divBdr>
                <w:top w:val="none" w:sz="0" w:space="0" w:color="auto"/>
                <w:left w:val="none" w:sz="0" w:space="0" w:color="auto"/>
                <w:bottom w:val="none" w:sz="0" w:space="0" w:color="auto"/>
                <w:right w:val="none" w:sz="0" w:space="0" w:color="auto"/>
              </w:divBdr>
            </w:div>
          </w:divsChild>
        </w:div>
        <w:div w:id="569736836">
          <w:marLeft w:val="0"/>
          <w:marRight w:val="0"/>
          <w:marTop w:val="0"/>
          <w:marBottom w:val="0"/>
          <w:divBdr>
            <w:top w:val="none" w:sz="0" w:space="0" w:color="auto"/>
            <w:left w:val="none" w:sz="0" w:space="0" w:color="auto"/>
            <w:bottom w:val="none" w:sz="0" w:space="0" w:color="auto"/>
            <w:right w:val="none" w:sz="0" w:space="0" w:color="auto"/>
          </w:divBdr>
        </w:div>
        <w:div w:id="767115940">
          <w:marLeft w:val="0"/>
          <w:marRight w:val="0"/>
          <w:marTop w:val="0"/>
          <w:marBottom w:val="0"/>
          <w:divBdr>
            <w:top w:val="none" w:sz="0" w:space="0" w:color="auto"/>
            <w:left w:val="none" w:sz="0" w:space="0" w:color="auto"/>
            <w:bottom w:val="none" w:sz="0" w:space="0" w:color="auto"/>
            <w:right w:val="none" w:sz="0" w:space="0" w:color="auto"/>
          </w:divBdr>
        </w:div>
        <w:div w:id="858004455">
          <w:marLeft w:val="0"/>
          <w:marRight w:val="0"/>
          <w:marTop w:val="0"/>
          <w:marBottom w:val="0"/>
          <w:divBdr>
            <w:top w:val="none" w:sz="0" w:space="0" w:color="auto"/>
            <w:left w:val="none" w:sz="0" w:space="0" w:color="auto"/>
            <w:bottom w:val="none" w:sz="0" w:space="0" w:color="auto"/>
            <w:right w:val="none" w:sz="0" w:space="0" w:color="auto"/>
          </w:divBdr>
        </w:div>
        <w:div w:id="230120891">
          <w:marLeft w:val="0"/>
          <w:marRight w:val="0"/>
          <w:marTop w:val="0"/>
          <w:marBottom w:val="0"/>
          <w:divBdr>
            <w:top w:val="none" w:sz="0" w:space="0" w:color="auto"/>
            <w:left w:val="none" w:sz="0" w:space="0" w:color="auto"/>
            <w:bottom w:val="none" w:sz="0" w:space="0" w:color="auto"/>
            <w:right w:val="none" w:sz="0" w:space="0" w:color="auto"/>
          </w:divBdr>
        </w:div>
        <w:div w:id="1929343257">
          <w:marLeft w:val="0"/>
          <w:marRight w:val="0"/>
          <w:marTop w:val="0"/>
          <w:marBottom w:val="0"/>
          <w:divBdr>
            <w:top w:val="none" w:sz="0" w:space="0" w:color="auto"/>
            <w:left w:val="none" w:sz="0" w:space="0" w:color="auto"/>
            <w:bottom w:val="none" w:sz="0" w:space="0" w:color="auto"/>
            <w:right w:val="none" w:sz="0" w:space="0" w:color="auto"/>
          </w:divBdr>
        </w:div>
        <w:div w:id="1706901740">
          <w:marLeft w:val="0"/>
          <w:marRight w:val="0"/>
          <w:marTop w:val="0"/>
          <w:marBottom w:val="0"/>
          <w:divBdr>
            <w:top w:val="none" w:sz="0" w:space="0" w:color="auto"/>
            <w:left w:val="none" w:sz="0" w:space="0" w:color="auto"/>
            <w:bottom w:val="none" w:sz="0" w:space="0" w:color="auto"/>
            <w:right w:val="none" w:sz="0" w:space="0" w:color="auto"/>
          </w:divBdr>
        </w:div>
        <w:div w:id="1277178290">
          <w:marLeft w:val="0"/>
          <w:marRight w:val="0"/>
          <w:marTop w:val="0"/>
          <w:marBottom w:val="0"/>
          <w:divBdr>
            <w:top w:val="none" w:sz="0" w:space="0" w:color="auto"/>
            <w:left w:val="none" w:sz="0" w:space="0" w:color="auto"/>
            <w:bottom w:val="none" w:sz="0" w:space="0" w:color="auto"/>
            <w:right w:val="none" w:sz="0" w:space="0" w:color="auto"/>
          </w:divBdr>
        </w:div>
        <w:div w:id="6250521">
          <w:marLeft w:val="0"/>
          <w:marRight w:val="0"/>
          <w:marTop w:val="0"/>
          <w:marBottom w:val="0"/>
          <w:divBdr>
            <w:top w:val="none" w:sz="0" w:space="0" w:color="auto"/>
            <w:left w:val="none" w:sz="0" w:space="0" w:color="auto"/>
            <w:bottom w:val="none" w:sz="0" w:space="0" w:color="auto"/>
            <w:right w:val="none" w:sz="0" w:space="0" w:color="auto"/>
          </w:divBdr>
        </w:div>
        <w:div w:id="1192453267">
          <w:marLeft w:val="0"/>
          <w:marRight w:val="0"/>
          <w:marTop w:val="0"/>
          <w:marBottom w:val="0"/>
          <w:divBdr>
            <w:top w:val="none" w:sz="0" w:space="0" w:color="auto"/>
            <w:left w:val="none" w:sz="0" w:space="0" w:color="auto"/>
            <w:bottom w:val="none" w:sz="0" w:space="0" w:color="auto"/>
            <w:right w:val="none" w:sz="0" w:space="0" w:color="auto"/>
          </w:divBdr>
        </w:div>
        <w:div w:id="244609206">
          <w:marLeft w:val="0"/>
          <w:marRight w:val="0"/>
          <w:marTop w:val="0"/>
          <w:marBottom w:val="0"/>
          <w:divBdr>
            <w:top w:val="none" w:sz="0" w:space="0" w:color="auto"/>
            <w:left w:val="none" w:sz="0" w:space="0" w:color="auto"/>
            <w:bottom w:val="none" w:sz="0" w:space="0" w:color="auto"/>
            <w:right w:val="none" w:sz="0" w:space="0" w:color="auto"/>
          </w:divBdr>
        </w:div>
        <w:div w:id="729302220">
          <w:marLeft w:val="0"/>
          <w:marRight w:val="0"/>
          <w:marTop w:val="0"/>
          <w:marBottom w:val="0"/>
          <w:divBdr>
            <w:top w:val="none" w:sz="0" w:space="0" w:color="auto"/>
            <w:left w:val="none" w:sz="0" w:space="0" w:color="auto"/>
            <w:bottom w:val="none" w:sz="0" w:space="0" w:color="auto"/>
            <w:right w:val="none" w:sz="0" w:space="0" w:color="auto"/>
          </w:divBdr>
        </w:div>
        <w:div w:id="1745645404">
          <w:marLeft w:val="0"/>
          <w:marRight w:val="0"/>
          <w:marTop w:val="0"/>
          <w:marBottom w:val="0"/>
          <w:divBdr>
            <w:top w:val="none" w:sz="0" w:space="0" w:color="auto"/>
            <w:left w:val="none" w:sz="0" w:space="0" w:color="auto"/>
            <w:bottom w:val="none" w:sz="0" w:space="0" w:color="auto"/>
            <w:right w:val="none" w:sz="0" w:space="0" w:color="auto"/>
          </w:divBdr>
        </w:div>
        <w:div w:id="886257931">
          <w:marLeft w:val="0"/>
          <w:marRight w:val="0"/>
          <w:marTop w:val="0"/>
          <w:marBottom w:val="0"/>
          <w:divBdr>
            <w:top w:val="none" w:sz="0" w:space="0" w:color="auto"/>
            <w:left w:val="none" w:sz="0" w:space="0" w:color="auto"/>
            <w:bottom w:val="none" w:sz="0" w:space="0" w:color="auto"/>
            <w:right w:val="none" w:sz="0" w:space="0" w:color="auto"/>
          </w:divBdr>
        </w:div>
        <w:div w:id="1647512086">
          <w:marLeft w:val="0"/>
          <w:marRight w:val="0"/>
          <w:marTop w:val="0"/>
          <w:marBottom w:val="0"/>
          <w:divBdr>
            <w:top w:val="none" w:sz="0" w:space="0" w:color="auto"/>
            <w:left w:val="none" w:sz="0" w:space="0" w:color="auto"/>
            <w:bottom w:val="none" w:sz="0" w:space="0" w:color="auto"/>
            <w:right w:val="none" w:sz="0" w:space="0" w:color="auto"/>
          </w:divBdr>
        </w:div>
        <w:div w:id="47263724">
          <w:marLeft w:val="0"/>
          <w:marRight w:val="0"/>
          <w:marTop w:val="0"/>
          <w:marBottom w:val="0"/>
          <w:divBdr>
            <w:top w:val="none" w:sz="0" w:space="0" w:color="auto"/>
            <w:left w:val="none" w:sz="0" w:space="0" w:color="auto"/>
            <w:bottom w:val="none" w:sz="0" w:space="0" w:color="auto"/>
            <w:right w:val="none" w:sz="0" w:space="0" w:color="auto"/>
          </w:divBdr>
        </w:div>
        <w:div w:id="83116510">
          <w:marLeft w:val="0"/>
          <w:marRight w:val="0"/>
          <w:marTop w:val="0"/>
          <w:marBottom w:val="0"/>
          <w:divBdr>
            <w:top w:val="none" w:sz="0" w:space="0" w:color="auto"/>
            <w:left w:val="none" w:sz="0" w:space="0" w:color="auto"/>
            <w:bottom w:val="none" w:sz="0" w:space="0" w:color="auto"/>
            <w:right w:val="none" w:sz="0" w:space="0" w:color="auto"/>
          </w:divBdr>
        </w:div>
        <w:div w:id="2128042182">
          <w:marLeft w:val="0"/>
          <w:marRight w:val="0"/>
          <w:marTop w:val="0"/>
          <w:marBottom w:val="0"/>
          <w:divBdr>
            <w:top w:val="none" w:sz="0" w:space="0" w:color="auto"/>
            <w:left w:val="none" w:sz="0" w:space="0" w:color="auto"/>
            <w:bottom w:val="none" w:sz="0" w:space="0" w:color="auto"/>
            <w:right w:val="none" w:sz="0" w:space="0" w:color="auto"/>
          </w:divBdr>
        </w:div>
        <w:div w:id="995646036">
          <w:marLeft w:val="0"/>
          <w:marRight w:val="0"/>
          <w:marTop w:val="0"/>
          <w:marBottom w:val="0"/>
          <w:divBdr>
            <w:top w:val="none" w:sz="0" w:space="0" w:color="auto"/>
            <w:left w:val="none" w:sz="0" w:space="0" w:color="auto"/>
            <w:bottom w:val="none" w:sz="0" w:space="0" w:color="auto"/>
            <w:right w:val="none" w:sz="0" w:space="0" w:color="auto"/>
          </w:divBdr>
        </w:div>
        <w:div w:id="2031368213">
          <w:marLeft w:val="0"/>
          <w:marRight w:val="0"/>
          <w:marTop w:val="0"/>
          <w:marBottom w:val="0"/>
          <w:divBdr>
            <w:top w:val="none" w:sz="0" w:space="0" w:color="auto"/>
            <w:left w:val="none" w:sz="0" w:space="0" w:color="auto"/>
            <w:bottom w:val="none" w:sz="0" w:space="0" w:color="auto"/>
            <w:right w:val="none" w:sz="0" w:space="0" w:color="auto"/>
          </w:divBdr>
        </w:div>
        <w:div w:id="396367970">
          <w:marLeft w:val="0"/>
          <w:marRight w:val="0"/>
          <w:marTop w:val="0"/>
          <w:marBottom w:val="0"/>
          <w:divBdr>
            <w:top w:val="none" w:sz="0" w:space="0" w:color="auto"/>
            <w:left w:val="none" w:sz="0" w:space="0" w:color="auto"/>
            <w:bottom w:val="none" w:sz="0" w:space="0" w:color="auto"/>
            <w:right w:val="none" w:sz="0" w:space="0" w:color="auto"/>
          </w:divBdr>
        </w:div>
        <w:div w:id="2077782122">
          <w:marLeft w:val="0"/>
          <w:marRight w:val="0"/>
          <w:marTop w:val="0"/>
          <w:marBottom w:val="0"/>
          <w:divBdr>
            <w:top w:val="none" w:sz="0" w:space="0" w:color="auto"/>
            <w:left w:val="none" w:sz="0" w:space="0" w:color="auto"/>
            <w:bottom w:val="none" w:sz="0" w:space="0" w:color="auto"/>
            <w:right w:val="none" w:sz="0" w:space="0" w:color="auto"/>
          </w:divBdr>
        </w:div>
        <w:div w:id="1110588930">
          <w:marLeft w:val="0"/>
          <w:marRight w:val="0"/>
          <w:marTop w:val="0"/>
          <w:marBottom w:val="0"/>
          <w:divBdr>
            <w:top w:val="none" w:sz="0" w:space="0" w:color="auto"/>
            <w:left w:val="none" w:sz="0" w:space="0" w:color="auto"/>
            <w:bottom w:val="none" w:sz="0" w:space="0" w:color="auto"/>
            <w:right w:val="none" w:sz="0" w:space="0" w:color="auto"/>
          </w:divBdr>
        </w:div>
        <w:div w:id="1683782630">
          <w:marLeft w:val="0"/>
          <w:marRight w:val="0"/>
          <w:marTop w:val="0"/>
          <w:marBottom w:val="0"/>
          <w:divBdr>
            <w:top w:val="none" w:sz="0" w:space="0" w:color="auto"/>
            <w:left w:val="none" w:sz="0" w:space="0" w:color="auto"/>
            <w:bottom w:val="none" w:sz="0" w:space="0" w:color="auto"/>
            <w:right w:val="none" w:sz="0" w:space="0" w:color="auto"/>
          </w:divBdr>
        </w:div>
        <w:div w:id="1473250915">
          <w:marLeft w:val="0"/>
          <w:marRight w:val="0"/>
          <w:marTop w:val="0"/>
          <w:marBottom w:val="0"/>
          <w:divBdr>
            <w:top w:val="none" w:sz="0" w:space="0" w:color="auto"/>
            <w:left w:val="none" w:sz="0" w:space="0" w:color="auto"/>
            <w:bottom w:val="none" w:sz="0" w:space="0" w:color="auto"/>
            <w:right w:val="none" w:sz="0" w:space="0" w:color="auto"/>
          </w:divBdr>
        </w:div>
        <w:div w:id="2056463291">
          <w:marLeft w:val="0"/>
          <w:marRight w:val="0"/>
          <w:marTop w:val="0"/>
          <w:marBottom w:val="0"/>
          <w:divBdr>
            <w:top w:val="none" w:sz="0" w:space="0" w:color="auto"/>
            <w:left w:val="none" w:sz="0" w:space="0" w:color="auto"/>
            <w:bottom w:val="none" w:sz="0" w:space="0" w:color="auto"/>
            <w:right w:val="none" w:sz="0" w:space="0" w:color="auto"/>
          </w:divBdr>
        </w:div>
        <w:div w:id="1103574556">
          <w:marLeft w:val="0"/>
          <w:marRight w:val="0"/>
          <w:marTop w:val="0"/>
          <w:marBottom w:val="0"/>
          <w:divBdr>
            <w:top w:val="none" w:sz="0" w:space="0" w:color="auto"/>
            <w:left w:val="none" w:sz="0" w:space="0" w:color="auto"/>
            <w:bottom w:val="none" w:sz="0" w:space="0" w:color="auto"/>
            <w:right w:val="none" w:sz="0" w:space="0" w:color="auto"/>
          </w:divBdr>
        </w:div>
        <w:div w:id="1591086102">
          <w:marLeft w:val="0"/>
          <w:marRight w:val="0"/>
          <w:marTop w:val="0"/>
          <w:marBottom w:val="0"/>
          <w:divBdr>
            <w:top w:val="none" w:sz="0" w:space="0" w:color="auto"/>
            <w:left w:val="none" w:sz="0" w:space="0" w:color="auto"/>
            <w:bottom w:val="none" w:sz="0" w:space="0" w:color="auto"/>
            <w:right w:val="none" w:sz="0" w:space="0" w:color="auto"/>
          </w:divBdr>
        </w:div>
        <w:div w:id="910045010">
          <w:marLeft w:val="0"/>
          <w:marRight w:val="0"/>
          <w:marTop w:val="0"/>
          <w:marBottom w:val="0"/>
          <w:divBdr>
            <w:top w:val="none" w:sz="0" w:space="0" w:color="auto"/>
            <w:left w:val="none" w:sz="0" w:space="0" w:color="auto"/>
            <w:bottom w:val="none" w:sz="0" w:space="0" w:color="auto"/>
            <w:right w:val="none" w:sz="0" w:space="0" w:color="auto"/>
          </w:divBdr>
        </w:div>
        <w:div w:id="1998529909">
          <w:marLeft w:val="0"/>
          <w:marRight w:val="0"/>
          <w:marTop w:val="0"/>
          <w:marBottom w:val="0"/>
          <w:divBdr>
            <w:top w:val="none" w:sz="0" w:space="0" w:color="auto"/>
            <w:left w:val="none" w:sz="0" w:space="0" w:color="auto"/>
            <w:bottom w:val="none" w:sz="0" w:space="0" w:color="auto"/>
            <w:right w:val="none" w:sz="0" w:space="0" w:color="auto"/>
          </w:divBdr>
        </w:div>
        <w:div w:id="2041740617">
          <w:marLeft w:val="0"/>
          <w:marRight w:val="0"/>
          <w:marTop w:val="0"/>
          <w:marBottom w:val="0"/>
          <w:divBdr>
            <w:top w:val="none" w:sz="0" w:space="0" w:color="auto"/>
            <w:left w:val="none" w:sz="0" w:space="0" w:color="auto"/>
            <w:bottom w:val="none" w:sz="0" w:space="0" w:color="auto"/>
            <w:right w:val="none" w:sz="0" w:space="0" w:color="auto"/>
          </w:divBdr>
        </w:div>
        <w:div w:id="2053192283">
          <w:marLeft w:val="0"/>
          <w:marRight w:val="0"/>
          <w:marTop w:val="0"/>
          <w:marBottom w:val="0"/>
          <w:divBdr>
            <w:top w:val="none" w:sz="0" w:space="0" w:color="auto"/>
            <w:left w:val="none" w:sz="0" w:space="0" w:color="auto"/>
            <w:bottom w:val="none" w:sz="0" w:space="0" w:color="auto"/>
            <w:right w:val="none" w:sz="0" w:space="0" w:color="auto"/>
          </w:divBdr>
        </w:div>
        <w:div w:id="1341270779">
          <w:marLeft w:val="0"/>
          <w:marRight w:val="0"/>
          <w:marTop w:val="0"/>
          <w:marBottom w:val="0"/>
          <w:divBdr>
            <w:top w:val="none" w:sz="0" w:space="0" w:color="auto"/>
            <w:left w:val="none" w:sz="0" w:space="0" w:color="auto"/>
            <w:bottom w:val="none" w:sz="0" w:space="0" w:color="auto"/>
            <w:right w:val="none" w:sz="0" w:space="0" w:color="auto"/>
          </w:divBdr>
        </w:div>
        <w:div w:id="2037340346">
          <w:marLeft w:val="0"/>
          <w:marRight w:val="0"/>
          <w:marTop w:val="0"/>
          <w:marBottom w:val="0"/>
          <w:divBdr>
            <w:top w:val="none" w:sz="0" w:space="0" w:color="auto"/>
            <w:left w:val="none" w:sz="0" w:space="0" w:color="auto"/>
            <w:bottom w:val="none" w:sz="0" w:space="0" w:color="auto"/>
            <w:right w:val="none" w:sz="0" w:space="0" w:color="auto"/>
          </w:divBdr>
        </w:div>
        <w:div w:id="75710076">
          <w:marLeft w:val="0"/>
          <w:marRight w:val="0"/>
          <w:marTop w:val="0"/>
          <w:marBottom w:val="0"/>
          <w:divBdr>
            <w:top w:val="none" w:sz="0" w:space="0" w:color="auto"/>
            <w:left w:val="none" w:sz="0" w:space="0" w:color="auto"/>
            <w:bottom w:val="none" w:sz="0" w:space="0" w:color="auto"/>
            <w:right w:val="none" w:sz="0" w:space="0" w:color="auto"/>
          </w:divBdr>
        </w:div>
        <w:div w:id="1185246177">
          <w:marLeft w:val="0"/>
          <w:marRight w:val="0"/>
          <w:marTop w:val="0"/>
          <w:marBottom w:val="0"/>
          <w:divBdr>
            <w:top w:val="none" w:sz="0" w:space="0" w:color="auto"/>
            <w:left w:val="none" w:sz="0" w:space="0" w:color="auto"/>
            <w:bottom w:val="none" w:sz="0" w:space="0" w:color="auto"/>
            <w:right w:val="none" w:sz="0" w:space="0" w:color="auto"/>
          </w:divBdr>
        </w:div>
        <w:div w:id="1290359447">
          <w:marLeft w:val="0"/>
          <w:marRight w:val="0"/>
          <w:marTop w:val="0"/>
          <w:marBottom w:val="0"/>
          <w:divBdr>
            <w:top w:val="none" w:sz="0" w:space="0" w:color="auto"/>
            <w:left w:val="none" w:sz="0" w:space="0" w:color="auto"/>
            <w:bottom w:val="none" w:sz="0" w:space="0" w:color="auto"/>
            <w:right w:val="none" w:sz="0" w:space="0" w:color="auto"/>
          </w:divBdr>
        </w:div>
        <w:div w:id="2135782205">
          <w:marLeft w:val="0"/>
          <w:marRight w:val="0"/>
          <w:marTop w:val="0"/>
          <w:marBottom w:val="0"/>
          <w:divBdr>
            <w:top w:val="none" w:sz="0" w:space="0" w:color="auto"/>
            <w:left w:val="none" w:sz="0" w:space="0" w:color="auto"/>
            <w:bottom w:val="none" w:sz="0" w:space="0" w:color="auto"/>
            <w:right w:val="none" w:sz="0" w:space="0" w:color="auto"/>
          </w:divBdr>
        </w:div>
        <w:div w:id="394857746">
          <w:marLeft w:val="0"/>
          <w:marRight w:val="0"/>
          <w:marTop w:val="0"/>
          <w:marBottom w:val="0"/>
          <w:divBdr>
            <w:top w:val="none" w:sz="0" w:space="0" w:color="auto"/>
            <w:left w:val="none" w:sz="0" w:space="0" w:color="auto"/>
            <w:bottom w:val="none" w:sz="0" w:space="0" w:color="auto"/>
            <w:right w:val="none" w:sz="0" w:space="0" w:color="auto"/>
          </w:divBdr>
        </w:div>
        <w:div w:id="38363939">
          <w:marLeft w:val="0"/>
          <w:marRight w:val="0"/>
          <w:marTop w:val="0"/>
          <w:marBottom w:val="0"/>
          <w:divBdr>
            <w:top w:val="none" w:sz="0" w:space="0" w:color="auto"/>
            <w:left w:val="none" w:sz="0" w:space="0" w:color="auto"/>
            <w:bottom w:val="none" w:sz="0" w:space="0" w:color="auto"/>
            <w:right w:val="none" w:sz="0" w:space="0" w:color="auto"/>
          </w:divBdr>
        </w:div>
        <w:div w:id="1486584691">
          <w:marLeft w:val="0"/>
          <w:marRight w:val="0"/>
          <w:marTop w:val="0"/>
          <w:marBottom w:val="0"/>
          <w:divBdr>
            <w:top w:val="none" w:sz="0" w:space="0" w:color="auto"/>
            <w:left w:val="none" w:sz="0" w:space="0" w:color="auto"/>
            <w:bottom w:val="none" w:sz="0" w:space="0" w:color="auto"/>
            <w:right w:val="none" w:sz="0" w:space="0" w:color="auto"/>
          </w:divBdr>
        </w:div>
        <w:div w:id="214586776">
          <w:marLeft w:val="0"/>
          <w:marRight w:val="0"/>
          <w:marTop w:val="0"/>
          <w:marBottom w:val="0"/>
          <w:divBdr>
            <w:top w:val="none" w:sz="0" w:space="0" w:color="auto"/>
            <w:left w:val="none" w:sz="0" w:space="0" w:color="auto"/>
            <w:bottom w:val="none" w:sz="0" w:space="0" w:color="auto"/>
            <w:right w:val="none" w:sz="0" w:space="0" w:color="auto"/>
          </w:divBdr>
        </w:div>
        <w:div w:id="1294288667">
          <w:marLeft w:val="0"/>
          <w:marRight w:val="0"/>
          <w:marTop w:val="0"/>
          <w:marBottom w:val="0"/>
          <w:divBdr>
            <w:top w:val="none" w:sz="0" w:space="0" w:color="auto"/>
            <w:left w:val="none" w:sz="0" w:space="0" w:color="auto"/>
            <w:bottom w:val="none" w:sz="0" w:space="0" w:color="auto"/>
            <w:right w:val="none" w:sz="0" w:space="0" w:color="auto"/>
          </w:divBdr>
        </w:div>
        <w:div w:id="1999922722">
          <w:marLeft w:val="0"/>
          <w:marRight w:val="0"/>
          <w:marTop w:val="0"/>
          <w:marBottom w:val="0"/>
          <w:divBdr>
            <w:top w:val="none" w:sz="0" w:space="0" w:color="auto"/>
            <w:left w:val="none" w:sz="0" w:space="0" w:color="auto"/>
            <w:bottom w:val="none" w:sz="0" w:space="0" w:color="auto"/>
            <w:right w:val="none" w:sz="0" w:space="0" w:color="auto"/>
          </w:divBdr>
        </w:div>
        <w:div w:id="1556237425">
          <w:marLeft w:val="0"/>
          <w:marRight w:val="0"/>
          <w:marTop w:val="0"/>
          <w:marBottom w:val="0"/>
          <w:divBdr>
            <w:top w:val="none" w:sz="0" w:space="0" w:color="auto"/>
            <w:left w:val="none" w:sz="0" w:space="0" w:color="auto"/>
            <w:bottom w:val="none" w:sz="0" w:space="0" w:color="auto"/>
            <w:right w:val="none" w:sz="0" w:space="0" w:color="auto"/>
          </w:divBdr>
        </w:div>
        <w:div w:id="753094080">
          <w:marLeft w:val="0"/>
          <w:marRight w:val="0"/>
          <w:marTop w:val="0"/>
          <w:marBottom w:val="0"/>
          <w:divBdr>
            <w:top w:val="none" w:sz="0" w:space="0" w:color="auto"/>
            <w:left w:val="none" w:sz="0" w:space="0" w:color="auto"/>
            <w:bottom w:val="none" w:sz="0" w:space="0" w:color="auto"/>
            <w:right w:val="none" w:sz="0" w:space="0" w:color="auto"/>
          </w:divBdr>
        </w:div>
        <w:div w:id="1538010639">
          <w:marLeft w:val="0"/>
          <w:marRight w:val="0"/>
          <w:marTop w:val="0"/>
          <w:marBottom w:val="0"/>
          <w:divBdr>
            <w:top w:val="none" w:sz="0" w:space="0" w:color="auto"/>
            <w:left w:val="none" w:sz="0" w:space="0" w:color="auto"/>
            <w:bottom w:val="none" w:sz="0" w:space="0" w:color="auto"/>
            <w:right w:val="none" w:sz="0" w:space="0" w:color="auto"/>
          </w:divBdr>
        </w:div>
        <w:div w:id="15035589">
          <w:marLeft w:val="0"/>
          <w:marRight w:val="0"/>
          <w:marTop w:val="0"/>
          <w:marBottom w:val="0"/>
          <w:divBdr>
            <w:top w:val="none" w:sz="0" w:space="0" w:color="auto"/>
            <w:left w:val="none" w:sz="0" w:space="0" w:color="auto"/>
            <w:bottom w:val="none" w:sz="0" w:space="0" w:color="auto"/>
            <w:right w:val="none" w:sz="0" w:space="0" w:color="auto"/>
          </w:divBdr>
        </w:div>
        <w:div w:id="1676375432">
          <w:marLeft w:val="0"/>
          <w:marRight w:val="0"/>
          <w:marTop w:val="0"/>
          <w:marBottom w:val="0"/>
          <w:divBdr>
            <w:top w:val="none" w:sz="0" w:space="0" w:color="auto"/>
            <w:left w:val="none" w:sz="0" w:space="0" w:color="auto"/>
            <w:bottom w:val="none" w:sz="0" w:space="0" w:color="auto"/>
            <w:right w:val="none" w:sz="0" w:space="0" w:color="auto"/>
          </w:divBdr>
        </w:div>
        <w:div w:id="464736942">
          <w:marLeft w:val="0"/>
          <w:marRight w:val="0"/>
          <w:marTop w:val="0"/>
          <w:marBottom w:val="0"/>
          <w:divBdr>
            <w:top w:val="none" w:sz="0" w:space="0" w:color="auto"/>
            <w:left w:val="none" w:sz="0" w:space="0" w:color="auto"/>
            <w:bottom w:val="none" w:sz="0" w:space="0" w:color="auto"/>
            <w:right w:val="none" w:sz="0" w:space="0" w:color="auto"/>
          </w:divBdr>
        </w:div>
        <w:div w:id="1927685837">
          <w:marLeft w:val="0"/>
          <w:marRight w:val="0"/>
          <w:marTop w:val="0"/>
          <w:marBottom w:val="0"/>
          <w:divBdr>
            <w:top w:val="none" w:sz="0" w:space="0" w:color="auto"/>
            <w:left w:val="none" w:sz="0" w:space="0" w:color="auto"/>
            <w:bottom w:val="none" w:sz="0" w:space="0" w:color="auto"/>
            <w:right w:val="none" w:sz="0" w:space="0" w:color="auto"/>
          </w:divBdr>
        </w:div>
        <w:div w:id="646711246">
          <w:marLeft w:val="0"/>
          <w:marRight w:val="0"/>
          <w:marTop w:val="0"/>
          <w:marBottom w:val="0"/>
          <w:divBdr>
            <w:top w:val="none" w:sz="0" w:space="0" w:color="auto"/>
            <w:left w:val="none" w:sz="0" w:space="0" w:color="auto"/>
            <w:bottom w:val="none" w:sz="0" w:space="0" w:color="auto"/>
            <w:right w:val="none" w:sz="0" w:space="0" w:color="auto"/>
          </w:divBdr>
        </w:div>
        <w:div w:id="1983608302">
          <w:marLeft w:val="0"/>
          <w:marRight w:val="0"/>
          <w:marTop w:val="0"/>
          <w:marBottom w:val="0"/>
          <w:divBdr>
            <w:top w:val="none" w:sz="0" w:space="0" w:color="auto"/>
            <w:left w:val="none" w:sz="0" w:space="0" w:color="auto"/>
            <w:bottom w:val="none" w:sz="0" w:space="0" w:color="auto"/>
            <w:right w:val="none" w:sz="0" w:space="0" w:color="auto"/>
          </w:divBdr>
        </w:div>
        <w:div w:id="1738015078">
          <w:marLeft w:val="0"/>
          <w:marRight w:val="0"/>
          <w:marTop w:val="0"/>
          <w:marBottom w:val="0"/>
          <w:divBdr>
            <w:top w:val="none" w:sz="0" w:space="0" w:color="auto"/>
            <w:left w:val="none" w:sz="0" w:space="0" w:color="auto"/>
            <w:bottom w:val="none" w:sz="0" w:space="0" w:color="auto"/>
            <w:right w:val="none" w:sz="0" w:space="0" w:color="auto"/>
          </w:divBdr>
        </w:div>
        <w:div w:id="650519538">
          <w:marLeft w:val="0"/>
          <w:marRight w:val="0"/>
          <w:marTop w:val="0"/>
          <w:marBottom w:val="0"/>
          <w:divBdr>
            <w:top w:val="none" w:sz="0" w:space="0" w:color="auto"/>
            <w:left w:val="none" w:sz="0" w:space="0" w:color="auto"/>
            <w:bottom w:val="none" w:sz="0" w:space="0" w:color="auto"/>
            <w:right w:val="none" w:sz="0" w:space="0" w:color="auto"/>
          </w:divBdr>
        </w:div>
        <w:div w:id="46078515">
          <w:marLeft w:val="0"/>
          <w:marRight w:val="0"/>
          <w:marTop w:val="0"/>
          <w:marBottom w:val="0"/>
          <w:divBdr>
            <w:top w:val="none" w:sz="0" w:space="0" w:color="auto"/>
            <w:left w:val="none" w:sz="0" w:space="0" w:color="auto"/>
            <w:bottom w:val="none" w:sz="0" w:space="0" w:color="auto"/>
            <w:right w:val="none" w:sz="0" w:space="0" w:color="auto"/>
          </w:divBdr>
        </w:div>
        <w:div w:id="508953775">
          <w:marLeft w:val="0"/>
          <w:marRight w:val="0"/>
          <w:marTop w:val="0"/>
          <w:marBottom w:val="0"/>
          <w:divBdr>
            <w:top w:val="none" w:sz="0" w:space="0" w:color="auto"/>
            <w:left w:val="none" w:sz="0" w:space="0" w:color="auto"/>
            <w:bottom w:val="none" w:sz="0" w:space="0" w:color="auto"/>
            <w:right w:val="none" w:sz="0" w:space="0" w:color="auto"/>
          </w:divBdr>
        </w:div>
        <w:div w:id="855388588">
          <w:marLeft w:val="0"/>
          <w:marRight w:val="0"/>
          <w:marTop w:val="0"/>
          <w:marBottom w:val="0"/>
          <w:divBdr>
            <w:top w:val="none" w:sz="0" w:space="0" w:color="auto"/>
            <w:left w:val="none" w:sz="0" w:space="0" w:color="auto"/>
            <w:bottom w:val="none" w:sz="0" w:space="0" w:color="auto"/>
            <w:right w:val="none" w:sz="0" w:space="0" w:color="auto"/>
          </w:divBdr>
        </w:div>
        <w:div w:id="839546527">
          <w:marLeft w:val="0"/>
          <w:marRight w:val="0"/>
          <w:marTop w:val="0"/>
          <w:marBottom w:val="0"/>
          <w:divBdr>
            <w:top w:val="none" w:sz="0" w:space="0" w:color="auto"/>
            <w:left w:val="none" w:sz="0" w:space="0" w:color="auto"/>
            <w:bottom w:val="none" w:sz="0" w:space="0" w:color="auto"/>
            <w:right w:val="none" w:sz="0" w:space="0" w:color="auto"/>
          </w:divBdr>
        </w:div>
        <w:div w:id="1746102776">
          <w:marLeft w:val="0"/>
          <w:marRight w:val="0"/>
          <w:marTop w:val="0"/>
          <w:marBottom w:val="0"/>
          <w:divBdr>
            <w:top w:val="none" w:sz="0" w:space="0" w:color="auto"/>
            <w:left w:val="none" w:sz="0" w:space="0" w:color="auto"/>
            <w:bottom w:val="none" w:sz="0" w:space="0" w:color="auto"/>
            <w:right w:val="none" w:sz="0" w:space="0" w:color="auto"/>
          </w:divBdr>
        </w:div>
        <w:div w:id="41447190">
          <w:marLeft w:val="0"/>
          <w:marRight w:val="0"/>
          <w:marTop w:val="0"/>
          <w:marBottom w:val="0"/>
          <w:divBdr>
            <w:top w:val="none" w:sz="0" w:space="0" w:color="auto"/>
            <w:left w:val="none" w:sz="0" w:space="0" w:color="auto"/>
            <w:bottom w:val="none" w:sz="0" w:space="0" w:color="auto"/>
            <w:right w:val="none" w:sz="0" w:space="0" w:color="auto"/>
          </w:divBdr>
        </w:div>
        <w:div w:id="1356926734">
          <w:marLeft w:val="0"/>
          <w:marRight w:val="0"/>
          <w:marTop w:val="0"/>
          <w:marBottom w:val="0"/>
          <w:divBdr>
            <w:top w:val="none" w:sz="0" w:space="0" w:color="auto"/>
            <w:left w:val="none" w:sz="0" w:space="0" w:color="auto"/>
            <w:bottom w:val="none" w:sz="0" w:space="0" w:color="auto"/>
            <w:right w:val="none" w:sz="0" w:space="0" w:color="auto"/>
          </w:divBdr>
        </w:div>
        <w:div w:id="282031504">
          <w:marLeft w:val="0"/>
          <w:marRight w:val="0"/>
          <w:marTop w:val="0"/>
          <w:marBottom w:val="0"/>
          <w:divBdr>
            <w:top w:val="none" w:sz="0" w:space="0" w:color="auto"/>
            <w:left w:val="none" w:sz="0" w:space="0" w:color="auto"/>
            <w:bottom w:val="none" w:sz="0" w:space="0" w:color="auto"/>
            <w:right w:val="none" w:sz="0" w:space="0" w:color="auto"/>
          </w:divBdr>
        </w:div>
        <w:div w:id="996764933">
          <w:marLeft w:val="0"/>
          <w:marRight w:val="0"/>
          <w:marTop w:val="0"/>
          <w:marBottom w:val="0"/>
          <w:divBdr>
            <w:top w:val="none" w:sz="0" w:space="0" w:color="auto"/>
            <w:left w:val="none" w:sz="0" w:space="0" w:color="auto"/>
            <w:bottom w:val="none" w:sz="0" w:space="0" w:color="auto"/>
            <w:right w:val="none" w:sz="0" w:space="0" w:color="auto"/>
          </w:divBdr>
        </w:div>
        <w:div w:id="199517707">
          <w:marLeft w:val="0"/>
          <w:marRight w:val="0"/>
          <w:marTop w:val="0"/>
          <w:marBottom w:val="0"/>
          <w:divBdr>
            <w:top w:val="none" w:sz="0" w:space="0" w:color="auto"/>
            <w:left w:val="none" w:sz="0" w:space="0" w:color="auto"/>
            <w:bottom w:val="none" w:sz="0" w:space="0" w:color="auto"/>
            <w:right w:val="none" w:sz="0" w:space="0" w:color="auto"/>
          </w:divBdr>
        </w:div>
        <w:div w:id="1245870366">
          <w:marLeft w:val="0"/>
          <w:marRight w:val="0"/>
          <w:marTop w:val="0"/>
          <w:marBottom w:val="0"/>
          <w:divBdr>
            <w:top w:val="none" w:sz="0" w:space="0" w:color="auto"/>
            <w:left w:val="none" w:sz="0" w:space="0" w:color="auto"/>
            <w:bottom w:val="none" w:sz="0" w:space="0" w:color="auto"/>
            <w:right w:val="none" w:sz="0" w:space="0" w:color="auto"/>
          </w:divBdr>
        </w:div>
        <w:div w:id="716927570">
          <w:marLeft w:val="0"/>
          <w:marRight w:val="0"/>
          <w:marTop w:val="0"/>
          <w:marBottom w:val="0"/>
          <w:divBdr>
            <w:top w:val="none" w:sz="0" w:space="0" w:color="auto"/>
            <w:left w:val="none" w:sz="0" w:space="0" w:color="auto"/>
            <w:bottom w:val="none" w:sz="0" w:space="0" w:color="auto"/>
            <w:right w:val="none" w:sz="0" w:space="0" w:color="auto"/>
          </w:divBdr>
        </w:div>
        <w:div w:id="1656763080">
          <w:marLeft w:val="0"/>
          <w:marRight w:val="0"/>
          <w:marTop w:val="0"/>
          <w:marBottom w:val="0"/>
          <w:divBdr>
            <w:top w:val="none" w:sz="0" w:space="0" w:color="auto"/>
            <w:left w:val="none" w:sz="0" w:space="0" w:color="auto"/>
            <w:bottom w:val="none" w:sz="0" w:space="0" w:color="auto"/>
            <w:right w:val="none" w:sz="0" w:space="0" w:color="auto"/>
          </w:divBdr>
        </w:div>
        <w:div w:id="1242256804">
          <w:marLeft w:val="0"/>
          <w:marRight w:val="0"/>
          <w:marTop w:val="0"/>
          <w:marBottom w:val="0"/>
          <w:divBdr>
            <w:top w:val="none" w:sz="0" w:space="0" w:color="auto"/>
            <w:left w:val="none" w:sz="0" w:space="0" w:color="auto"/>
            <w:bottom w:val="none" w:sz="0" w:space="0" w:color="auto"/>
            <w:right w:val="none" w:sz="0" w:space="0" w:color="auto"/>
          </w:divBdr>
        </w:div>
        <w:div w:id="113209089">
          <w:marLeft w:val="0"/>
          <w:marRight w:val="0"/>
          <w:marTop w:val="0"/>
          <w:marBottom w:val="0"/>
          <w:divBdr>
            <w:top w:val="none" w:sz="0" w:space="0" w:color="auto"/>
            <w:left w:val="none" w:sz="0" w:space="0" w:color="auto"/>
            <w:bottom w:val="none" w:sz="0" w:space="0" w:color="auto"/>
            <w:right w:val="none" w:sz="0" w:space="0" w:color="auto"/>
          </w:divBdr>
        </w:div>
        <w:div w:id="410547773">
          <w:marLeft w:val="0"/>
          <w:marRight w:val="0"/>
          <w:marTop w:val="0"/>
          <w:marBottom w:val="0"/>
          <w:divBdr>
            <w:top w:val="none" w:sz="0" w:space="0" w:color="auto"/>
            <w:left w:val="none" w:sz="0" w:space="0" w:color="auto"/>
            <w:bottom w:val="none" w:sz="0" w:space="0" w:color="auto"/>
            <w:right w:val="none" w:sz="0" w:space="0" w:color="auto"/>
          </w:divBdr>
        </w:div>
        <w:div w:id="1052461601">
          <w:marLeft w:val="0"/>
          <w:marRight w:val="0"/>
          <w:marTop w:val="0"/>
          <w:marBottom w:val="0"/>
          <w:divBdr>
            <w:top w:val="none" w:sz="0" w:space="0" w:color="auto"/>
            <w:left w:val="none" w:sz="0" w:space="0" w:color="auto"/>
            <w:bottom w:val="none" w:sz="0" w:space="0" w:color="auto"/>
            <w:right w:val="none" w:sz="0" w:space="0" w:color="auto"/>
          </w:divBdr>
        </w:div>
        <w:div w:id="2114781230">
          <w:marLeft w:val="0"/>
          <w:marRight w:val="0"/>
          <w:marTop w:val="0"/>
          <w:marBottom w:val="0"/>
          <w:divBdr>
            <w:top w:val="none" w:sz="0" w:space="0" w:color="auto"/>
            <w:left w:val="none" w:sz="0" w:space="0" w:color="auto"/>
            <w:bottom w:val="none" w:sz="0" w:space="0" w:color="auto"/>
            <w:right w:val="none" w:sz="0" w:space="0" w:color="auto"/>
          </w:divBdr>
        </w:div>
        <w:div w:id="441926364">
          <w:marLeft w:val="0"/>
          <w:marRight w:val="0"/>
          <w:marTop w:val="0"/>
          <w:marBottom w:val="0"/>
          <w:divBdr>
            <w:top w:val="none" w:sz="0" w:space="0" w:color="auto"/>
            <w:left w:val="none" w:sz="0" w:space="0" w:color="auto"/>
            <w:bottom w:val="none" w:sz="0" w:space="0" w:color="auto"/>
            <w:right w:val="none" w:sz="0" w:space="0" w:color="auto"/>
          </w:divBdr>
          <w:divsChild>
            <w:div w:id="1654336308">
              <w:marLeft w:val="0"/>
              <w:marRight w:val="0"/>
              <w:marTop w:val="0"/>
              <w:marBottom w:val="0"/>
              <w:divBdr>
                <w:top w:val="none" w:sz="0" w:space="0" w:color="auto"/>
                <w:left w:val="none" w:sz="0" w:space="0" w:color="auto"/>
                <w:bottom w:val="none" w:sz="0" w:space="0" w:color="auto"/>
                <w:right w:val="none" w:sz="0" w:space="0" w:color="auto"/>
              </w:divBdr>
            </w:div>
            <w:div w:id="82606122">
              <w:marLeft w:val="0"/>
              <w:marRight w:val="0"/>
              <w:marTop w:val="0"/>
              <w:marBottom w:val="0"/>
              <w:divBdr>
                <w:top w:val="none" w:sz="0" w:space="0" w:color="auto"/>
                <w:left w:val="none" w:sz="0" w:space="0" w:color="auto"/>
                <w:bottom w:val="none" w:sz="0" w:space="0" w:color="auto"/>
                <w:right w:val="none" w:sz="0" w:space="0" w:color="auto"/>
              </w:divBdr>
            </w:div>
          </w:divsChild>
        </w:div>
        <w:div w:id="2128305701">
          <w:marLeft w:val="0"/>
          <w:marRight w:val="0"/>
          <w:marTop w:val="0"/>
          <w:marBottom w:val="0"/>
          <w:divBdr>
            <w:top w:val="none" w:sz="0" w:space="0" w:color="auto"/>
            <w:left w:val="none" w:sz="0" w:space="0" w:color="auto"/>
            <w:bottom w:val="none" w:sz="0" w:space="0" w:color="auto"/>
            <w:right w:val="none" w:sz="0" w:space="0" w:color="auto"/>
          </w:divBdr>
        </w:div>
        <w:div w:id="1461069129">
          <w:marLeft w:val="0"/>
          <w:marRight w:val="0"/>
          <w:marTop w:val="0"/>
          <w:marBottom w:val="0"/>
          <w:divBdr>
            <w:top w:val="none" w:sz="0" w:space="0" w:color="auto"/>
            <w:left w:val="none" w:sz="0" w:space="0" w:color="auto"/>
            <w:bottom w:val="none" w:sz="0" w:space="0" w:color="auto"/>
            <w:right w:val="none" w:sz="0" w:space="0" w:color="auto"/>
          </w:divBdr>
        </w:div>
        <w:div w:id="1850485834">
          <w:marLeft w:val="0"/>
          <w:marRight w:val="0"/>
          <w:marTop w:val="0"/>
          <w:marBottom w:val="0"/>
          <w:divBdr>
            <w:top w:val="none" w:sz="0" w:space="0" w:color="auto"/>
            <w:left w:val="none" w:sz="0" w:space="0" w:color="auto"/>
            <w:bottom w:val="none" w:sz="0" w:space="0" w:color="auto"/>
            <w:right w:val="none" w:sz="0" w:space="0" w:color="auto"/>
          </w:divBdr>
        </w:div>
        <w:div w:id="865144817">
          <w:marLeft w:val="0"/>
          <w:marRight w:val="0"/>
          <w:marTop w:val="0"/>
          <w:marBottom w:val="0"/>
          <w:divBdr>
            <w:top w:val="none" w:sz="0" w:space="0" w:color="auto"/>
            <w:left w:val="none" w:sz="0" w:space="0" w:color="auto"/>
            <w:bottom w:val="none" w:sz="0" w:space="0" w:color="auto"/>
            <w:right w:val="none" w:sz="0" w:space="0" w:color="auto"/>
          </w:divBdr>
        </w:div>
        <w:div w:id="1738628790">
          <w:marLeft w:val="0"/>
          <w:marRight w:val="0"/>
          <w:marTop w:val="0"/>
          <w:marBottom w:val="0"/>
          <w:divBdr>
            <w:top w:val="none" w:sz="0" w:space="0" w:color="auto"/>
            <w:left w:val="none" w:sz="0" w:space="0" w:color="auto"/>
            <w:bottom w:val="none" w:sz="0" w:space="0" w:color="auto"/>
            <w:right w:val="none" w:sz="0" w:space="0" w:color="auto"/>
          </w:divBdr>
          <w:divsChild>
            <w:div w:id="360475716">
              <w:marLeft w:val="0"/>
              <w:marRight w:val="0"/>
              <w:marTop w:val="0"/>
              <w:marBottom w:val="0"/>
              <w:divBdr>
                <w:top w:val="none" w:sz="0" w:space="0" w:color="auto"/>
                <w:left w:val="none" w:sz="0" w:space="0" w:color="auto"/>
                <w:bottom w:val="none" w:sz="0" w:space="0" w:color="auto"/>
                <w:right w:val="none" w:sz="0" w:space="0" w:color="auto"/>
              </w:divBdr>
            </w:div>
            <w:div w:id="597325511">
              <w:marLeft w:val="0"/>
              <w:marRight w:val="0"/>
              <w:marTop w:val="0"/>
              <w:marBottom w:val="0"/>
              <w:divBdr>
                <w:top w:val="none" w:sz="0" w:space="0" w:color="auto"/>
                <w:left w:val="none" w:sz="0" w:space="0" w:color="auto"/>
                <w:bottom w:val="none" w:sz="0" w:space="0" w:color="auto"/>
                <w:right w:val="none" w:sz="0" w:space="0" w:color="auto"/>
              </w:divBdr>
            </w:div>
          </w:divsChild>
        </w:div>
        <w:div w:id="2125539290">
          <w:marLeft w:val="0"/>
          <w:marRight w:val="0"/>
          <w:marTop w:val="0"/>
          <w:marBottom w:val="0"/>
          <w:divBdr>
            <w:top w:val="none" w:sz="0" w:space="0" w:color="auto"/>
            <w:left w:val="none" w:sz="0" w:space="0" w:color="auto"/>
            <w:bottom w:val="none" w:sz="0" w:space="0" w:color="auto"/>
            <w:right w:val="none" w:sz="0" w:space="0" w:color="auto"/>
          </w:divBdr>
        </w:div>
        <w:div w:id="2058048100">
          <w:marLeft w:val="0"/>
          <w:marRight w:val="0"/>
          <w:marTop w:val="0"/>
          <w:marBottom w:val="0"/>
          <w:divBdr>
            <w:top w:val="none" w:sz="0" w:space="0" w:color="auto"/>
            <w:left w:val="none" w:sz="0" w:space="0" w:color="auto"/>
            <w:bottom w:val="none" w:sz="0" w:space="0" w:color="auto"/>
            <w:right w:val="none" w:sz="0" w:space="0" w:color="auto"/>
          </w:divBdr>
        </w:div>
        <w:div w:id="1728914125">
          <w:marLeft w:val="0"/>
          <w:marRight w:val="0"/>
          <w:marTop w:val="0"/>
          <w:marBottom w:val="0"/>
          <w:divBdr>
            <w:top w:val="none" w:sz="0" w:space="0" w:color="auto"/>
            <w:left w:val="none" w:sz="0" w:space="0" w:color="auto"/>
            <w:bottom w:val="none" w:sz="0" w:space="0" w:color="auto"/>
            <w:right w:val="none" w:sz="0" w:space="0" w:color="auto"/>
          </w:divBdr>
        </w:div>
        <w:div w:id="813178495">
          <w:marLeft w:val="0"/>
          <w:marRight w:val="0"/>
          <w:marTop w:val="0"/>
          <w:marBottom w:val="0"/>
          <w:divBdr>
            <w:top w:val="none" w:sz="0" w:space="0" w:color="auto"/>
            <w:left w:val="none" w:sz="0" w:space="0" w:color="auto"/>
            <w:bottom w:val="none" w:sz="0" w:space="0" w:color="auto"/>
            <w:right w:val="none" w:sz="0" w:space="0" w:color="auto"/>
          </w:divBdr>
        </w:div>
        <w:div w:id="1908570229">
          <w:marLeft w:val="0"/>
          <w:marRight w:val="0"/>
          <w:marTop w:val="0"/>
          <w:marBottom w:val="0"/>
          <w:divBdr>
            <w:top w:val="none" w:sz="0" w:space="0" w:color="auto"/>
            <w:left w:val="none" w:sz="0" w:space="0" w:color="auto"/>
            <w:bottom w:val="none" w:sz="0" w:space="0" w:color="auto"/>
            <w:right w:val="none" w:sz="0" w:space="0" w:color="auto"/>
          </w:divBdr>
        </w:div>
        <w:div w:id="148133272">
          <w:marLeft w:val="0"/>
          <w:marRight w:val="0"/>
          <w:marTop w:val="0"/>
          <w:marBottom w:val="0"/>
          <w:divBdr>
            <w:top w:val="none" w:sz="0" w:space="0" w:color="auto"/>
            <w:left w:val="none" w:sz="0" w:space="0" w:color="auto"/>
            <w:bottom w:val="none" w:sz="0" w:space="0" w:color="auto"/>
            <w:right w:val="none" w:sz="0" w:space="0" w:color="auto"/>
          </w:divBdr>
          <w:divsChild>
            <w:div w:id="1222130889">
              <w:marLeft w:val="0"/>
              <w:marRight w:val="0"/>
              <w:marTop w:val="0"/>
              <w:marBottom w:val="0"/>
              <w:divBdr>
                <w:top w:val="none" w:sz="0" w:space="0" w:color="auto"/>
                <w:left w:val="none" w:sz="0" w:space="0" w:color="auto"/>
                <w:bottom w:val="none" w:sz="0" w:space="0" w:color="auto"/>
                <w:right w:val="none" w:sz="0" w:space="0" w:color="auto"/>
              </w:divBdr>
            </w:div>
            <w:div w:id="134294638">
              <w:marLeft w:val="0"/>
              <w:marRight w:val="0"/>
              <w:marTop w:val="0"/>
              <w:marBottom w:val="0"/>
              <w:divBdr>
                <w:top w:val="none" w:sz="0" w:space="0" w:color="auto"/>
                <w:left w:val="none" w:sz="0" w:space="0" w:color="auto"/>
                <w:bottom w:val="none" w:sz="0" w:space="0" w:color="auto"/>
                <w:right w:val="none" w:sz="0" w:space="0" w:color="auto"/>
              </w:divBdr>
            </w:div>
          </w:divsChild>
        </w:div>
        <w:div w:id="1160118433">
          <w:marLeft w:val="0"/>
          <w:marRight w:val="0"/>
          <w:marTop w:val="0"/>
          <w:marBottom w:val="0"/>
          <w:divBdr>
            <w:top w:val="none" w:sz="0" w:space="0" w:color="auto"/>
            <w:left w:val="none" w:sz="0" w:space="0" w:color="auto"/>
            <w:bottom w:val="none" w:sz="0" w:space="0" w:color="auto"/>
            <w:right w:val="none" w:sz="0" w:space="0" w:color="auto"/>
          </w:divBdr>
        </w:div>
        <w:div w:id="979309556">
          <w:marLeft w:val="0"/>
          <w:marRight w:val="0"/>
          <w:marTop w:val="0"/>
          <w:marBottom w:val="0"/>
          <w:divBdr>
            <w:top w:val="none" w:sz="0" w:space="0" w:color="auto"/>
            <w:left w:val="none" w:sz="0" w:space="0" w:color="auto"/>
            <w:bottom w:val="none" w:sz="0" w:space="0" w:color="auto"/>
            <w:right w:val="none" w:sz="0" w:space="0" w:color="auto"/>
          </w:divBdr>
        </w:div>
        <w:div w:id="90441046">
          <w:marLeft w:val="0"/>
          <w:marRight w:val="0"/>
          <w:marTop w:val="0"/>
          <w:marBottom w:val="0"/>
          <w:divBdr>
            <w:top w:val="none" w:sz="0" w:space="0" w:color="auto"/>
            <w:left w:val="none" w:sz="0" w:space="0" w:color="auto"/>
            <w:bottom w:val="none" w:sz="0" w:space="0" w:color="auto"/>
            <w:right w:val="none" w:sz="0" w:space="0" w:color="auto"/>
          </w:divBdr>
        </w:div>
        <w:div w:id="1217087243">
          <w:marLeft w:val="0"/>
          <w:marRight w:val="0"/>
          <w:marTop w:val="0"/>
          <w:marBottom w:val="0"/>
          <w:divBdr>
            <w:top w:val="none" w:sz="0" w:space="0" w:color="auto"/>
            <w:left w:val="none" w:sz="0" w:space="0" w:color="auto"/>
            <w:bottom w:val="none" w:sz="0" w:space="0" w:color="auto"/>
            <w:right w:val="none" w:sz="0" w:space="0" w:color="auto"/>
          </w:divBdr>
        </w:div>
        <w:div w:id="360324789">
          <w:marLeft w:val="0"/>
          <w:marRight w:val="0"/>
          <w:marTop w:val="0"/>
          <w:marBottom w:val="0"/>
          <w:divBdr>
            <w:top w:val="none" w:sz="0" w:space="0" w:color="auto"/>
            <w:left w:val="none" w:sz="0" w:space="0" w:color="auto"/>
            <w:bottom w:val="none" w:sz="0" w:space="0" w:color="auto"/>
            <w:right w:val="none" w:sz="0" w:space="0" w:color="auto"/>
          </w:divBdr>
        </w:div>
        <w:div w:id="470099271">
          <w:marLeft w:val="0"/>
          <w:marRight w:val="0"/>
          <w:marTop w:val="0"/>
          <w:marBottom w:val="0"/>
          <w:divBdr>
            <w:top w:val="none" w:sz="0" w:space="0" w:color="auto"/>
            <w:left w:val="none" w:sz="0" w:space="0" w:color="auto"/>
            <w:bottom w:val="none" w:sz="0" w:space="0" w:color="auto"/>
            <w:right w:val="none" w:sz="0" w:space="0" w:color="auto"/>
          </w:divBdr>
        </w:div>
        <w:div w:id="1575159177">
          <w:marLeft w:val="0"/>
          <w:marRight w:val="0"/>
          <w:marTop w:val="0"/>
          <w:marBottom w:val="0"/>
          <w:divBdr>
            <w:top w:val="none" w:sz="0" w:space="0" w:color="auto"/>
            <w:left w:val="none" w:sz="0" w:space="0" w:color="auto"/>
            <w:bottom w:val="none" w:sz="0" w:space="0" w:color="auto"/>
            <w:right w:val="none" w:sz="0" w:space="0" w:color="auto"/>
          </w:divBdr>
          <w:divsChild>
            <w:div w:id="377314879">
              <w:marLeft w:val="0"/>
              <w:marRight w:val="0"/>
              <w:marTop w:val="0"/>
              <w:marBottom w:val="0"/>
              <w:divBdr>
                <w:top w:val="none" w:sz="0" w:space="0" w:color="auto"/>
                <w:left w:val="none" w:sz="0" w:space="0" w:color="auto"/>
                <w:bottom w:val="none" w:sz="0" w:space="0" w:color="auto"/>
                <w:right w:val="none" w:sz="0" w:space="0" w:color="auto"/>
              </w:divBdr>
            </w:div>
            <w:div w:id="907421908">
              <w:marLeft w:val="0"/>
              <w:marRight w:val="0"/>
              <w:marTop w:val="0"/>
              <w:marBottom w:val="0"/>
              <w:divBdr>
                <w:top w:val="none" w:sz="0" w:space="0" w:color="auto"/>
                <w:left w:val="none" w:sz="0" w:space="0" w:color="auto"/>
                <w:bottom w:val="none" w:sz="0" w:space="0" w:color="auto"/>
                <w:right w:val="none" w:sz="0" w:space="0" w:color="auto"/>
              </w:divBdr>
            </w:div>
            <w:div w:id="1904097446">
              <w:marLeft w:val="0"/>
              <w:marRight w:val="0"/>
              <w:marTop w:val="0"/>
              <w:marBottom w:val="0"/>
              <w:divBdr>
                <w:top w:val="none" w:sz="0" w:space="0" w:color="auto"/>
                <w:left w:val="none" w:sz="0" w:space="0" w:color="auto"/>
                <w:bottom w:val="none" w:sz="0" w:space="0" w:color="auto"/>
                <w:right w:val="none" w:sz="0" w:space="0" w:color="auto"/>
              </w:divBdr>
            </w:div>
            <w:div w:id="1192187602">
              <w:marLeft w:val="0"/>
              <w:marRight w:val="0"/>
              <w:marTop w:val="0"/>
              <w:marBottom w:val="0"/>
              <w:divBdr>
                <w:top w:val="none" w:sz="0" w:space="0" w:color="auto"/>
                <w:left w:val="none" w:sz="0" w:space="0" w:color="auto"/>
                <w:bottom w:val="none" w:sz="0" w:space="0" w:color="auto"/>
                <w:right w:val="none" w:sz="0" w:space="0" w:color="auto"/>
              </w:divBdr>
            </w:div>
          </w:divsChild>
        </w:div>
        <w:div w:id="763721821">
          <w:marLeft w:val="0"/>
          <w:marRight w:val="0"/>
          <w:marTop w:val="0"/>
          <w:marBottom w:val="0"/>
          <w:divBdr>
            <w:top w:val="none" w:sz="0" w:space="0" w:color="auto"/>
            <w:left w:val="none" w:sz="0" w:space="0" w:color="auto"/>
            <w:bottom w:val="none" w:sz="0" w:space="0" w:color="auto"/>
            <w:right w:val="none" w:sz="0" w:space="0" w:color="auto"/>
          </w:divBdr>
          <w:divsChild>
            <w:div w:id="1724450703">
              <w:marLeft w:val="0"/>
              <w:marRight w:val="0"/>
              <w:marTop w:val="0"/>
              <w:marBottom w:val="0"/>
              <w:divBdr>
                <w:top w:val="none" w:sz="0" w:space="0" w:color="auto"/>
                <w:left w:val="none" w:sz="0" w:space="0" w:color="auto"/>
                <w:bottom w:val="none" w:sz="0" w:space="0" w:color="auto"/>
                <w:right w:val="none" w:sz="0" w:space="0" w:color="auto"/>
              </w:divBdr>
            </w:div>
            <w:div w:id="2098673239">
              <w:marLeft w:val="0"/>
              <w:marRight w:val="0"/>
              <w:marTop w:val="0"/>
              <w:marBottom w:val="0"/>
              <w:divBdr>
                <w:top w:val="none" w:sz="0" w:space="0" w:color="auto"/>
                <w:left w:val="none" w:sz="0" w:space="0" w:color="auto"/>
                <w:bottom w:val="none" w:sz="0" w:space="0" w:color="auto"/>
                <w:right w:val="none" w:sz="0" w:space="0" w:color="auto"/>
              </w:divBdr>
            </w:div>
          </w:divsChild>
        </w:div>
        <w:div w:id="895819347">
          <w:marLeft w:val="0"/>
          <w:marRight w:val="0"/>
          <w:marTop w:val="0"/>
          <w:marBottom w:val="0"/>
          <w:divBdr>
            <w:top w:val="none" w:sz="0" w:space="0" w:color="auto"/>
            <w:left w:val="none" w:sz="0" w:space="0" w:color="auto"/>
            <w:bottom w:val="none" w:sz="0" w:space="0" w:color="auto"/>
            <w:right w:val="none" w:sz="0" w:space="0" w:color="auto"/>
          </w:divBdr>
        </w:div>
        <w:div w:id="1409186015">
          <w:marLeft w:val="0"/>
          <w:marRight w:val="0"/>
          <w:marTop w:val="0"/>
          <w:marBottom w:val="0"/>
          <w:divBdr>
            <w:top w:val="none" w:sz="0" w:space="0" w:color="auto"/>
            <w:left w:val="none" w:sz="0" w:space="0" w:color="auto"/>
            <w:bottom w:val="none" w:sz="0" w:space="0" w:color="auto"/>
            <w:right w:val="none" w:sz="0" w:space="0" w:color="auto"/>
          </w:divBdr>
        </w:div>
        <w:div w:id="663046672">
          <w:marLeft w:val="0"/>
          <w:marRight w:val="0"/>
          <w:marTop w:val="0"/>
          <w:marBottom w:val="0"/>
          <w:divBdr>
            <w:top w:val="none" w:sz="0" w:space="0" w:color="auto"/>
            <w:left w:val="none" w:sz="0" w:space="0" w:color="auto"/>
            <w:bottom w:val="none" w:sz="0" w:space="0" w:color="auto"/>
            <w:right w:val="none" w:sz="0" w:space="0" w:color="auto"/>
          </w:divBdr>
        </w:div>
        <w:div w:id="794564986">
          <w:marLeft w:val="0"/>
          <w:marRight w:val="0"/>
          <w:marTop w:val="0"/>
          <w:marBottom w:val="0"/>
          <w:divBdr>
            <w:top w:val="none" w:sz="0" w:space="0" w:color="auto"/>
            <w:left w:val="none" w:sz="0" w:space="0" w:color="auto"/>
            <w:bottom w:val="none" w:sz="0" w:space="0" w:color="auto"/>
            <w:right w:val="none" w:sz="0" w:space="0" w:color="auto"/>
          </w:divBdr>
          <w:divsChild>
            <w:div w:id="1740785438">
              <w:marLeft w:val="0"/>
              <w:marRight w:val="0"/>
              <w:marTop w:val="0"/>
              <w:marBottom w:val="0"/>
              <w:divBdr>
                <w:top w:val="none" w:sz="0" w:space="0" w:color="auto"/>
                <w:left w:val="none" w:sz="0" w:space="0" w:color="auto"/>
                <w:bottom w:val="none" w:sz="0" w:space="0" w:color="auto"/>
                <w:right w:val="none" w:sz="0" w:space="0" w:color="auto"/>
              </w:divBdr>
            </w:div>
            <w:div w:id="1995795885">
              <w:marLeft w:val="0"/>
              <w:marRight w:val="0"/>
              <w:marTop w:val="0"/>
              <w:marBottom w:val="0"/>
              <w:divBdr>
                <w:top w:val="none" w:sz="0" w:space="0" w:color="auto"/>
                <w:left w:val="none" w:sz="0" w:space="0" w:color="auto"/>
                <w:bottom w:val="none" w:sz="0" w:space="0" w:color="auto"/>
                <w:right w:val="none" w:sz="0" w:space="0" w:color="auto"/>
              </w:divBdr>
            </w:div>
          </w:divsChild>
        </w:div>
        <w:div w:id="1664624464">
          <w:marLeft w:val="0"/>
          <w:marRight w:val="0"/>
          <w:marTop w:val="0"/>
          <w:marBottom w:val="0"/>
          <w:divBdr>
            <w:top w:val="none" w:sz="0" w:space="0" w:color="auto"/>
            <w:left w:val="none" w:sz="0" w:space="0" w:color="auto"/>
            <w:bottom w:val="none" w:sz="0" w:space="0" w:color="auto"/>
            <w:right w:val="none" w:sz="0" w:space="0" w:color="auto"/>
          </w:divBdr>
        </w:div>
        <w:div w:id="998339742">
          <w:marLeft w:val="0"/>
          <w:marRight w:val="0"/>
          <w:marTop w:val="0"/>
          <w:marBottom w:val="0"/>
          <w:divBdr>
            <w:top w:val="none" w:sz="0" w:space="0" w:color="auto"/>
            <w:left w:val="none" w:sz="0" w:space="0" w:color="auto"/>
            <w:bottom w:val="none" w:sz="0" w:space="0" w:color="auto"/>
            <w:right w:val="none" w:sz="0" w:space="0" w:color="auto"/>
          </w:divBdr>
        </w:div>
        <w:div w:id="154807173">
          <w:marLeft w:val="0"/>
          <w:marRight w:val="0"/>
          <w:marTop w:val="0"/>
          <w:marBottom w:val="0"/>
          <w:divBdr>
            <w:top w:val="none" w:sz="0" w:space="0" w:color="auto"/>
            <w:left w:val="none" w:sz="0" w:space="0" w:color="auto"/>
            <w:bottom w:val="none" w:sz="0" w:space="0" w:color="auto"/>
            <w:right w:val="none" w:sz="0" w:space="0" w:color="auto"/>
          </w:divBdr>
        </w:div>
        <w:div w:id="447698936">
          <w:marLeft w:val="0"/>
          <w:marRight w:val="0"/>
          <w:marTop w:val="0"/>
          <w:marBottom w:val="0"/>
          <w:divBdr>
            <w:top w:val="none" w:sz="0" w:space="0" w:color="auto"/>
            <w:left w:val="none" w:sz="0" w:space="0" w:color="auto"/>
            <w:bottom w:val="none" w:sz="0" w:space="0" w:color="auto"/>
            <w:right w:val="none" w:sz="0" w:space="0" w:color="auto"/>
          </w:divBdr>
        </w:div>
        <w:div w:id="1689674921">
          <w:marLeft w:val="0"/>
          <w:marRight w:val="0"/>
          <w:marTop w:val="0"/>
          <w:marBottom w:val="0"/>
          <w:divBdr>
            <w:top w:val="none" w:sz="0" w:space="0" w:color="auto"/>
            <w:left w:val="none" w:sz="0" w:space="0" w:color="auto"/>
            <w:bottom w:val="none" w:sz="0" w:space="0" w:color="auto"/>
            <w:right w:val="none" w:sz="0" w:space="0" w:color="auto"/>
          </w:divBdr>
        </w:div>
        <w:div w:id="1541161309">
          <w:marLeft w:val="0"/>
          <w:marRight w:val="0"/>
          <w:marTop w:val="0"/>
          <w:marBottom w:val="0"/>
          <w:divBdr>
            <w:top w:val="none" w:sz="0" w:space="0" w:color="auto"/>
            <w:left w:val="none" w:sz="0" w:space="0" w:color="auto"/>
            <w:bottom w:val="none" w:sz="0" w:space="0" w:color="auto"/>
            <w:right w:val="none" w:sz="0" w:space="0" w:color="auto"/>
          </w:divBdr>
        </w:div>
        <w:div w:id="990065385">
          <w:marLeft w:val="0"/>
          <w:marRight w:val="0"/>
          <w:marTop w:val="0"/>
          <w:marBottom w:val="0"/>
          <w:divBdr>
            <w:top w:val="none" w:sz="0" w:space="0" w:color="auto"/>
            <w:left w:val="none" w:sz="0" w:space="0" w:color="auto"/>
            <w:bottom w:val="none" w:sz="0" w:space="0" w:color="auto"/>
            <w:right w:val="none" w:sz="0" w:space="0" w:color="auto"/>
          </w:divBdr>
        </w:div>
        <w:div w:id="579943994">
          <w:marLeft w:val="0"/>
          <w:marRight w:val="0"/>
          <w:marTop w:val="0"/>
          <w:marBottom w:val="0"/>
          <w:divBdr>
            <w:top w:val="none" w:sz="0" w:space="0" w:color="auto"/>
            <w:left w:val="none" w:sz="0" w:space="0" w:color="auto"/>
            <w:bottom w:val="none" w:sz="0" w:space="0" w:color="auto"/>
            <w:right w:val="none" w:sz="0" w:space="0" w:color="auto"/>
          </w:divBdr>
        </w:div>
        <w:div w:id="1477985946">
          <w:marLeft w:val="0"/>
          <w:marRight w:val="0"/>
          <w:marTop w:val="0"/>
          <w:marBottom w:val="0"/>
          <w:divBdr>
            <w:top w:val="none" w:sz="0" w:space="0" w:color="auto"/>
            <w:left w:val="none" w:sz="0" w:space="0" w:color="auto"/>
            <w:bottom w:val="none" w:sz="0" w:space="0" w:color="auto"/>
            <w:right w:val="none" w:sz="0" w:space="0" w:color="auto"/>
          </w:divBdr>
        </w:div>
        <w:div w:id="957183845">
          <w:marLeft w:val="0"/>
          <w:marRight w:val="0"/>
          <w:marTop w:val="0"/>
          <w:marBottom w:val="0"/>
          <w:divBdr>
            <w:top w:val="none" w:sz="0" w:space="0" w:color="auto"/>
            <w:left w:val="none" w:sz="0" w:space="0" w:color="auto"/>
            <w:bottom w:val="none" w:sz="0" w:space="0" w:color="auto"/>
            <w:right w:val="none" w:sz="0" w:space="0" w:color="auto"/>
          </w:divBdr>
          <w:divsChild>
            <w:div w:id="636951837">
              <w:marLeft w:val="0"/>
              <w:marRight w:val="0"/>
              <w:marTop w:val="0"/>
              <w:marBottom w:val="0"/>
              <w:divBdr>
                <w:top w:val="none" w:sz="0" w:space="0" w:color="auto"/>
                <w:left w:val="none" w:sz="0" w:space="0" w:color="auto"/>
                <w:bottom w:val="none" w:sz="0" w:space="0" w:color="auto"/>
                <w:right w:val="none" w:sz="0" w:space="0" w:color="auto"/>
              </w:divBdr>
            </w:div>
            <w:div w:id="1931111580">
              <w:marLeft w:val="0"/>
              <w:marRight w:val="0"/>
              <w:marTop w:val="0"/>
              <w:marBottom w:val="0"/>
              <w:divBdr>
                <w:top w:val="none" w:sz="0" w:space="0" w:color="auto"/>
                <w:left w:val="none" w:sz="0" w:space="0" w:color="auto"/>
                <w:bottom w:val="none" w:sz="0" w:space="0" w:color="auto"/>
                <w:right w:val="none" w:sz="0" w:space="0" w:color="auto"/>
              </w:divBdr>
            </w:div>
          </w:divsChild>
        </w:div>
        <w:div w:id="1465343501">
          <w:marLeft w:val="0"/>
          <w:marRight w:val="0"/>
          <w:marTop w:val="0"/>
          <w:marBottom w:val="0"/>
          <w:divBdr>
            <w:top w:val="none" w:sz="0" w:space="0" w:color="auto"/>
            <w:left w:val="none" w:sz="0" w:space="0" w:color="auto"/>
            <w:bottom w:val="none" w:sz="0" w:space="0" w:color="auto"/>
            <w:right w:val="none" w:sz="0" w:space="0" w:color="auto"/>
          </w:divBdr>
          <w:divsChild>
            <w:div w:id="140314383">
              <w:marLeft w:val="0"/>
              <w:marRight w:val="0"/>
              <w:marTop w:val="0"/>
              <w:marBottom w:val="0"/>
              <w:divBdr>
                <w:top w:val="none" w:sz="0" w:space="0" w:color="auto"/>
                <w:left w:val="none" w:sz="0" w:space="0" w:color="auto"/>
                <w:bottom w:val="none" w:sz="0" w:space="0" w:color="auto"/>
                <w:right w:val="none" w:sz="0" w:space="0" w:color="auto"/>
              </w:divBdr>
            </w:div>
            <w:div w:id="1428305365">
              <w:marLeft w:val="0"/>
              <w:marRight w:val="0"/>
              <w:marTop w:val="0"/>
              <w:marBottom w:val="0"/>
              <w:divBdr>
                <w:top w:val="none" w:sz="0" w:space="0" w:color="auto"/>
                <w:left w:val="none" w:sz="0" w:space="0" w:color="auto"/>
                <w:bottom w:val="none" w:sz="0" w:space="0" w:color="auto"/>
                <w:right w:val="none" w:sz="0" w:space="0" w:color="auto"/>
              </w:divBdr>
            </w:div>
            <w:div w:id="975837828">
              <w:marLeft w:val="0"/>
              <w:marRight w:val="0"/>
              <w:marTop w:val="0"/>
              <w:marBottom w:val="0"/>
              <w:divBdr>
                <w:top w:val="none" w:sz="0" w:space="0" w:color="auto"/>
                <w:left w:val="none" w:sz="0" w:space="0" w:color="auto"/>
                <w:bottom w:val="none" w:sz="0" w:space="0" w:color="auto"/>
                <w:right w:val="none" w:sz="0" w:space="0" w:color="auto"/>
              </w:divBdr>
            </w:div>
            <w:div w:id="1380393853">
              <w:marLeft w:val="0"/>
              <w:marRight w:val="0"/>
              <w:marTop w:val="0"/>
              <w:marBottom w:val="0"/>
              <w:divBdr>
                <w:top w:val="none" w:sz="0" w:space="0" w:color="auto"/>
                <w:left w:val="none" w:sz="0" w:space="0" w:color="auto"/>
                <w:bottom w:val="none" w:sz="0" w:space="0" w:color="auto"/>
                <w:right w:val="none" w:sz="0" w:space="0" w:color="auto"/>
              </w:divBdr>
            </w:div>
            <w:div w:id="1912421267">
              <w:marLeft w:val="0"/>
              <w:marRight w:val="0"/>
              <w:marTop w:val="0"/>
              <w:marBottom w:val="0"/>
              <w:divBdr>
                <w:top w:val="none" w:sz="0" w:space="0" w:color="auto"/>
                <w:left w:val="none" w:sz="0" w:space="0" w:color="auto"/>
                <w:bottom w:val="none" w:sz="0" w:space="0" w:color="auto"/>
                <w:right w:val="none" w:sz="0" w:space="0" w:color="auto"/>
              </w:divBdr>
            </w:div>
            <w:div w:id="2144689735">
              <w:marLeft w:val="0"/>
              <w:marRight w:val="0"/>
              <w:marTop w:val="0"/>
              <w:marBottom w:val="0"/>
              <w:divBdr>
                <w:top w:val="none" w:sz="0" w:space="0" w:color="auto"/>
                <w:left w:val="none" w:sz="0" w:space="0" w:color="auto"/>
                <w:bottom w:val="none" w:sz="0" w:space="0" w:color="auto"/>
                <w:right w:val="none" w:sz="0" w:space="0" w:color="auto"/>
              </w:divBdr>
            </w:div>
            <w:div w:id="2142338923">
              <w:marLeft w:val="0"/>
              <w:marRight w:val="0"/>
              <w:marTop w:val="0"/>
              <w:marBottom w:val="0"/>
              <w:divBdr>
                <w:top w:val="none" w:sz="0" w:space="0" w:color="auto"/>
                <w:left w:val="none" w:sz="0" w:space="0" w:color="auto"/>
                <w:bottom w:val="none" w:sz="0" w:space="0" w:color="auto"/>
                <w:right w:val="none" w:sz="0" w:space="0" w:color="auto"/>
              </w:divBdr>
            </w:div>
            <w:div w:id="1311863919">
              <w:marLeft w:val="0"/>
              <w:marRight w:val="0"/>
              <w:marTop w:val="0"/>
              <w:marBottom w:val="0"/>
              <w:divBdr>
                <w:top w:val="none" w:sz="0" w:space="0" w:color="auto"/>
                <w:left w:val="none" w:sz="0" w:space="0" w:color="auto"/>
                <w:bottom w:val="none" w:sz="0" w:space="0" w:color="auto"/>
                <w:right w:val="none" w:sz="0" w:space="0" w:color="auto"/>
              </w:divBdr>
            </w:div>
            <w:div w:id="1681932774">
              <w:marLeft w:val="0"/>
              <w:marRight w:val="0"/>
              <w:marTop w:val="0"/>
              <w:marBottom w:val="0"/>
              <w:divBdr>
                <w:top w:val="none" w:sz="0" w:space="0" w:color="auto"/>
                <w:left w:val="none" w:sz="0" w:space="0" w:color="auto"/>
                <w:bottom w:val="none" w:sz="0" w:space="0" w:color="auto"/>
                <w:right w:val="none" w:sz="0" w:space="0" w:color="auto"/>
              </w:divBdr>
            </w:div>
            <w:div w:id="943153058">
              <w:marLeft w:val="0"/>
              <w:marRight w:val="0"/>
              <w:marTop w:val="0"/>
              <w:marBottom w:val="0"/>
              <w:divBdr>
                <w:top w:val="none" w:sz="0" w:space="0" w:color="auto"/>
                <w:left w:val="none" w:sz="0" w:space="0" w:color="auto"/>
                <w:bottom w:val="none" w:sz="0" w:space="0" w:color="auto"/>
                <w:right w:val="none" w:sz="0" w:space="0" w:color="auto"/>
              </w:divBdr>
            </w:div>
            <w:div w:id="2045135980">
              <w:marLeft w:val="0"/>
              <w:marRight w:val="0"/>
              <w:marTop w:val="0"/>
              <w:marBottom w:val="0"/>
              <w:divBdr>
                <w:top w:val="none" w:sz="0" w:space="0" w:color="auto"/>
                <w:left w:val="none" w:sz="0" w:space="0" w:color="auto"/>
                <w:bottom w:val="none" w:sz="0" w:space="0" w:color="auto"/>
                <w:right w:val="none" w:sz="0" w:space="0" w:color="auto"/>
              </w:divBdr>
            </w:div>
            <w:div w:id="1823426777">
              <w:marLeft w:val="0"/>
              <w:marRight w:val="0"/>
              <w:marTop w:val="0"/>
              <w:marBottom w:val="0"/>
              <w:divBdr>
                <w:top w:val="none" w:sz="0" w:space="0" w:color="auto"/>
                <w:left w:val="none" w:sz="0" w:space="0" w:color="auto"/>
                <w:bottom w:val="none" w:sz="0" w:space="0" w:color="auto"/>
                <w:right w:val="none" w:sz="0" w:space="0" w:color="auto"/>
              </w:divBdr>
            </w:div>
          </w:divsChild>
        </w:div>
        <w:div w:id="1178697159">
          <w:marLeft w:val="0"/>
          <w:marRight w:val="0"/>
          <w:marTop w:val="0"/>
          <w:marBottom w:val="0"/>
          <w:divBdr>
            <w:top w:val="none" w:sz="0" w:space="0" w:color="auto"/>
            <w:left w:val="none" w:sz="0" w:space="0" w:color="auto"/>
            <w:bottom w:val="none" w:sz="0" w:space="0" w:color="auto"/>
            <w:right w:val="none" w:sz="0" w:space="0" w:color="auto"/>
          </w:divBdr>
        </w:div>
        <w:div w:id="1576864362">
          <w:marLeft w:val="0"/>
          <w:marRight w:val="0"/>
          <w:marTop w:val="0"/>
          <w:marBottom w:val="0"/>
          <w:divBdr>
            <w:top w:val="none" w:sz="0" w:space="0" w:color="auto"/>
            <w:left w:val="none" w:sz="0" w:space="0" w:color="auto"/>
            <w:bottom w:val="none" w:sz="0" w:space="0" w:color="auto"/>
            <w:right w:val="none" w:sz="0" w:space="0" w:color="auto"/>
          </w:divBdr>
        </w:div>
        <w:div w:id="285238622">
          <w:marLeft w:val="0"/>
          <w:marRight w:val="0"/>
          <w:marTop w:val="0"/>
          <w:marBottom w:val="0"/>
          <w:divBdr>
            <w:top w:val="none" w:sz="0" w:space="0" w:color="auto"/>
            <w:left w:val="none" w:sz="0" w:space="0" w:color="auto"/>
            <w:bottom w:val="none" w:sz="0" w:space="0" w:color="auto"/>
            <w:right w:val="none" w:sz="0" w:space="0" w:color="auto"/>
          </w:divBdr>
        </w:div>
        <w:div w:id="2100133380">
          <w:marLeft w:val="0"/>
          <w:marRight w:val="0"/>
          <w:marTop w:val="0"/>
          <w:marBottom w:val="0"/>
          <w:divBdr>
            <w:top w:val="none" w:sz="0" w:space="0" w:color="auto"/>
            <w:left w:val="none" w:sz="0" w:space="0" w:color="auto"/>
            <w:bottom w:val="none" w:sz="0" w:space="0" w:color="auto"/>
            <w:right w:val="none" w:sz="0" w:space="0" w:color="auto"/>
          </w:divBdr>
        </w:div>
        <w:div w:id="282275546">
          <w:marLeft w:val="0"/>
          <w:marRight w:val="0"/>
          <w:marTop w:val="0"/>
          <w:marBottom w:val="0"/>
          <w:divBdr>
            <w:top w:val="none" w:sz="0" w:space="0" w:color="auto"/>
            <w:left w:val="none" w:sz="0" w:space="0" w:color="auto"/>
            <w:bottom w:val="none" w:sz="0" w:space="0" w:color="auto"/>
            <w:right w:val="none" w:sz="0" w:space="0" w:color="auto"/>
          </w:divBdr>
        </w:div>
        <w:div w:id="1626500100">
          <w:marLeft w:val="0"/>
          <w:marRight w:val="0"/>
          <w:marTop w:val="0"/>
          <w:marBottom w:val="0"/>
          <w:divBdr>
            <w:top w:val="none" w:sz="0" w:space="0" w:color="auto"/>
            <w:left w:val="none" w:sz="0" w:space="0" w:color="auto"/>
            <w:bottom w:val="none" w:sz="0" w:space="0" w:color="auto"/>
            <w:right w:val="none" w:sz="0" w:space="0" w:color="auto"/>
          </w:divBdr>
          <w:divsChild>
            <w:div w:id="1829980559">
              <w:marLeft w:val="0"/>
              <w:marRight w:val="0"/>
              <w:marTop w:val="0"/>
              <w:marBottom w:val="0"/>
              <w:divBdr>
                <w:top w:val="none" w:sz="0" w:space="0" w:color="auto"/>
                <w:left w:val="none" w:sz="0" w:space="0" w:color="auto"/>
                <w:bottom w:val="none" w:sz="0" w:space="0" w:color="auto"/>
                <w:right w:val="none" w:sz="0" w:space="0" w:color="auto"/>
              </w:divBdr>
            </w:div>
            <w:div w:id="91361789">
              <w:marLeft w:val="0"/>
              <w:marRight w:val="0"/>
              <w:marTop w:val="0"/>
              <w:marBottom w:val="0"/>
              <w:divBdr>
                <w:top w:val="none" w:sz="0" w:space="0" w:color="auto"/>
                <w:left w:val="none" w:sz="0" w:space="0" w:color="auto"/>
                <w:bottom w:val="none" w:sz="0" w:space="0" w:color="auto"/>
                <w:right w:val="none" w:sz="0" w:space="0" w:color="auto"/>
              </w:divBdr>
            </w:div>
            <w:div w:id="548108819">
              <w:marLeft w:val="0"/>
              <w:marRight w:val="0"/>
              <w:marTop w:val="0"/>
              <w:marBottom w:val="0"/>
              <w:divBdr>
                <w:top w:val="none" w:sz="0" w:space="0" w:color="auto"/>
                <w:left w:val="none" w:sz="0" w:space="0" w:color="auto"/>
                <w:bottom w:val="none" w:sz="0" w:space="0" w:color="auto"/>
                <w:right w:val="none" w:sz="0" w:space="0" w:color="auto"/>
              </w:divBdr>
            </w:div>
          </w:divsChild>
        </w:div>
        <w:div w:id="2021732881">
          <w:marLeft w:val="0"/>
          <w:marRight w:val="0"/>
          <w:marTop w:val="0"/>
          <w:marBottom w:val="0"/>
          <w:divBdr>
            <w:top w:val="none" w:sz="0" w:space="0" w:color="auto"/>
            <w:left w:val="none" w:sz="0" w:space="0" w:color="auto"/>
            <w:bottom w:val="none" w:sz="0" w:space="0" w:color="auto"/>
            <w:right w:val="none" w:sz="0" w:space="0" w:color="auto"/>
          </w:divBdr>
        </w:div>
        <w:div w:id="1525483828">
          <w:marLeft w:val="0"/>
          <w:marRight w:val="0"/>
          <w:marTop w:val="0"/>
          <w:marBottom w:val="0"/>
          <w:divBdr>
            <w:top w:val="none" w:sz="0" w:space="0" w:color="auto"/>
            <w:left w:val="none" w:sz="0" w:space="0" w:color="auto"/>
            <w:bottom w:val="none" w:sz="0" w:space="0" w:color="auto"/>
            <w:right w:val="none" w:sz="0" w:space="0" w:color="auto"/>
          </w:divBdr>
        </w:div>
        <w:div w:id="362950539">
          <w:marLeft w:val="0"/>
          <w:marRight w:val="0"/>
          <w:marTop w:val="0"/>
          <w:marBottom w:val="0"/>
          <w:divBdr>
            <w:top w:val="none" w:sz="0" w:space="0" w:color="auto"/>
            <w:left w:val="none" w:sz="0" w:space="0" w:color="auto"/>
            <w:bottom w:val="none" w:sz="0" w:space="0" w:color="auto"/>
            <w:right w:val="none" w:sz="0" w:space="0" w:color="auto"/>
          </w:divBdr>
        </w:div>
        <w:div w:id="1970630021">
          <w:marLeft w:val="0"/>
          <w:marRight w:val="0"/>
          <w:marTop w:val="0"/>
          <w:marBottom w:val="0"/>
          <w:divBdr>
            <w:top w:val="none" w:sz="0" w:space="0" w:color="auto"/>
            <w:left w:val="none" w:sz="0" w:space="0" w:color="auto"/>
            <w:bottom w:val="none" w:sz="0" w:space="0" w:color="auto"/>
            <w:right w:val="none" w:sz="0" w:space="0" w:color="auto"/>
          </w:divBdr>
        </w:div>
        <w:div w:id="988706029">
          <w:marLeft w:val="0"/>
          <w:marRight w:val="0"/>
          <w:marTop w:val="0"/>
          <w:marBottom w:val="0"/>
          <w:divBdr>
            <w:top w:val="none" w:sz="0" w:space="0" w:color="auto"/>
            <w:left w:val="none" w:sz="0" w:space="0" w:color="auto"/>
            <w:bottom w:val="none" w:sz="0" w:space="0" w:color="auto"/>
            <w:right w:val="none" w:sz="0" w:space="0" w:color="auto"/>
          </w:divBdr>
        </w:div>
        <w:div w:id="1275360686">
          <w:marLeft w:val="0"/>
          <w:marRight w:val="0"/>
          <w:marTop w:val="0"/>
          <w:marBottom w:val="0"/>
          <w:divBdr>
            <w:top w:val="none" w:sz="0" w:space="0" w:color="auto"/>
            <w:left w:val="none" w:sz="0" w:space="0" w:color="auto"/>
            <w:bottom w:val="none" w:sz="0" w:space="0" w:color="auto"/>
            <w:right w:val="none" w:sz="0" w:space="0" w:color="auto"/>
          </w:divBdr>
        </w:div>
        <w:div w:id="829254751">
          <w:marLeft w:val="0"/>
          <w:marRight w:val="0"/>
          <w:marTop w:val="0"/>
          <w:marBottom w:val="0"/>
          <w:divBdr>
            <w:top w:val="none" w:sz="0" w:space="0" w:color="auto"/>
            <w:left w:val="none" w:sz="0" w:space="0" w:color="auto"/>
            <w:bottom w:val="none" w:sz="0" w:space="0" w:color="auto"/>
            <w:right w:val="none" w:sz="0" w:space="0" w:color="auto"/>
          </w:divBdr>
        </w:div>
        <w:div w:id="286354190">
          <w:marLeft w:val="0"/>
          <w:marRight w:val="0"/>
          <w:marTop w:val="0"/>
          <w:marBottom w:val="0"/>
          <w:divBdr>
            <w:top w:val="none" w:sz="0" w:space="0" w:color="auto"/>
            <w:left w:val="none" w:sz="0" w:space="0" w:color="auto"/>
            <w:bottom w:val="none" w:sz="0" w:space="0" w:color="auto"/>
            <w:right w:val="none" w:sz="0" w:space="0" w:color="auto"/>
          </w:divBdr>
        </w:div>
        <w:div w:id="721561169">
          <w:marLeft w:val="0"/>
          <w:marRight w:val="0"/>
          <w:marTop w:val="0"/>
          <w:marBottom w:val="0"/>
          <w:divBdr>
            <w:top w:val="none" w:sz="0" w:space="0" w:color="auto"/>
            <w:left w:val="none" w:sz="0" w:space="0" w:color="auto"/>
            <w:bottom w:val="none" w:sz="0" w:space="0" w:color="auto"/>
            <w:right w:val="none" w:sz="0" w:space="0" w:color="auto"/>
          </w:divBdr>
        </w:div>
        <w:div w:id="377977209">
          <w:marLeft w:val="0"/>
          <w:marRight w:val="0"/>
          <w:marTop w:val="0"/>
          <w:marBottom w:val="0"/>
          <w:divBdr>
            <w:top w:val="none" w:sz="0" w:space="0" w:color="auto"/>
            <w:left w:val="none" w:sz="0" w:space="0" w:color="auto"/>
            <w:bottom w:val="none" w:sz="0" w:space="0" w:color="auto"/>
            <w:right w:val="none" w:sz="0" w:space="0" w:color="auto"/>
          </w:divBdr>
        </w:div>
        <w:div w:id="884173989">
          <w:marLeft w:val="0"/>
          <w:marRight w:val="0"/>
          <w:marTop w:val="0"/>
          <w:marBottom w:val="0"/>
          <w:divBdr>
            <w:top w:val="none" w:sz="0" w:space="0" w:color="auto"/>
            <w:left w:val="none" w:sz="0" w:space="0" w:color="auto"/>
            <w:bottom w:val="none" w:sz="0" w:space="0" w:color="auto"/>
            <w:right w:val="none" w:sz="0" w:space="0" w:color="auto"/>
          </w:divBdr>
        </w:div>
        <w:div w:id="337737353">
          <w:marLeft w:val="0"/>
          <w:marRight w:val="0"/>
          <w:marTop w:val="0"/>
          <w:marBottom w:val="0"/>
          <w:divBdr>
            <w:top w:val="none" w:sz="0" w:space="0" w:color="auto"/>
            <w:left w:val="none" w:sz="0" w:space="0" w:color="auto"/>
            <w:bottom w:val="none" w:sz="0" w:space="0" w:color="auto"/>
            <w:right w:val="none" w:sz="0" w:space="0" w:color="auto"/>
          </w:divBdr>
        </w:div>
        <w:div w:id="385220981">
          <w:marLeft w:val="0"/>
          <w:marRight w:val="0"/>
          <w:marTop w:val="0"/>
          <w:marBottom w:val="0"/>
          <w:divBdr>
            <w:top w:val="none" w:sz="0" w:space="0" w:color="auto"/>
            <w:left w:val="none" w:sz="0" w:space="0" w:color="auto"/>
            <w:bottom w:val="none" w:sz="0" w:space="0" w:color="auto"/>
            <w:right w:val="none" w:sz="0" w:space="0" w:color="auto"/>
          </w:divBdr>
        </w:div>
        <w:div w:id="1706517743">
          <w:marLeft w:val="0"/>
          <w:marRight w:val="0"/>
          <w:marTop w:val="0"/>
          <w:marBottom w:val="0"/>
          <w:divBdr>
            <w:top w:val="none" w:sz="0" w:space="0" w:color="auto"/>
            <w:left w:val="none" w:sz="0" w:space="0" w:color="auto"/>
            <w:bottom w:val="none" w:sz="0" w:space="0" w:color="auto"/>
            <w:right w:val="none" w:sz="0" w:space="0" w:color="auto"/>
          </w:divBdr>
        </w:div>
        <w:div w:id="1428113942">
          <w:marLeft w:val="0"/>
          <w:marRight w:val="0"/>
          <w:marTop w:val="0"/>
          <w:marBottom w:val="0"/>
          <w:divBdr>
            <w:top w:val="none" w:sz="0" w:space="0" w:color="auto"/>
            <w:left w:val="none" w:sz="0" w:space="0" w:color="auto"/>
            <w:bottom w:val="none" w:sz="0" w:space="0" w:color="auto"/>
            <w:right w:val="none" w:sz="0" w:space="0" w:color="auto"/>
          </w:divBdr>
        </w:div>
        <w:div w:id="1444183354">
          <w:marLeft w:val="0"/>
          <w:marRight w:val="0"/>
          <w:marTop w:val="0"/>
          <w:marBottom w:val="0"/>
          <w:divBdr>
            <w:top w:val="none" w:sz="0" w:space="0" w:color="auto"/>
            <w:left w:val="none" w:sz="0" w:space="0" w:color="auto"/>
            <w:bottom w:val="none" w:sz="0" w:space="0" w:color="auto"/>
            <w:right w:val="none" w:sz="0" w:space="0" w:color="auto"/>
          </w:divBdr>
        </w:div>
        <w:div w:id="1088037934">
          <w:marLeft w:val="0"/>
          <w:marRight w:val="0"/>
          <w:marTop w:val="0"/>
          <w:marBottom w:val="0"/>
          <w:divBdr>
            <w:top w:val="none" w:sz="0" w:space="0" w:color="auto"/>
            <w:left w:val="none" w:sz="0" w:space="0" w:color="auto"/>
            <w:bottom w:val="none" w:sz="0" w:space="0" w:color="auto"/>
            <w:right w:val="none" w:sz="0" w:space="0" w:color="auto"/>
          </w:divBdr>
        </w:div>
        <w:div w:id="236598726">
          <w:marLeft w:val="0"/>
          <w:marRight w:val="0"/>
          <w:marTop w:val="0"/>
          <w:marBottom w:val="0"/>
          <w:divBdr>
            <w:top w:val="none" w:sz="0" w:space="0" w:color="auto"/>
            <w:left w:val="none" w:sz="0" w:space="0" w:color="auto"/>
            <w:bottom w:val="none" w:sz="0" w:space="0" w:color="auto"/>
            <w:right w:val="none" w:sz="0" w:space="0" w:color="auto"/>
          </w:divBdr>
        </w:div>
        <w:div w:id="164709532">
          <w:marLeft w:val="0"/>
          <w:marRight w:val="0"/>
          <w:marTop w:val="0"/>
          <w:marBottom w:val="0"/>
          <w:divBdr>
            <w:top w:val="none" w:sz="0" w:space="0" w:color="auto"/>
            <w:left w:val="none" w:sz="0" w:space="0" w:color="auto"/>
            <w:bottom w:val="none" w:sz="0" w:space="0" w:color="auto"/>
            <w:right w:val="none" w:sz="0" w:space="0" w:color="auto"/>
          </w:divBdr>
        </w:div>
        <w:div w:id="917596081">
          <w:marLeft w:val="0"/>
          <w:marRight w:val="0"/>
          <w:marTop w:val="0"/>
          <w:marBottom w:val="0"/>
          <w:divBdr>
            <w:top w:val="none" w:sz="0" w:space="0" w:color="auto"/>
            <w:left w:val="none" w:sz="0" w:space="0" w:color="auto"/>
            <w:bottom w:val="none" w:sz="0" w:space="0" w:color="auto"/>
            <w:right w:val="none" w:sz="0" w:space="0" w:color="auto"/>
          </w:divBdr>
        </w:div>
        <w:div w:id="205456702">
          <w:marLeft w:val="0"/>
          <w:marRight w:val="0"/>
          <w:marTop w:val="0"/>
          <w:marBottom w:val="0"/>
          <w:divBdr>
            <w:top w:val="none" w:sz="0" w:space="0" w:color="auto"/>
            <w:left w:val="none" w:sz="0" w:space="0" w:color="auto"/>
            <w:bottom w:val="none" w:sz="0" w:space="0" w:color="auto"/>
            <w:right w:val="none" w:sz="0" w:space="0" w:color="auto"/>
          </w:divBdr>
        </w:div>
        <w:div w:id="929243668">
          <w:marLeft w:val="0"/>
          <w:marRight w:val="0"/>
          <w:marTop w:val="0"/>
          <w:marBottom w:val="0"/>
          <w:divBdr>
            <w:top w:val="none" w:sz="0" w:space="0" w:color="auto"/>
            <w:left w:val="none" w:sz="0" w:space="0" w:color="auto"/>
            <w:bottom w:val="none" w:sz="0" w:space="0" w:color="auto"/>
            <w:right w:val="none" w:sz="0" w:space="0" w:color="auto"/>
          </w:divBdr>
        </w:div>
        <w:div w:id="1982616658">
          <w:marLeft w:val="0"/>
          <w:marRight w:val="0"/>
          <w:marTop w:val="0"/>
          <w:marBottom w:val="0"/>
          <w:divBdr>
            <w:top w:val="none" w:sz="0" w:space="0" w:color="auto"/>
            <w:left w:val="none" w:sz="0" w:space="0" w:color="auto"/>
            <w:bottom w:val="none" w:sz="0" w:space="0" w:color="auto"/>
            <w:right w:val="none" w:sz="0" w:space="0" w:color="auto"/>
          </w:divBdr>
        </w:div>
        <w:div w:id="1992367480">
          <w:marLeft w:val="0"/>
          <w:marRight w:val="0"/>
          <w:marTop w:val="0"/>
          <w:marBottom w:val="0"/>
          <w:divBdr>
            <w:top w:val="none" w:sz="0" w:space="0" w:color="auto"/>
            <w:left w:val="none" w:sz="0" w:space="0" w:color="auto"/>
            <w:bottom w:val="none" w:sz="0" w:space="0" w:color="auto"/>
            <w:right w:val="none" w:sz="0" w:space="0" w:color="auto"/>
          </w:divBdr>
        </w:div>
        <w:div w:id="2146579267">
          <w:marLeft w:val="0"/>
          <w:marRight w:val="0"/>
          <w:marTop w:val="0"/>
          <w:marBottom w:val="0"/>
          <w:divBdr>
            <w:top w:val="none" w:sz="0" w:space="0" w:color="auto"/>
            <w:left w:val="none" w:sz="0" w:space="0" w:color="auto"/>
            <w:bottom w:val="none" w:sz="0" w:space="0" w:color="auto"/>
            <w:right w:val="none" w:sz="0" w:space="0" w:color="auto"/>
          </w:divBdr>
          <w:divsChild>
            <w:div w:id="102573814">
              <w:marLeft w:val="0"/>
              <w:marRight w:val="0"/>
              <w:marTop w:val="0"/>
              <w:marBottom w:val="0"/>
              <w:divBdr>
                <w:top w:val="none" w:sz="0" w:space="0" w:color="auto"/>
                <w:left w:val="none" w:sz="0" w:space="0" w:color="auto"/>
                <w:bottom w:val="none" w:sz="0" w:space="0" w:color="auto"/>
                <w:right w:val="none" w:sz="0" w:space="0" w:color="auto"/>
              </w:divBdr>
            </w:div>
            <w:div w:id="844443363">
              <w:marLeft w:val="0"/>
              <w:marRight w:val="0"/>
              <w:marTop w:val="0"/>
              <w:marBottom w:val="0"/>
              <w:divBdr>
                <w:top w:val="none" w:sz="0" w:space="0" w:color="auto"/>
                <w:left w:val="none" w:sz="0" w:space="0" w:color="auto"/>
                <w:bottom w:val="none" w:sz="0" w:space="0" w:color="auto"/>
                <w:right w:val="none" w:sz="0" w:space="0" w:color="auto"/>
              </w:divBdr>
            </w:div>
            <w:div w:id="1053843689">
              <w:marLeft w:val="0"/>
              <w:marRight w:val="0"/>
              <w:marTop w:val="0"/>
              <w:marBottom w:val="0"/>
              <w:divBdr>
                <w:top w:val="none" w:sz="0" w:space="0" w:color="auto"/>
                <w:left w:val="none" w:sz="0" w:space="0" w:color="auto"/>
                <w:bottom w:val="none" w:sz="0" w:space="0" w:color="auto"/>
                <w:right w:val="none" w:sz="0" w:space="0" w:color="auto"/>
              </w:divBdr>
            </w:div>
          </w:divsChild>
        </w:div>
        <w:div w:id="1139806527">
          <w:marLeft w:val="0"/>
          <w:marRight w:val="0"/>
          <w:marTop w:val="0"/>
          <w:marBottom w:val="0"/>
          <w:divBdr>
            <w:top w:val="none" w:sz="0" w:space="0" w:color="auto"/>
            <w:left w:val="none" w:sz="0" w:space="0" w:color="auto"/>
            <w:bottom w:val="none" w:sz="0" w:space="0" w:color="auto"/>
            <w:right w:val="none" w:sz="0" w:space="0" w:color="auto"/>
          </w:divBdr>
          <w:divsChild>
            <w:div w:id="716702505">
              <w:marLeft w:val="0"/>
              <w:marRight w:val="0"/>
              <w:marTop w:val="0"/>
              <w:marBottom w:val="0"/>
              <w:divBdr>
                <w:top w:val="none" w:sz="0" w:space="0" w:color="auto"/>
                <w:left w:val="none" w:sz="0" w:space="0" w:color="auto"/>
                <w:bottom w:val="none" w:sz="0" w:space="0" w:color="auto"/>
                <w:right w:val="none" w:sz="0" w:space="0" w:color="auto"/>
              </w:divBdr>
            </w:div>
            <w:div w:id="1118983790">
              <w:marLeft w:val="0"/>
              <w:marRight w:val="0"/>
              <w:marTop w:val="0"/>
              <w:marBottom w:val="0"/>
              <w:divBdr>
                <w:top w:val="none" w:sz="0" w:space="0" w:color="auto"/>
                <w:left w:val="none" w:sz="0" w:space="0" w:color="auto"/>
                <w:bottom w:val="none" w:sz="0" w:space="0" w:color="auto"/>
                <w:right w:val="none" w:sz="0" w:space="0" w:color="auto"/>
              </w:divBdr>
            </w:div>
            <w:div w:id="1420176158">
              <w:marLeft w:val="0"/>
              <w:marRight w:val="0"/>
              <w:marTop w:val="0"/>
              <w:marBottom w:val="0"/>
              <w:divBdr>
                <w:top w:val="none" w:sz="0" w:space="0" w:color="auto"/>
                <w:left w:val="none" w:sz="0" w:space="0" w:color="auto"/>
                <w:bottom w:val="none" w:sz="0" w:space="0" w:color="auto"/>
                <w:right w:val="none" w:sz="0" w:space="0" w:color="auto"/>
              </w:divBdr>
            </w:div>
          </w:divsChild>
        </w:div>
        <w:div w:id="398477154">
          <w:marLeft w:val="0"/>
          <w:marRight w:val="0"/>
          <w:marTop w:val="0"/>
          <w:marBottom w:val="0"/>
          <w:divBdr>
            <w:top w:val="none" w:sz="0" w:space="0" w:color="auto"/>
            <w:left w:val="none" w:sz="0" w:space="0" w:color="auto"/>
            <w:bottom w:val="none" w:sz="0" w:space="0" w:color="auto"/>
            <w:right w:val="none" w:sz="0" w:space="0" w:color="auto"/>
          </w:divBdr>
          <w:divsChild>
            <w:div w:id="609704706">
              <w:marLeft w:val="0"/>
              <w:marRight w:val="0"/>
              <w:marTop w:val="0"/>
              <w:marBottom w:val="0"/>
              <w:divBdr>
                <w:top w:val="none" w:sz="0" w:space="0" w:color="auto"/>
                <w:left w:val="none" w:sz="0" w:space="0" w:color="auto"/>
                <w:bottom w:val="none" w:sz="0" w:space="0" w:color="auto"/>
                <w:right w:val="none" w:sz="0" w:space="0" w:color="auto"/>
              </w:divBdr>
            </w:div>
            <w:div w:id="1906256265">
              <w:marLeft w:val="0"/>
              <w:marRight w:val="0"/>
              <w:marTop w:val="0"/>
              <w:marBottom w:val="0"/>
              <w:divBdr>
                <w:top w:val="none" w:sz="0" w:space="0" w:color="auto"/>
                <w:left w:val="none" w:sz="0" w:space="0" w:color="auto"/>
                <w:bottom w:val="none" w:sz="0" w:space="0" w:color="auto"/>
                <w:right w:val="none" w:sz="0" w:space="0" w:color="auto"/>
              </w:divBdr>
            </w:div>
            <w:div w:id="288559031">
              <w:marLeft w:val="0"/>
              <w:marRight w:val="0"/>
              <w:marTop w:val="0"/>
              <w:marBottom w:val="0"/>
              <w:divBdr>
                <w:top w:val="none" w:sz="0" w:space="0" w:color="auto"/>
                <w:left w:val="none" w:sz="0" w:space="0" w:color="auto"/>
                <w:bottom w:val="none" w:sz="0" w:space="0" w:color="auto"/>
                <w:right w:val="none" w:sz="0" w:space="0" w:color="auto"/>
              </w:divBdr>
            </w:div>
            <w:div w:id="2002461055">
              <w:marLeft w:val="0"/>
              <w:marRight w:val="0"/>
              <w:marTop w:val="0"/>
              <w:marBottom w:val="0"/>
              <w:divBdr>
                <w:top w:val="none" w:sz="0" w:space="0" w:color="auto"/>
                <w:left w:val="none" w:sz="0" w:space="0" w:color="auto"/>
                <w:bottom w:val="none" w:sz="0" w:space="0" w:color="auto"/>
                <w:right w:val="none" w:sz="0" w:space="0" w:color="auto"/>
              </w:divBdr>
            </w:div>
          </w:divsChild>
        </w:div>
        <w:div w:id="197012066">
          <w:marLeft w:val="0"/>
          <w:marRight w:val="0"/>
          <w:marTop w:val="0"/>
          <w:marBottom w:val="0"/>
          <w:divBdr>
            <w:top w:val="none" w:sz="0" w:space="0" w:color="auto"/>
            <w:left w:val="none" w:sz="0" w:space="0" w:color="auto"/>
            <w:bottom w:val="none" w:sz="0" w:space="0" w:color="auto"/>
            <w:right w:val="none" w:sz="0" w:space="0" w:color="auto"/>
          </w:divBdr>
        </w:div>
        <w:div w:id="1859849196">
          <w:marLeft w:val="0"/>
          <w:marRight w:val="0"/>
          <w:marTop w:val="0"/>
          <w:marBottom w:val="0"/>
          <w:divBdr>
            <w:top w:val="none" w:sz="0" w:space="0" w:color="auto"/>
            <w:left w:val="none" w:sz="0" w:space="0" w:color="auto"/>
            <w:bottom w:val="none" w:sz="0" w:space="0" w:color="auto"/>
            <w:right w:val="none" w:sz="0" w:space="0" w:color="auto"/>
          </w:divBdr>
          <w:divsChild>
            <w:div w:id="2143687266">
              <w:marLeft w:val="0"/>
              <w:marRight w:val="0"/>
              <w:marTop w:val="0"/>
              <w:marBottom w:val="0"/>
              <w:divBdr>
                <w:top w:val="none" w:sz="0" w:space="0" w:color="auto"/>
                <w:left w:val="none" w:sz="0" w:space="0" w:color="auto"/>
                <w:bottom w:val="none" w:sz="0" w:space="0" w:color="auto"/>
                <w:right w:val="none" w:sz="0" w:space="0" w:color="auto"/>
              </w:divBdr>
            </w:div>
            <w:div w:id="1035159809">
              <w:marLeft w:val="0"/>
              <w:marRight w:val="0"/>
              <w:marTop w:val="0"/>
              <w:marBottom w:val="0"/>
              <w:divBdr>
                <w:top w:val="none" w:sz="0" w:space="0" w:color="auto"/>
                <w:left w:val="none" w:sz="0" w:space="0" w:color="auto"/>
                <w:bottom w:val="none" w:sz="0" w:space="0" w:color="auto"/>
                <w:right w:val="none" w:sz="0" w:space="0" w:color="auto"/>
              </w:divBdr>
            </w:div>
            <w:div w:id="1062367859">
              <w:marLeft w:val="0"/>
              <w:marRight w:val="0"/>
              <w:marTop w:val="0"/>
              <w:marBottom w:val="0"/>
              <w:divBdr>
                <w:top w:val="none" w:sz="0" w:space="0" w:color="auto"/>
                <w:left w:val="none" w:sz="0" w:space="0" w:color="auto"/>
                <w:bottom w:val="none" w:sz="0" w:space="0" w:color="auto"/>
                <w:right w:val="none" w:sz="0" w:space="0" w:color="auto"/>
              </w:divBdr>
            </w:div>
            <w:div w:id="1314985461">
              <w:marLeft w:val="0"/>
              <w:marRight w:val="0"/>
              <w:marTop w:val="0"/>
              <w:marBottom w:val="0"/>
              <w:divBdr>
                <w:top w:val="none" w:sz="0" w:space="0" w:color="auto"/>
                <w:left w:val="none" w:sz="0" w:space="0" w:color="auto"/>
                <w:bottom w:val="none" w:sz="0" w:space="0" w:color="auto"/>
                <w:right w:val="none" w:sz="0" w:space="0" w:color="auto"/>
              </w:divBdr>
            </w:div>
          </w:divsChild>
        </w:div>
        <w:div w:id="1574731421">
          <w:marLeft w:val="0"/>
          <w:marRight w:val="0"/>
          <w:marTop w:val="0"/>
          <w:marBottom w:val="0"/>
          <w:divBdr>
            <w:top w:val="none" w:sz="0" w:space="0" w:color="auto"/>
            <w:left w:val="none" w:sz="0" w:space="0" w:color="auto"/>
            <w:bottom w:val="none" w:sz="0" w:space="0" w:color="auto"/>
            <w:right w:val="none" w:sz="0" w:space="0" w:color="auto"/>
          </w:divBdr>
        </w:div>
        <w:div w:id="1897622449">
          <w:marLeft w:val="0"/>
          <w:marRight w:val="0"/>
          <w:marTop w:val="0"/>
          <w:marBottom w:val="0"/>
          <w:divBdr>
            <w:top w:val="none" w:sz="0" w:space="0" w:color="auto"/>
            <w:left w:val="none" w:sz="0" w:space="0" w:color="auto"/>
            <w:bottom w:val="none" w:sz="0" w:space="0" w:color="auto"/>
            <w:right w:val="none" w:sz="0" w:space="0" w:color="auto"/>
          </w:divBdr>
        </w:div>
        <w:div w:id="184829441">
          <w:marLeft w:val="0"/>
          <w:marRight w:val="0"/>
          <w:marTop w:val="0"/>
          <w:marBottom w:val="0"/>
          <w:divBdr>
            <w:top w:val="none" w:sz="0" w:space="0" w:color="auto"/>
            <w:left w:val="none" w:sz="0" w:space="0" w:color="auto"/>
            <w:bottom w:val="none" w:sz="0" w:space="0" w:color="auto"/>
            <w:right w:val="none" w:sz="0" w:space="0" w:color="auto"/>
          </w:divBdr>
        </w:div>
        <w:div w:id="997266989">
          <w:marLeft w:val="0"/>
          <w:marRight w:val="0"/>
          <w:marTop w:val="0"/>
          <w:marBottom w:val="0"/>
          <w:divBdr>
            <w:top w:val="none" w:sz="0" w:space="0" w:color="auto"/>
            <w:left w:val="none" w:sz="0" w:space="0" w:color="auto"/>
            <w:bottom w:val="none" w:sz="0" w:space="0" w:color="auto"/>
            <w:right w:val="none" w:sz="0" w:space="0" w:color="auto"/>
          </w:divBdr>
        </w:div>
        <w:div w:id="1699968191">
          <w:marLeft w:val="0"/>
          <w:marRight w:val="0"/>
          <w:marTop w:val="0"/>
          <w:marBottom w:val="0"/>
          <w:divBdr>
            <w:top w:val="none" w:sz="0" w:space="0" w:color="auto"/>
            <w:left w:val="none" w:sz="0" w:space="0" w:color="auto"/>
            <w:bottom w:val="none" w:sz="0" w:space="0" w:color="auto"/>
            <w:right w:val="none" w:sz="0" w:space="0" w:color="auto"/>
          </w:divBdr>
          <w:divsChild>
            <w:div w:id="1202523121">
              <w:marLeft w:val="0"/>
              <w:marRight w:val="0"/>
              <w:marTop w:val="0"/>
              <w:marBottom w:val="0"/>
              <w:divBdr>
                <w:top w:val="none" w:sz="0" w:space="0" w:color="auto"/>
                <w:left w:val="none" w:sz="0" w:space="0" w:color="auto"/>
                <w:bottom w:val="none" w:sz="0" w:space="0" w:color="auto"/>
                <w:right w:val="none" w:sz="0" w:space="0" w:color="auto"/>
              </w:divBdr>
            </w:div>
            <w:div w:id="644898515">
              <w:marLeft w:val="0"/>
              <w:marRight w:val="0"/>
              <w:marTop w:val="0"/>
              <w:marBottom w:val="0"/>
              <w:divBdr>
                <w:top w:val="none" w:sz="0" w:space="0" w:color="auto"/>
                <w:left w:val="none" w:sz="0" w:space="0" w:color="auto"/>
                <w:bottom w:val="none" w:sz="0" w:space="0" w:color="auto"/>
                <w:right w:val="none" w:sz="0" w:space="0" w:color="auto"/>
              </w:divBdr>
            </w:div>
            <w:div w:id="2077195202">
              <w:marLeft w:val="0"/>
              <w:marRight w:val="0"/>
              <w:marTop w:val="0"/>
              <w:marBottom w:val="0"/>
              <w:divBdr>
                <w:top w:val="none" w:sz="0" w:space="0" w:color="auto"/>
                <w:left w:val="none" w:sz="0" w:space="0" w:color="auto"/>
                <w:bottom w:val="none" w:sz="0" w:space="0" w:color="auto"/>
                <w:right w:val="none" w:sz="0" w:space="0" w:color="auto"/>
              </w:divBdr>
            </w:div>
            <w:div w:id="15625033">
              <w:marLeft w:val="0"/>
              <w:marRight w:val="0"/>
              <w:marTop w:val="0"/>
              <w:marBottom w:val="0"/>
              <w:divBdr>
                <w:top w:val="none" w:sz="0" w:space="0" w:color="auto"/>
                <w:left w:val="none" w:sz="0" w:space="0" w:color="auto"/>
                <w:bottom w:val="none" w:sz="0" w:space="0" w:color="auto"/>
                <w:right w:val="none" w:sz="0" w:space="0" w:color="auto"/>
              </w:divBdr>
            </w:div>
          </w:divsChild>
        </w:div>
        <w:div w:id="2067482930">
          <w:marLeft w:val="0"/>
          <w:marRight w:val="0"/>
          <w:marTop w:val="0"/>
          <w:marBottom w:val="0"/>
          <w:divBdr>
            <w:top w:val="none" w:sz="0" w:space="0" w:color="auto"/>
            <w:left w:val="none" w:sz="0" w:space="0" w:color="auto"/>
            <w:bottom w:val="none" w:sz="0" w:space="0" w:color="auto"/>
            <w:right w:val="none" w:sz="0" w:space="0" w:color="auto"/>
          </w:divBdr>
        </w:div>
        <w:div w:id="1638562057">
          <w:marLeft w:val="0"/>
          <w:marRight w:val="0"/>
          <w:marTop w:val="0"/>
          <w:marBottom w:val="0"/>
          <w:divBdr>
            <w:top w:val="none" w:sz="0" w:space="0" w:color="auto"/>
            <w:left w:val="none" w:sz="0" w:space="0" w:color="auto"/>
            <w:bottom w:val="none" w:sz="0" w:space="0" w:color="auto"/>
            <w:right w:val="none" w:sz="0" w:space="0" w:color="auto"/>
          </w:divBdr>
          <w:divsChild>
            <w:div w:id="275452233">
              <w:marLeft w:val="0"/>
              <w:marRight w:val="0"/>
              <w:marTop w:val="0"/>
              <w:marBottom w:val="0"/>
              <w:divBdr>
                <w:top w:val="none" w:sz="0" w:space="0" w:color="auto"/>
                <w:left w:val="none" w:sz="0" w:space="0" w:color="auto"/>
                <w:bottom w:val="none" w:sz="0" w:space="0" w:color="auto"/>
                <w:right w:val="none" w:sz="0" w:space="0" w:color="auto"/>
              </w:divBdr>
            </w:div>
            <w:div w:id="953681905">
              <w:marLeft w:val="0"/>
              <w:marRight w:val="0"/>
              <w:marTop w:val="0"/>
              <w:marBottom w:val="0"/>
              <w:divBdr>
                <w:top w:val="none" w:sz="0" w:space="0" w:color="auto"/>
                <w:left w:val="none" w:sz="0" w:space="0" w:color="auto"/>
                <w:bottom w:val="none" w:sz="0" w:space="0" w:color="auto"/>
                <w:right w:val="none" w:sz="0" w:space="0" w:color="auto"/>
              </w:divBdr>
            </w:div>
            <w:div w:id="873345009">
              <w:marLeft w:val="0"/>
              <w:marRight w:val="0"/>
              <w:marTop w:val="0"/>
              <w:marBottom w:val="0"/>
              <w:divBdr>
                <w:top w:val="none" w:sz="0" w:space="0" w:color="auto"/>
                <w:left w:val="none" w:sz="0" w:space="0" w:color="auto"/>
                <w:bottom w:val="none" w:sz="0" w:space="0" w:color="auto"/>
                <w:right w:val="none" w:sz="0" w:space="0" w:color="auto"/>
              </w:divBdr>
            </w:div>
            <w:div w:id="1270430276">
              <w:marLeft w:val="0"/>
              <w:marRight w:val="0"/>
              <w:marTop w:val="0"/>
              <w:marBottom w:val="0"/>
              <w:divBdr>
                <w:top w:val="none" w:sz="0" w:space="0" w:color="auto"/>
                <w:left w:val="none" w:sz="0" w:space="0" w:color="auto"/>
                <w:bottom w:val="none" w:sz="0" w:space="0" w:color="auto"/>
                <w:right w:val="none" w:sz="0" w:space="0" w:color="auto"/>
              </w:divBdr>
            </w:div>
          </w:divsChild>
        </w:div>
        <w:div w:id="22825365">
          <w:marLeft w:val="0"/>
          <w:marRight w:val="0"/>
          <w:marTop w:val="0"/>
          <w:marBottom w:val="0"/>
          <w:divBdr>
            <w:top w:val="none" w:sz="0" w:space="0" w:color="auto"/>
            <w:left w:val="none" w:sz="0" w:space="0" w:color="auto"/>
            <w:bottom w:val="none" w:sz="0" w:space="0" w:color="auto"/>
            <w:right w:val="none" w:sz="0" w:space="0" w:color="auto"/>
          </w:divBdr>
        </w:div>
        <w:div w:id="1770932191">
          <w:marLeft w:val="0"/>
          <w:marRight w:val="0"/>
          <w:marTop w:val="0"/>
          <w:marBottom w:val="0"/>
          <w:divBdr>
            <w:top w:val="none" w:sz="0" w:space="0" w:color="auto"/>
            <w:left w:val="none" w:sz="0" w:space="0" w:color="auto"/>
            <w:bottom w:val="none" w:sz="0" w:space="0" w:color="auto"/>
            <w:right w:val="none" w:sz="0" w:space="0" w:color="auto"/>
          </w:divBdr>
        </w:div>
        <w:div w:id="1263415290">
          <w:marLeft w:val="0"/>
          <w:marRight w:val="0"/>
          <w:marTop w:val="0"/>
          <w:marBottom w:val="0"/>
          <w:divBdr>
            <w:top w:val="none" w:sz="0" w:space="0" w:color="auto"/>
            <w:left w:val="none" w:sz="0" w:space="0" w:color="auto"/>
            <w:bottom w:val="none" w:sz="0" w:space="0" w:color="auto"/>
            <w:right w:val="none" w:sz="0" w:space="0" w:color="auto"/>
          </w:divBdr>
        </w:div>
        <w:div w:id="321810825">
          <w:marLeft w:val="0"/>
          <w:marRight w:val="0"/>
          <w:marTop w:val="0"/>
          <w:marBottom w:val="0"/>
          <w:divBdr>
            <w:top w:val="none" w:sz="0" w:space="0" w:color="auto"/>
            <w:left w:val="none" w:sz="0" w:space="0" w:color="auto"/>
            <w:bottom w:val="none" w:sz="0" w:space="0" w:color="auto"/>
            <w:right w:val="none" w:sz="0" w:space="0" w:color="auto"/>
          </w:divBdr>
        </w:div>
        <w:div w:id="1066689723">
          <w:marLeft w:val="0"/>
          <w:marRight w:val="0"/>
          <w:marTop w:val="0"/>
          <w:marBottom w:val="0"/>
          <w:divBdr>
            <w:top w:val="none" w:sz="0" w:space="0" w:color="auto"/>
            <w:left w:val="none" w:sz="0" w:space="0" w:color="auto"/>
            <w:bottom w:val="none" w:sz="0" w:space="0" w:color="auto"/>
            <w:right w:val="none" w:sz="0" w:space="0" w:color="auto"/>
          </w:divBdr>
        </w:div>
        <w:div w:id="64498454">
          <w:marLeft w:val="0"/>
          <w:marRight w:val="0"/>
          <w:marTop w:val="0"/>
          <w:marBottom w:val="0"/>
          <w:divBdr>
            <w:top w:val="none" w:sz="0" w:space="0" w:color="auto"/>
            <w:left w:val="none" w:sz="0" w:space="0" w:color="auto"/>
            <w:bottom w:val="none" w:sz="0" w:space="0" w:color="auto"/>
            <w:right w:val="none" w:sz="0" w:space="0" w:color="auto"/>
          </w:divBdr>
        </w:div>
        <w:div w:id="8993400">
          <w:marLeft w:val="0"/>
          <w:marRight w:val="0"/>
          <w:marTop w:val="0"/>
          <w:marBottom w:val="0"/>
          <w:divBdr>
            <w:top w:val="none" w:sz="0" w:space="0" w:color="auto"/>
            <w:left w:val="none" w:sz="0" w:space="0" w:color="auto"/>
            <w:bottom w:val="none" w:sz="0" w:space="0" w:color="auto"/>
            <w:right w:val="none" w:sz="0" w:space="0" w:color="auto"/>
          </w:divBdr>
        </w:div>
        <w:div w:id="731588193">
          <w:marLeft w:val="0"/>
          <w:marRight w:val="0"/>
          <w:marTop w:val="0"/>
          <w:marBottom w:val="0"/>
          <w:divBdr>
            <w:top w:val="none" w:sz="0" w:space="0" w:color="auto"/>
            <w:left w:val="none" w:sz="0" w:space="0" w:color="auto"/>
            <w:bottom w:val="none" w:sz="0" w:space="0" w:color="auto"/>
            <w:right w:val="none" w:sz="0" w:space="0" w:color="auto"/>
          </w:divBdr>
        </w:div>
        <w:div w:id="1742215126">
          <w:marLeft w:val="0"/>
          <w:marRight w:val="0"/>
          <w:marTop w:val="0"/>
          <w:marBottom w:val="0"/>
          <w:divBdr>
            <w:top w:val="none" w:sz="0" w:space="0" w:color="auto"/>
            <w:left w:val="none" w:sz="0" w:space="0" w:color="auto"/>
            <w:bottom w:val="none" w:sz="0" w:space="0" w:color="auto"/>
            <w:right w:val="none" w:sz="0" w:space="0" w:color="auto"/>
          </w:divBdr>
        </w:div>
        <w:div w:id="749934660">
          <w:marLeft w:val="0"/>
          <w:marRight w:val="0"/>
          <w:marTop w:val="0"/>
          <w:marBottom w:val="0"/>
          <w:divBdr>
            <w:top w:val="none" w:sz="0" w:space="0" w:color="auto"/>
            <w:left w:val="none" w:sz="0" w:space="0" w:color="auto"/>
            <w:bottom w:val="none" w:sz="0" w:space="0" w:color="auto"/>
            <w:right w:val="none" w:sz="0" w:space="0" w:color="auto"/>
          </w:divBdr>
          <w:divsChild>
            <w:div w:id="1869877434">
              <w:marLeft w:val="0"/>
              <w:marRight w:val="0"/>
              <w:marTop w:val="0"/>
              <w:marBottom w:val="0"/>
              <w:divBdr>
                <w:top w:val="none" w:sz="0" w:space="0" w:color="auto"/>
                <w:left w:val="none" w:sz="0" w:space="0" w:color="auto"/>
                <w:bottom w:val="none" w:sz="0" w:space="0" w:color="auto"/>
                <w:right w:val="none" w:sz="0" w:space="0" w:color="auto"/>
              </w:divBdr>
            </w:div>
            <w:div w:id="1178690575">
              <w:marLeft w:val="0"/>
              <w:marRight w:val="0"/>
              <w:marTop w:val="0"/>
              <w:marBottom w:val="0"/>
              <w:divBdr>
                <w:top w:val="none" w:sz="0" w:space="0" w:color="auto"/>
                <w:left w:val="none" w:sz="0" w:space="0" w:color="auto"/>
                <w:bottom w:val="none" w:sz="0" w:space="0" w:color="auto"/>
                <w:right w:val="none" w:sz="0" w:space="0" w:color="auto"/>
              </w:divBdr>
            </w:div>
          </w:divsChild>
        </w:div>
        <w:div w:id="42801095">
          <w:marLeft w:val="0"/>
          <w:marRight w:val="0"/>
          <w:marTop w:val="0"/>
          <w:marBottom w:val="0"/>
          <w:divBdr>
            <w:top w:val="none" w:sz="0" w:space="0" w:color="auto"/>
            <w:left w:val="none" w:sz="0" w:space="0" w:color="auto"/>
            <w:bottom w:val="none" w:sz="0" w:space="0" w:color="auto"/>
            <w:right w:val="none" w:sz="0" w:space="0" w:color="auto"/>
          </w:divBdr>
        </w:div>
        <w:div w:id="706612060">
          <w:marLeft w:val="0"/>
          <w:marRight w:val="0"/>
          <w:marTop w:val="0"/>
          <w:marBottom w:val="0"/>
          <w:divBdr>
            <w:top w:val="none" w:sz="0" w:space="0" w:color="auto"/>
            <w:left w:val="none" w:sz="0" w:space="0" w:color="auto"/>
            <w:bottom w:val="none" w:sz="0" w:space="0" w:color="auto"/>
            <w:right w:val="none" w:sz="0" w:space="0" w:color="auto"/>
          </w:divBdr>
        </w:div>
        <w:div w:id="70469094">
          <w:marLeft w:val="0"/>
          <w:marRight w:val="0"/>
          <w:marTop w:val="0"/>
          <w:marBottom w:val="0"/>
          <w:divBdr>
            <w:top w:val="none" w:sz="0" w:space="0" w:color="auto"/>
            <w:left w:val="none" w:sz="0" w:space="0" w:color="auto"/>
            <w:bottom w:val="none" w:sz="0" w:space="0" w:color="auto"/>
            <w:right w:val="none" w:sz="0" w:space="0" w:color="auto"/>
          </w:divBdr>
          <w:divsChild>
            <w:div w:id="1393044602">
              <w:marLeft w:val="0"/>
              <w:marRight w:val="0"/>
              <w:marTop w:val="0"/>
              <w:marBottom w:val="0"/>
              <w:divBdr>
                <w:top w:val="none" w:sz="0" w:space="0" w:color="auto"/>
                <w:left w:val="none" w:sz="0" w:space="0" w:color="auto"/>
                <w:bottom w:val="none" w:sz="0" w:space="0" w:color="auto"/>
                <w:right w:val="none" w:sz="0" w:space="0" w:color="auto"/>
              </w:divBdr>
            </w:div>
            <w:div w:id="1570578344">
              <w:marLeft w:val="0"/>
              <w:marRight w:val="0"/>
              <w:marTop w:val="0"/>
              <w:marBottom w:val="0"/>
              <w:divBdr>
                <w:top w:val="none" w:sz="0" w:space="0" w:color="auto"/>
                <w:left w:val="none" w:sz="0" w:space="0" w:color="auto"/>
                <w:bottom w:val="none" w:sz="0" w:space="0" w:color="auto"/>
                <w:right w:val="none" w:sz="0" w:space="0" w:color="auto"/>
              </w:divBdr>
            </w:div>
          </w:divsChild>
        </w:div>
        <w:div w:id="351079820">
          <w:marLeft w:val="0"/>
          <w:marRight w:val="0"/>
          <w:marTop w:val="0"/>
          <w:marBottom w:val="0"/>
          <w:divBdr>
            <w:top w:val="none" w:sz="0" w:space="0" w:color="auto"/>
            <w:left w:val="none" w:sz="0" w:space="0" w:color="auto"/>
            <w:bottom w:val="none" w:sz="0" w:space="0" w:color="auto"/>
            <w:right w:val="none" w:sz="0" w:space="0" w:color="auto"/>
          </w:divBdr>
        </w:div>
        <w:div w:id="918908519">
          <w:marLeft w:val="0"/>
          <w:marRight w:val="0"/>
          <w:marTop w:val="0"/>
          <w:marBottom w:val="0"/>
          <w:divBdr>
            <w:top w:val="none" w:sz="0" w:space="0" w:color="auto"/>
            <w:left w:val="none" w:sz="0" w:space="0" w:color="auto"/>
            <w:bottom w:val="none" w:sz="0" w:space="0" w:color="auto"/>
            <w:right w:val="none" w:sz="0" w:space="0" w:color="auto"/>
          </w:divBdr>
        </w:div>
        <w:div w:id="161700526">
          <w:marLeft w:val="0"/>
          <w:marRight w:val="0"/>
          <w:marTop w:val="0"/>
          <w:marBottom w:val="0"/>
          <w:divBdr>
            <w:top w:val="none" w:sz="0" w:space="0" w:color="auto"/>
            <w:left w:val="none" w:sz="0" w:space="0" w:color="auto"/>
            <w:bottom w:val="none" w:sz="0" w:space="0" w:color="auto"/>
            <w:right w:val="none" w:sz="0" w:space="0" w:color="auto"/>
          </w:divBdr>
        </w:div>
        <w:div w:id="1597790433">
          <w:marLeft w:val="0"/>
          <w:marRight w:val="0"/>
          <w:marTop w:val="0"/>
          <w:marBottom w:val="0"/>
          <w:divBdr>
            <w:top w:val="none" w:sz="0" w:space="0" w:color="auto"/>
            <w:left w:val="none" w:sz="0" w:space="0" w:color="auto"/>
            <w:bottom w:val="none" w:sz="0" w:space="0" w:color="auto"/>
            <w:right w:val="none" w:sz="0" w:space="0" w:color="auto"/>
          </w:divBdr>
        </w:div>
        <w:div w:id="1708532052">
          <w:marLeft w:val="0"/>
          <w:marRight w:val="0"/>
          <w:marTop w:val="0"/>
          <w:marBottom w:val="0"/>
          <w:divBdr>
            <w:top w:val="none" w:sz="0" w:space="0" w:color="auto"/>
            <w:left w:val="none" w:sz="0" w:space="0" w:color="auto"/>
            <w:bottom w:val="none" w:sz="0" w:space="0" w:color="auto"/>
            <w:right w:val="none" w:sz="0" w:space="0" w:color="auto"/>
          </w:divBdr>
          <w:divsChild>
            <w:div w:id="1530610081">
              <w:marLeft w:val="0"/>
              <w:marRight w:val="0"/>
              <w:marTop w:val="0"/>
              <w:marBottom w:val="0"/>
              <w:divBdr>
                <w:top w:val="none" w:sz="0" w:space="0" w:color="auto"/>
                <w:left w:val="none" w:sz="0" w:space="0" w:color="auto"/>
                <w:bottom w:val="none" w:sz="0" w:space="0" w:color="auto"/>
                <w:right w:val="none" w:sz="0" w:space="0" w:color="auto"/>
              </w:divBdr>
            </w:div>
            <w:div w:id="1734884708">
              <w:marLeft w:val="0"/>
              <w:marRight w:val="0"/>
              <w:marTop w:val="0"/>
              <w:marBottom w:val="0"/>
              <w:divBdr>
                <w:top w:val="none" w:sz="0" w:space="0" w:color="auto"/>
                <w:left w:val="none" w:sz="0" w:space="0" w:color="auto"/>
                <w:bottom w:val="none" w:sz="0" w:space="0" w:color="auto"/>
                <w:right w:val="none" w:sz="0" w:space="0" w:color="auto"/>
              </w:divBdr>
            </w:div>
            <w:div w:id="1137912542">
              <w:marLeft w:val="0"/>
              <w:marRight w:val="0"/>
              <w:marTop w:val="0"/>
              <w:marBottom w:val="0"/>
              <w:divBdr>
                <w:top w:val="none" w:sz="0" w:space="0" w:color="auto"/>
                <w:left w:val="none" w:sz="0" w:space="0" w:color="auto"/>
                <w:bottom w:val="none" w:sz="0" w:space="0" w:color="auto"/>
                <w:right w:val="none" w:sz="0" w:space="0" w:color="auto"/>
              </w:divBdr>
            </w:div>
            <w:div w:id="554318643">
              <w:marLeft w:val="0"/>
              <w:marRight w:val="0"/>
              <w:marTop w:val="0"/>
              <w:marBottom w:val="0"/>
              <w:divBdr>
                <w:top w:val="none" w:sz="0" w:space="0" w:color="auto"/>
                <w:left w:val="none" w:sz="0" w:space="0" w:color="auto"/>
                <w:bottom w:val="none" w:sz="0" w:space="0" w:color="auto"/>
                <w:right w:val="none" w:sz="0" w:space="0" w:color="auto"/>
              </w:divBdr>
            </w:div>
            <w:div w:id="995841266">
              <w:marLeft w:val="0"/>
              <w:marRight w:val="0"/>
              <w:marTop w:val="0"/>
              <w:marBottom w:val="0"/>
              <w:divBdr>
                <w:top w:val="none" w:sz="0" w:space="0" w:color="auto"/>
                <w:left w:val="none" w:sz="0" w:space="0" w:color="auto"/>
                <w:bottom w:val="none" w:sz="0" w:space="0" w:color="auto"/>
                <w:right w:val="none" w:sz="0" w:space="0" w:color="auto"/>
              </w:divBdr>
            </w:div>
            <w:div w:id="1959487634">
              <w:marLeft w:val="0"/>
              <w:marRight w:val="0"/>
              <w:marTop w:val="0"/>
              <w:marBottom w:val="0"/>
              <w:divBdr>
                <w:top w:val="none" w:sz="0" w:space="0" w:color="auto"/>
                <w:left w:val="none" w:sz="0" w:space="0" w:color="auto"/>
                <w:bottom w:val="none" w:sz="0" w:space="0" w:color="auto"/>
                <w:right w:val="none" w:sz="0" w:space="0" w:color="auto"/>
              </w:divBdr>
            </w:div>
            <w:div w:id="1474369364">
              <w:marLeft w:val="0"/>
              <w:marRight w:val="0"/>
              <w:marTop w:val="0"/>
              <w:marBottom w:val="0"/>
              <w:divBdr>
                <w:top w:val="none" w:sz="0" w:space="0" w:color="auto"/>
                <w:left w:val="none" w:sz="0" w:space="0" w:color="auto"/>
                <w:bottom w:val="none" w:sz="0" w:space="0" w:color="auto"/>
                <w:right w:val="none" w:sz="0" w:space="0" w:color="auto"/>
              </w:divBdr>
            </w:div>
            <w:div w:id="2101947354">
              <w:marLeft w:val="0"/>
              <w:marRight w:val="0"/>
              <w:marTop w:val="0"/>
              <w:marBottom w:val="0"/>
              <w:divBdr>
                <w:top w:val="none" w:sz="0" w:space="0" w:color="auto"/>
                <w:left w:val="none" w:sz="0" w:space="0" w:color="auto"/>
                <w:bottom w:val="none" w:sz="0" w:space="0" w:color="auto"/>
                <w:right w:val="none" w:sz="0" w:space="0" w:color="auto"/>
              </w:divBdr>
            </w:div>
            <w:div w:id="1518034862">
              <w:marLeft w:val="0"/>
              <w:marRight w:val="0"/>
              <w:marTop w:val="0"/>
              <w:marBottom w:val="0"/>
              <w:divBdr>
                <w:top w:val="none" w:sz="0" w:space="0" w:color="auto"/>
                <w:left w:val="none" w:sz="0" w:space="0" w:color="auto"/>
                <w:bottom w:val="none" w:sz="0" w:space="0" w:color="auto"/>
                <w:right w:val="none" w:sz="0" w:space="0" w:color="auto"/>
              </w:divBdr>
            </w:div>
            <w:div w:id="722679234">
              <w:marLeft w:val="0"/>
              <w:marRight w:val="0"/>
              <w:marTop w:val="0"/>
              <w:marBottom w:val="0"/>
              <w:divBdr>
                <w:top w:val="none" w:sz="0" w:space="0" w:color="auto"/>
                <w:left w:val="none" w:sz="0" w:space="0" w:color="auto"/>
                <w:bottom w:val="none" w:sz="0" w:space="0" w:color="auto"/>
                <w:right w:val="none" w:sz="0" w:space="0" w:color="auto"/>
              </w:divBdr>
            </w:div>
          </w:divsChild>
        </w:div>
        <w:div w:id="404112902">
          <w:marLeft w:val="0"/>
          <w:marRight w:val="0"/>
          <w:marTop w:val="0"/>
          <w:marBottom w:val="0"/>
          <w:divBdr>
            <w:top w:val="none" w:sz="0" w:space="0" w:color="auto"/>
            <w:left w:val="none" w:sz="0" w:space="0" w:color="auto"/>
            <w:bottom w:val="none" w:sz="0" w:space="0" w:color="auto"/>
            <w:right w:val="none" w:sz="0" w:space="0" w:color="auto"/>
          </w:divBdr>
        </w:div>
        <w:div w:id="640884529">
          <w:marLeft w:val="0"/>
          <w:marRight w:val="0"/>
          <w:marTop w:val="0"/>
          <w:marBottom w:val="0"/>
          <w:divBdr>
            <w:top w:val="none" w:sz="0" w:space="0" w:color="auto"/>
            <w:left w:val="none" w:sz="0" w:space="0" w:color="auto"/>
            <w:bottom w:val="none" w:sz="0" w:space="0" w:color="auto"/>
            <w:right w:val="none" w:sz="0" w:space="0" w:color="auto"/>
          </w:divBdr>
          <w:divsChild>
            <w:div w:id="2002615321">
              <w:marLeft w:val="0"/>
              <w:marRight w:val="0"/>
              <w:marTop w:val="0"/>
              <w:marBottom w:val="0"/>
              <w:divBdr>
                <w:top w:val="none" w:sz="0" w:space="0" w:color="auto"/>
                <w:left w:val="none" w:sz="0" w:space="0" w:color="auto"/>
                <w:bottom w:val="none" w:sz="0" w:space="0" w:color="auto"/>
                <w:right w:val="none" w:sz="0" w:space="0" w:color="auto"/>
              </w:divBdr>
            </w:div>
            <w:div w:id="2131315160">
              <w:marLeft w:val="0"/>
              <w:marRight w:val="0"/>
              <w:marTop w:val="0"/>
              <w:marBottom w:val="0"/>
              <w:divBdr>
                <w:top w:val="none" w:sz="0" w:space="0" w:color="auto"/>
                <w:left w:val="none" w:sz="0" w:space="0" w:color="auto"/>
                <w:bottom w:val="none" w:sz="0" w:space="0" w:color="auto"/>
                <w:right w:val="none" w:sz="0" w:space="0" w:color="auto"/>
              </w:divBdr>
            </w:div>
            <w:div w:id="1878004998">
              <w:marLeft w:val="0"/>
              <w:marRight w:val="0"/>
              <w:marTop w:val="0"/>
              <w:marBottom w:val="0"/>
              <w:divBdr>
                <w:top w:val="none" w:sz="0" w:space="0" w:color="auto"/>
                <w:left w:val="none" w:sz="0" w:space="0" w:color="auto"/>
                <w:bottom w:val="none" w:sz="0" w:space="0" w:color="auto"/>
                <w:right w:val="none" w:sz="0" w:space="0" w:color="auto"/>
              </w:divBdr>
            </w:div>
          </w:divsChild>
        </w:div>
        <w:div w:id="1038050147">
          <w:marLeft w:val="0"/>
          <w:marRight w:val="0"/>
          <w:marTop w:val="0"/>
          <w:marBottom w:val="0"/>
          <w:divBdr>
            <w:top w:val="none" w:sz="0" w:space="0" w:color="auto"/>
            <w:left w:val="none" w:sz="0" w:space="0" w:color="auto"/>
            <w:bottom w:val="none" w:sz="0" w:space="0" w:color="auto"/>
            <w:right w:val="none" w:sz="0" w:space="0" w:color="auto"/>
          </w:divBdr>
        </w:div>
        <w:div w:id="2092772718">
          <w:marLeft w:val="0"/>
          <w:marRight w:val="0"/>
          <w:marTop w:val="0"/>
          <w:marBottom w:val="0"/>
          <w:divBdr>
            <w:top w:val="none" w:sz="0" w:space="0" w:color="auto"/>
            <w:left w:val="none" w:sz="0" w:space="0" w:color="auto"/>
            <w:bottom w:val="none" w:sz="0" w:space="0" w:color="auto"/>
            <w:right w:val="none" w:sz="0" w:space="0" w:color="auto"/>
          </w:divBdr>
        </w:div>
        <w:div w:id="1480734085">
          <w:marLeft w:val="0"/>
          <w:marRight w:val="0"/>
          <w:marTop w:val="0"/>
          <w:marBottom w:val="0"/>
          <w:divBdr>
            <w:top w:val="none" w:sz="0" w:space="0" w:color="auto"/>
            <w:left w:val="none" w:sz="0" w:space="0" w:color="auto"/>
            <w:bottom w:val="none" w:sz="0" w:space="0" w:color="auto"/>
            <w:right w:val="none" w:sz="0" w:space="0" w:color="auto"/>
          </w:divBdr>
        </w:div>
        <w:div w:id="1858695445">
          <w:marLeft w:val="0"/>
          <w:marRight w:val="0"/>
          <w:marTop w:val="0"/>
          <w:marBottom w:val="0"/>
          <w:divBdr>
            <w:top w:val="none" w:sz="0" w:space="0" w:color="auto"/>
            <w:left w:val="none" w:sz="0" w:space="0" w:color="auto"/>
            <w:bottom w:val="none" w:sz="0" w:space="0" w:color="auto"/>
            <w:right w:val="none" w:sz="0" w:space="0" w:color="auto"/>
          </w:divBdr>
          <w:divsChild>
            <w:div w:id="976639879">
              <w:marLeft w:val="0"/>
              <w:marRight w:val="0"/>
              <w:marTop w:val="0"/>
              <w:marBottom w:val="0"/>
              <w:divBdr>
                <w:top w:val="none" w:sz="0" w:space="0" w:color="auto"/>
                <w:left w:val="none" w:sz="0" w:space="0" w:color="auto"/>
                <w:bottom w:val="none" w:sz="0" w:space="0" w:color="auto"/>
                <w:right w:val="none" w:sz="0" w:space="0" w:color="auto"/>
              </w:divBdr>
            </w:div>
            <w:div w:id="2045981505">
              <w:marLeft w:val="0"/>
              <w:marRight w:val="0"/>
              <w:marTop w:val="0"/>
              <w:marBottom w:val="0"/>
              <w:divBdr>
                <w:top w:val="none" w:sz="0" w:space="0" w:color="auto"/>
                <w:left w:val="none" w:sz="0" w:space="0" w:color="auto"/>
                <w:bottom w:val="none" w:sz="0" w:space="0" w:color="auto"/>
                <w:right w:val="none" w:sz="0" w:space="0" w:color="auto"/>
              </w:divBdr>
            </w:div>
            <w:div w:id="1424957802">
              <w:marLeft w:val="0"/>
              <w:marRight w:val="0"/>
              <w:marTop w:val="0"/>
              <w:marBottom w:val="0"/>
              <w:divBdr>
                <w:top w:val="none" w:sz="0" w:space="0" w:color="auto"/>
                <w:left w:val="none" w:sz="0" w:space="0" w:color="auto"/>
                <w:bottom w:val="none" w:sz="0" w:space="0" w:color="auto"/>
                <w:right w:val="none" w:sz="0" w:space="0" w:color="auto"/>
              </w:divBdr>
            </w:div>
          </w:divsChild>
        </w:div>
        <w:div w:id="12805299">
          <w:marLeft w:val="0"/>
          <w:marRight w:val="0"/>
          <w:marTop w:val="0"/>
          <w:marBottom w:val="0"/>
          <w:divBdr>
            <w:top w:val="none" w:sz="0" w:space="0" w:color="auto"/>
            <w:left w:val="none" w:sz="0" w:space="0" w:color="auto"/>
            <w:bottom w:val="none" w:sz="0" w:space="0" w:color="auto"/>
            <w:right w:val="none" w:sz="0" w:space="0" w:color="auto"/>
          </w:divBdr>
          <w:divsChild>
            <w:div w:id="1681467667">
              <w:marLeft w:val="0"/>
              <w:marRight w:val="0"/>
              <w:marTop w:val="0"/>
              <w:marBottom w:val="0"/>
              <w:divBdr>
                <w:top w:val="none" w:sz="0" w:space="0" w:color="auto"/>
                <w:left w:val="none" w:sz="0" w:space="0" w:color="auto"/>
                <w:bottom w:val="none" w:sz="0" w:space="0" w:color="auto"/>
                <w:right w:val="none" w:sz="0" w:space="0" w:color="auto"/>
              </w:divBdr>
            </w:div>
            <w:div w:id="1663119632">
              <w:marLeft w:val="0"/>
              <w:marRight w:val="0"/>
              <w:marTop w:val="0"/>
              <w:marBottom w:val="0"/>
              <w:divBdr>
                <w:top w:val="none" w:sz="0" w:space="0" w:color="auto"/>
                <w:left w:val="none" w:sz="0" w:space="0" w:color="auto"/>
                <w:bottom w:val="none" w:sz="0" w:space="0" w:color="auto"/>
                <w:right w:val="none" w:sz="0" w:space="0" w:color="auto"/>
              </w:divBdr>
            </w:div>
            <w:div w:id="1302661497">
              <w:marLeft w:val="0"/>
              <w:marRight w:val="0"/>
              <w:marTop w:val="0"/>
              <w:marBottom w:val="0"/>
              <w:divBdr>
                <w:top w:val="none" w:sz="0" w:space="0" w:color="auto"/>
                <w:left w:val="none" w:sz="0" w:space="0" w:color="auto"/>
                <w:bottom w:val="none" w:sz="0" w:space="0" w:color="auto"/>
                <w:right w:val="none" w:sz="0" w:space="0" w:color="auto"/>
              </w:divBdr>
            </w:div>
          </w:divsChild>
        </w:div>
        <w:div w:id="1478063412">
          <w:marLeft w:val="0"/>
          <w:marRight w:val="0"/>
          <w:marTop w:val="0"/>
          <w:marBottom w:val="0"/>
          <w:divBdr>
            <w:top w:val="none" w:sz="0" w:space="0" w:color="auto"/>
            <w:left w:val="none" w:sz="0" w:space="0" w:color="auto"/>
            <w:bottom w:val="none" w:sz="0" w:space="0" w:color="auto"/>
            <w:right w:val="none" w:sz="0" w:space="0" w:color="auto"/>
          </w:divBdr>
        </w:div>
        <w:div w:id="887226913">
          <w:marLeft w:val="0"/>
          <w:marRight w:val="0"/>
          <w:marTop w:val="0"/>
          <w:marBottom w:val="0"/>
          <w:divBdr>
            <w:top w:val="none" w:sz="0" w:space="0" w:color="auto"/>
            <w:left w:val="none" w:sz="0" w:space="0" w:color="auto"/>
            <w:bottom w:val="none" w:sz="0" w:space="0" w:color="auto"/>
            <w:right w:val="none" w:sz="0" w:space="0" w:color="auto"/>
          </w:divBdr>
          <w:divsChild>
            <w:div w:id="2061129178">
              <w:marLeft w:val="0"/>
              <w:marRight w:val="0"/>
              <w:marTop w:val="0"/>
              <w:marBottom w:val="0"/>
              <w:divBdr>
                <w:top w:val="none" w:sz="0" w:space="0" w:color="auto"/>
                <w:left w:val="none" w:sz="0" w:space="0" w:color="auto"/>
                <w:bottom w:val="none" w:sz="0" w:space="0" w:color="auto"/>
                <w:right w:val="none" w:sz="0" w:space="0" w:color="auto"/>
              </w:divBdr>
            </w:div>
            <w:div w:id="943727675">
              <w:marLeft w:val="0"/>
              <w:marRight w:val="0"/>
              <w:marTop w:val="0"/>
              <w:marBottom w:val="0"/>
              <w:divBdr>
                <w:top w:val="none" w:sz="0" w:space="0" w:color="auto"/>
                <w:left w:val="none" w:sz="0" w:space="0" w:color="auto"/>
                <w:bottom w:val="none" w:sz="0" w:space="0" w:color="auto"/>
                <w:right w:val="none" w:sz="0" w:space="0" w:color="auto"/>
              </w:divBdr>
            </w:div>
            <w:div w:id="230163424">
              <w:marLeft w:val="0"/>
              <w:marRight w:val="0"/>
              <w:marTop w:val="0"/>
              <w:marBottom w:val="0"/>
              <w:divBdr>
                <w:top w:val="none" w:sz="0" w:space="0" w:color="auto"/>
                <w:left w:val="none" w:sz="0" w:space="0" w:color="auto"/>
                <w:bottom w:val="none" w:sz="0" w:space="0" w:color="auto"/>
                <w:right w:val="none" w:sz="0" w:space="0" w:color="auto"/>
              </w:divBdr>
            </w:div>
            <w:div w:id="819538271">
              <w:marLeft w:val="0"/>
              <w:marRight w:val="0"/>
              <w:marTop w:val="0"/>
              <w:marBottom w:val="0"/>
              <w:divBdr>
                <w:top w:val="none" w:sz="0" w:space="0" w:color="auto"/>
                <w:left w:val="none" w:sz="0" w:space="0" w:color="auto"/>
                <w:bottom w:val="none" w:sz="0" w:space="0" w:color="auto"/>
                <w:right w:val="none" w:sz="0" w:space="0" w:color="auto"/>
              </w:divBdr>
            </w:div>
          </w:divsChild>
        </w:div>
        <w:div w:id="873929319">
          <w:marLeft w:val="0"/>
          <w:marRight w:val="0"/>
          <w:marTop w:val="0"/>
          <w:marBottom w:val="0"/>
          <w:divBdr>
            <w:top w:val="none" w:sz="0" w:space="0" w:color="auto"/>
            <w:left w:val="none" w:sz="0" w:space="0" w:color="auto"/>
            <w:bottom w:val="none" w:sz="0" w:space="0" w:color="auto"/>
            <w:right w:val="none" w:sz="0" w:space="0" w:color="auto"/>
          </w:divBdr>
        </w:div>
        <w:div w:id="1812558669">
          <w:marLeft w:val="0"/>
          <w:marRight w:val="0"/>
          <w:marTop w:val="0"/>
          <w:marBottom w:val="0"/>
          <w:divBdr>
            <w:top w:val="none" w:sz="0" w:space="0" w:color="auto"/>
            <w:left w:val="none" w:sz="0" w:space="0" w:color="auto"/>
            <w:bottom w:val="none" w:sz="0" w:space="0" w:color="auto"/>
            <w:right w:val="none" w:sz="0" w:space="0" w:color="auto"/>
          </w:divBdr>
        </w:div>
        <w:div w:id="1964573675">
          <w:marLeft w:val="0"/>
          <w:marRight w:val="0"/>
          <w:marTop w:val="0"/>
          <w:marBottom w:val="0"/>
          <w:divBdr>
            <w:top w:val="none" w:sz="0" w:space="0" w:color="auto"/>
            <w:left w:val="none" w:sz="0" w:space="0" w:color="auto"/>
            <w:bottom w:val="none" w:sz="0" w:space="0" w:color="auto"/>
            <w:right w:val="none" w:sz="0" w:space="0" w:color="auto"/>
          </w:divBdr>
        </w:div>
        <w:div w:id="1312444647">
          <w:marLeft w:val="0"/>
          <w:marRight w:val="0"/>
          <w:marTop w:val="0"/>
          <w:marBottom w:val="0"/>
          <w:divBdr>
            <w:top w:val="none" w:sz="0" w:space="0" w:color="auto"/>
            <w:left w:val="none" w:sz="0" w:space="0" w:color="auto"/>
            <w:bottom w:val="none" w:sz="0" w:space="0" w:color="auto"/>
            <w:right w:val="none" w:sz="0" w:space="0" w:color="auto"/>
          </w:divBdr>
        </w:div>
        <w:div w:id="1151826101">
          <w:marLeft w:val="0"/>
          <w:marRight w:val="0"/>
          <w:marTop w:val="0"/>
          <w:marBottom w:val="0"/>
          <w:divBdr>
            <w:top w:val="none" w:sz="0" w:space="0" w:color="auto"/>
            <w:left w:val="none" w:sz="0" w:space="0" w:color="auto"/>
            <w:bottom w:val="none" w:sz="0" w:space="0" w:color="auto"/>
            <w:right w:val="none" w:sz="0" w:space="0" w:color="auto"/>
          </w:divBdr>
        </w:div>
        <w:div w:id="1397897936">
          <w:marLeft w:val="0"/>
          <w:marRight w:val="0"/>
          <w:marTop w:val="0"/>
          <w:marBottom w:val="0"/>
          <w:divBdr>
            <w:top w:val="none" w:sz="0" w:space="0" w:color="auto"/>
            <w:left w:val="none" w:sz="0" w:space="0" w:color="auto"/>
            <w:bottom w:val="none" w:sz="0" w:space="0" w:color="auto"/>
            <w:right w:val="none" w:sz="0" w:space="0" w:color="auto"/>
          </w:divBdr>
        </w:div>
        <w:div w:id="1595047864">
          <w:marLeft w:val="0"/>
          <w:marRight w:val="0"/>
          <w:marTop w:val="0"/>
          <w:marBottom w:val="0"/>
          <w:divBdr>
            <w:top w:val="none" w:sz="0" w:space="0" w:color="auto"/>
            <w:left w:val="none" w:sz="0" w:space="0" w:color="auto"/>
            <w:bottom w:val="none" w:sz="0" w:space="0" w:color="auto"/>
            <w:right w:val="none" w:sz="0" w:space="0" w:color="auto"/>
          </w:divBdr>
        </w:div>
        <w:div w:id="1387530874">
          <w:marLeft w:val="0"/>
          <w:marRight w:val="0"/>
          <w:marTop w:val="0"/>
          <w:marBottom w:val="0"/>
          <w:divBdr>
            <w:top w:val="none" w:sz="0" w:space="0" w:color="auto"/>
            <w:left w:val="none" w:sz="0" w:space="0" w:color="auto"/>
            <w:bottom w:val="none" w:sz="0" w:space="0" w:color="auto"/>
            <w:right w:val="none" w:sz="0" w:space="0" w:color="auto"/>
          </w:divBdr>
        </w:div>
        <w:div w:id="7023419">
          <w:marLeft w:val="0"/>
          <w:marRight w:val="0"/>
          <w:marTop w:val="0"/>
          <w:marBottom w:val="0"/>
          <w:divBdr>
            <w:top w:val="none" w:sz="0" w:space="0" w:color="auto"/>
            <w:left w:val="none" w:sz="0" w:space="0" w:color="auto"/>
            <w:bottom w:val="none" w:sz="0" w:space="0" w:color="auto"/>
            <w:right w:val="none" w:sz="0" w:space="0" w:color="auto"/>
          </w:divBdr>
        </w:div>
        <w:div w:id="274752512">
          <w:marLeft w:val="0"/>
          <w:marRight w:val="0"/>
          <w:marTop w:val="0"/>
          <w:marBottom w:val="0"/>
          <w:divBdr>
            <w:top w:val="none" w:sz="0" w:space="0" w:color="auto"/>
            <w:left w:val="none" w:sz="0" w:space="0" w:color="auto"/>
            <w:bottom w:val="none" w:sz="0" w:space="0" w:color="auto"/>
            <w:right w:val="none" w:sz="0" w:space="0" w:color="auto"/>
          </w:divBdr>
        </w:div>
        <w:div w:id="180441746">
          <w:marLeft w:val="0"/>
          <w:marRight w:val="0"/>
          <w:marTop w:val="0"/>
          <w:marBottom w:val="0"/>
          <w:divBdr>
            <w:top w:val="none" w:sz="0" w:space="0" w:color="auto"/>
            <w:left w:val="none" w:sz="0" w:space="0" w:color="auto"/>
            <w:bottom w:val="none" w:sz="0" w:space="0" w:color="auto"/>
            <w:right w:val="none" w:sz="0" w:space="0" w:color="auto"/>
          </w:divBdr>
        </w:div>
        <w:div w:id="969047808">
          <w:marLeft w:val="0"/>
          <w:marRight w:val="0"/>
          <w:marTop w:val="0"/>
          <w:marBottom w:val="0"/>
          <w:divBdr>
            <w:top w:val="none" w:sz="0" w:space="0" w:color="auto"/>
            <w:left w:val="none" w:sz="0" w:space="0" w:color="auto"/>
            <w:bottom w:val="none" w:sz="0" w:space="0" w:color="auto"/>
            <w:right w:val="none" w:sz="0" w:space="0" w:color="auto"/>
          </w:divBdr>
        </w:div>
        <w:div w:id="1394348390">
          <w:marLeft w:val="0"/>
          <w:marRight w:val="0"/>
          <w:marTop w:val="0"/>
          <w:marBottom w:val="0"/>
          <w:divBdr>
            <w:top w:val="none" w:sz="0" w:space="0" w:color="auto"/>
            <w:left w:val="none" w:sz="0" w:space="0" w:color="auto"/>
            <w:bottom w:val="none" w:sz="0" w:space="0" w:color="auto"/>
            <w:right w:val="none" w:sz="0" w:space="0" w:color="auto"/>
          </w:divBdr>
        </w:div>
        <w:div w:id="609506734">
          <w:marLeft w:val="0"/>
          <w:marRight w:val="0"/>
          <w:marTop w:val="0"/>
          <w:marBottom w:val="0"/>
          <w:divBdr>
            <w:top w:val="none" w:sz="0" w:space="0" w:color="auto"/>
            <w:left w:val="none" w:sz="0" w:space="0" w:color="auto"/>
            <w:bottom w:val="none" w:sz="0" w:space="0" w:color="auto"/>
            <w:right w:val="none" w:sz="0" w:space="0" w:color="auto"/>
          </w:divBdr>
          <w:divsChild>
            <w:div w:id="2086759715">
              <w:marLeft w:val="0"/>
              <w:marRight w:val="0"/>
              <w:marTop w:val="0"/>
              <w:marBottom w:val="0"/>
              <w:divBdr>
                <w:top w:val="none" w:sz="0" w:space="0" w:color="auto"/>
                <w:left w:val="none" w:sz="0" w:space="0" w:color="auto"/>
                <w:bottom w:val="none" w:sz="0" w:space="0" w:color="auto"/>
                <w:right w:val="none" w:sz="0" w:space="0" w:color="auto"/>
              </w:divBdr>
            </w:div>
            <w:div w:id="2009945051">
              <w:marLeft w:val="0"/>
              <w:marRight w:val="0"/>
              <w:marTop w:val="0"/>
              <w:marBottom w:val="0"/>
              <w:divBdr>
                <w:top w:val="none" w:sz="0" w:space="0" w:color="auto"/>
                <w:left w:val="none" w:sz="0" w:space="0" w:color="auto"/>
                <w:bottom w:val="none" w:sz="0" w:space="0" w:color="auto"/>
                <w:right w:val="none" w:sz="0" w:space="0" w:color="auto"/>
              </w:divBdr>
            </w:div>
          </w:divsChild>
        </w:div>
        <w:div w:id="499273148">
          <w:marLeft w:val="0"/>
          <w:marRight w:val="0"/>
          <w:marTop w:val="0"/>
          <w:marBottom w:val="0"/>
          <w:divBdr>
            <w:top w:val="none" w:sz="0" w:space="0" w:color="auto"/>
            <w:left w:val="none" w:sz="0" w:space="0" w:color="auto"/>
            <w:bottom w:val="none" w:sz="0" w:space="0" w:color="auto"/>
            <w:right w:val="none" w:sz="0" w:space="0" w:color="auto"/>
          </w:divBdr>
        </w:div>
        <w:div w:id="1015303327">
          <w:marLeft w:val="0"/>
          <w:marRight w:val="0"/>
          <w:marTop w:val="0"/>
          <w:marBottom w:val="0"/>
          <w:divBdr>
            <w:top w:val="none" w:sz="0" w:space="0" w:color="auto"/>
            <w:left w:val="none" w:sz="0" w:space="0" w:color="auto"/>
            <w:bottom w:val="none" w:sz="0" w:space="0" w:color="auto"/>
            <w:right w:val="none" w:sz="0" w:space="0" w:color="auto"/>
          </w:divBdr>
        </w:div>
        <w:div w:id="8798504">
          <w:marLeft w:val="0"/>
          <w:marRight w:val="0"/>
          <w:marTop w:val="0"/>
          <w:marBottom w:val="0"/>
          <w:divBdr>
            <w:top w:val="none" w:sz="0" w:space="0" w:color="auto"/>
            <w:left w:val="none" w:sz="0" w:space="0" w:color="auto"/>
            <w:bottom w:val="none" w:sz="0" w:space="0" w:color="auto"/>
            <w:right w:val="none" w:sz="0" w:space="0" w:color="auto"/>
          </w:divBdr>
        </w:div>
        <w:div w:id="980354319">
          <w:marLeft w:val="0"/>
          <w:marRight w:val="0"/>
          <w:marTop w:val="0"/>
          <w:marBottom w:val="0"/>
          <w:divBdr>
            <w:top w:val="none" w:sz="0" w:space="0" w:color="auto"/>
            <w:left w:val="none" w:sz="0" w:space="0" w:color="auto"/>
            <w:bottom w:val="none" w:sz="0" w:space="0" w:color="auto"/>
            <w:right w:val="none" w:sz="0" w:space="0" w:color="auto"/>
          </w:divBdr>
        </w:div>
        <w:div w:id="189882929">
          <w:marLeft w:val="0"/>
          <w:marRight w:val="0"/>
          <w:marTop w:val="0"/>
          <w:marBottom w:val="0"/>
          <w:divBdr>
            <w:top w:val="none" w:sz="0" w:space="0" w:color="auto"/>
            <w:left w:val="none" w:sz="0" w:space="0" w:color="auto"/>
            <w:bottom w:val="none" w:sz="0" w:space="0" w:color="auto"/>
            <w:right w:val="none" w:sz="0" w:space="0" w:color="auto"/>
          </w:divBdr>
        </w:div>
        <w:div w:id="416052799">
          <w:marLeft w:val="0"/>
          <w:marRight w:val="0"/>
          <w:marTop w:val="0"/>
          <w:marBottom w:val="0"/>
          <w:divBdr>
            <w:top w:val="none" w:sz="0" w:space="0" w:color="auto"/>
            <w:left w:val="none" w:sz="0" w:space="0" w:color="auto"/>
            <w:bottom w:val="none" w:sz="0" w:space="0" w:color="auto"/>
            <w:right w:val="none" w:sz="0" w:space="0" w:color="auto"/>
          </w:divBdr>
        </w:div>
        <w:div w:id="2018919620">
          <w:marLeft w:val="0"/>
          <w:marRight w:val="0"/>
          <w:marTop w:val="0"/>
          <w:marBottom w:val="0"/>
          <w:divBdr>
            <w:top w:val="none" w:sz="0" w:space="0" w:color="auto"/>
            <w:left w:val="none" w:sz="0" w:space="0" w:color="auto"/>
            <w:bottom w:val="none" w:sz="0" w:space="0" w:color="auto"/>
            <w:right w:val="none" w:sz="0" w:space="0" w:color="auto"/>
          </w:divBdr>
        </w:div>
        <w:div w:id="697630864">
          <w:marLeft w:val="0"/>
          <w:marRight w:val="0"/>
          <w:marTop w:val="0"/>
          <w:marBottom w:val="0"/>
          <w:divBdr>
            <w:top w:val="none" w:sz="0" w:space="0" w:color="auto"/>
            <w:left w:val="none" w:sz="0" w:space="0" w:color="auto"/>
            <w:bottom w:val="none" w:sz="0" w:space="0" w:color="auto"/>
            <w:right w:val="none" w:sz="0" w:space="0" w:color="auto"/>
          </w:divBdr>
        </w:div>
        <w:div w:id="734428813">
          <w:marLeft w:val="0"/>
          <w:marRight w:val="0"/>
          <w:marTop w:val="0"/>
          <w:marBottom w:val="0"/>
          <w:divBdr>
            <w:top w:val="none" w:sz="0" w:space="0" w:color="auto"/>
            <w:left w:val="none" w:sz="0" w:space="0" w:color="auto"/>
            <w:bottom w:val="none" w:sz="0" w:space="0" w:color="auto"/>
            <w:right w:val="none" w:sz="0" w:space="0" w:color="auto"/>
          </w:divBdr>
        </w:div>
        <w:div w:id="325864981">
          <w:marLeft w:val="0"/>
          <w:marRight w:val="0"/>
          <w:marTop w:val="0"/>
          <w:marBottom w:val="0"/>
          <w:divBdr>
            <w:top w:val="none" w:sz="0" w:space="0" w:color="auto"/>
            <w:left w:val="none" w:sz="0" w:space="0" w:color="auto"/>
            <w:bottom w:val="none" w:sz="0" w:space="0" w:color="auto"/>
            <w:right w:val="none" w:sz="0" w:space="0" w:color="auto"/>
          </w:divBdr>
        </w:div>
        <w:div w:id="387387635">
          <w:marLeft w:val="0"/>
          <w:marRight w:val="0"/>
          <w:marTop w:val="0"/>
          <w:marBottom w:val="0"/>
          <w:divBdr>
            <w:top w:val="none" w:sz="0" w:space="0" w:color="auto"/>
            <w:left w:val="none" w:sz="0" w:space="0" w:color="auto"/>
            <w:bottom w:val="none" w:sz="0" w:space="0" w:color="auto"/>
            <w:right w:val="none" w:sz="0" w:space="0" w:color="auto"/>
          </w:divBdr>
        </w:div>
        <w:div w:id="220142616">
          <w:marLeft w:val="0"/>
          <w:marRight w:val="0"/>
          <w:marTop w:val="0"/>
          <w:marBottom w:val="0"/>
          <w:divBdr>
            <w:top w:val="none" w:sz="0" w:space="0" w:color="auto"/>
            <w:left w:val="none" w:sz="0" w:space="0" w:color="auto"/>
            <w:bottom w:val="none" w:sz="0" w:space="0" w:color="auto"/>
            <w:right w:val="none" w:sz="0" w:space="0" w:color="auto"/>
          </w:divBdr>
          <w:divsChild>
            <w:div w:id="1228345342">
              <w:marLeft w:val="0"/>
              <w:marRight w:val="0"/>
              <w:marTop w:val="0"/>
              <w:marBottom w:val="0"/>
              <w:divBdr>
                <w:top w:val="none" w:sz="0" w:space="0" w:color="auto"/>
                <w:left w:val="none" w:sz="0" w:space="0" w:color="auto"/>
                <w:bottom w:val="none" w:sz="0" w:space="0" w:color="auto"/>
                <w:right w:val="none" w:sz="0" w:space="0" w:color="auto"/>
              </w:divBdr>
            </w:div>
          </w:divsChild>
        </w:div>
        <w:div w:id="1578632929">
          <w:marLeft w:val="0"/>
          <w:marRight w:val="0"/>
          <w:marTop w:val="0"/>
          <w:marBottom w:val="0"/>
          <w:divBdr>
            <w:top w:val="none" w:sz="0" w:space="0" w:color="auto"/>
            <w:left w:val="none" w:sz="0" w:space="0" w:color="auto"/>
            <w:bottom w:val="none" w:sz="0" w:space="0" w:color="auto"/>
            <w:right w:val="none" w:sz="0" w:space="0" w:color="auto"/>
          </w:divBdr>
        </w:div>
        <w:div w:id="1781219826">
          <w:marLeft w:val="0"/>
          <w:marRight w:val="0"/>
          <w:marTop w:val="0"/>
          <w:marBottom w:val="0"/>
          <w:divBdr>
            <w:top w:val="none" w:sz="0" w:space="0" w:color="auto"/>
            <w:left w:val="none" w:sz="0" w:space="0" w:color="auto"/>
            <w:bottom w:val="none" w:sz="0" w:space="0" w:color="auto"/>
            <w:right w:val="none" w:sz="0" w:space="0" w:color="auto"/>
          </w:divBdr>
        </w:div>
        <w:div w:id="1867325204">
          <w:marLeft w:val="0"/>
          <w:marRight w:val="0"/>
          <w:marTop w:val="0"/>
          <w:marBottom w:val="0"/>
          <w:divBdr>
            <w:top w:val="none" w:sz="0" w:space="0" w:color="auto"/>
            <w:left w:val="none" w:sz="0" w:space="0" w:color="auto"/>
            <w:bottom w:val="none" w:sz="0" w:space="0" w:color="auto"/>
            <w:right w:val="none" w:sz="0" w:space="0" w:color="auto"/>
          </w:divBdr>
        </w:div>
        <w:div w:id="1184322924">
          <w:marLeft w:val="0"/>
          <w:marRight w:val="0"/>
          <w:marTop w:val="0"/>
          <w:marBottom w:val="0"/>
          <w:divBdr>
            <w:top w:val="none" w:sz="0" w:space="0" w:color="auto"/>
            <w:left w:val="none" w:sz="0" w:space="0" w:color="auto"/>
            <w:bottom w:val="none" w:sz="0" w:space="0" w:color="auto"/>
            <w:right w:val="none" w:sz="0" w:space="0" w:color="auto"/>
          </w:divBdr>
        </w:div>
        <w:div w:id="723454902">
          <w:marLeft w:val="0"/>
          <w:marRight w:val="0"/>
          <w:marTop w:val="0"/>
          <w:marBottom w:val="0"/>
          <w:divBdr>
            <w:top w:val="none" w:sz="0" w:space="0" w:color="auto"/>
            <w:left w:val="none" w:sz="0" w:space="0" w:color="auto"/>
            <w:bottom w:val="none" w:sz="0" w:space="0" w:color="auto"/>
            <w:right w:val="none" w:sz="0" w:space="0" w:color="auto"/>
          </w:divBdr>
        </w:div>
        <w:div w:id="1199703329">
          <w:marLeft w:val="0"/>
          <w:marRight w:val="0"/>
          <w:marTop w:val="0"/>
          <w:marBottom w:val="0"/>
          <w:divBdr>
            <w:top w:val="none" w:sz="0" w:space="0" w:color="auto"/>
            <w:left w:val="none" w:sz="0" w:space="0" w:color="auto"/>
            <w:bottom w:val="none" w:sz="0" w:space="0" w:color="auto"/>
            <w:right w:val="none" w:sz="0" w:space="0" w:color="auto"/>
          </w:divBdr>
        </w:div>
        <w:div w:id="1068192924">
          <w:marLeft w:val="0"/>
          <w:marRight w:val="0"/>
          <w:marTop w:val="0"/>
          <w:marBottom w:val="0"/>
          <w:divBdr>
            <w:top w:val="none" w:sz="0" w:space="0" w:color="auto"/>
            <w:left w:val="none" w:sz="0" w:space="0" w:color="auto"/>
            <w:bottom w:val="none" w:sz="0" w:space="0" w:color="auto"/>
            <w:right w:val="none" w:sz="0" w:space="0" w:color="auto"/>
          </w:divBdr>
        </w:div>
        <w:div w:id="334650690">
          <w:marLeft w:val="0"/>
          <w:marRight w:val="0"/>
          <w:marTop w:val="0"/>
          <w:marBottom w:val="0"/>
          <w:divBdr>
            <w:top w:val="none" w:sz="0" w:space="0" w:color="auto"/>
            <w:left w:val="none" w:sz="0" w:space="0" w:color="auto"/>
            <w:bottom w:val="none" w:sz="0" w:space="0" w:color="auto"/>
            <w:right w:val="none" w:sz="0" w:space="0" w:color="auto"/>
          </w:divBdr>
        </w:div>
        <w:div w:id="1586189180">
          <w:marLeft w:val="0"/>
          <w:marRight w:val="0"/>
          <w:marTop w:val="0"/>
          <w:marBottom w:val="0"/>
          <w:divBdr>
            <w:top w:val="none" w:sz="0" w:space="0" w:color="auto"/>
            <w:left w:val="none" w:sz="0" w:space="0" w:color="auto"/>
            <w:bottom w:val="none" w:sz="0" w:space="0" w:color="auto"/>
            <w:right w:val="none" w:sz="0" w:space="0" w:color="auto"/>
          </w:divBdr>
        </w:div>
        <w:div w:id="1743869778">
          <w:marLeft w:val="0"/>
          <w:marRight w:val="0"/>
          <w:marTop w:val="0"/>
          <w:marBottom w:val="0"/>
          <w:divBdr>
            <w:top w:val="none" w:sz="0" w:space="0" w:color="auto"/>
            <w:left w:val="none" w:sz="0" w:space="0" w:color="auto"/>
            <w:bottom w:val="none" w:sz="0" w:space="0" w:color="auto"/>
            <w:right w:val="none" w:sz="0" w:space="0" w:color="auto"/>
          </w:divBdr>
        </w:div>
        <w:div w:id="2012293603">
          <w:marLeft w:val="0"/>
          <w:marRight w:val="0"/>
          <w:marTop w:val="0"/>
          <w:marBottom w:val="0"/>
          <w:divBdr>
            <w:top w:val="none" w:sz="0" w:space="0" w:color="auto"/>
            <w:left w:val="none" w:sz="0" w:space="0" w:color="auto"/>
            <w:bottom w:val="none" w:sz="0" w:space="0" w:color="auto"/>
            <w:right w:val="none" w:sz="0" w:space="0" w:color="auto"/>
          </w:divBdr>
        </w:div>
        <w:div w:id="544566">
          <w:marLeft w:val="0"/>
          <w:marRight w:val="0"/>
          <w:marTop w:val="0"/>
          <w:marBottom w:val="0"/>
          <w:divBdr>
            <w:top w:val="none" w:sz="0" w:space="0" w:color="auto"/>
            <w:left w:val="none" w:sz="0" w:space="0" w:color="auto"/>
            <w:bottom w:val="none" w:sz="0" w:space="0" w:color="auto"/>
            <w:right w:val="none" w:sz="0" w:space="0" w:color="auto"/>
          </w:divBdr>
        </w:div>
        <w:div w:id="2026788908">
          <w:marLeft w:val="0"/>
          <w:marRight w:val="0"/>
          <w:marTop w:val="0"/>
          <w:marBottom w:val="0"/>
          <w:divBdr>
            <w:top w:val="none" w:sz="0" w:space="0" w:color="auto"/>
            <w:left w:val="none" w:sz="0" w:space="0" w:color="auto"/>
            <w:bottom w:val="none" w:sz="0" w:space="0" w:color="auto"/>
            <w:right w:val="none" w:sz="0" w:space="0" w:color="auto"/>
          </w:divBdr>
        </w:div>
        <w:div w:id="788204066">
          <w:marLeft w:val="0"/>
          <w:marRight w:val="0"/>
          <w:marTop w:val="0"/>
          <w:marBottom w:val="0"/>
          <w:divBdr>
            <w:top w:val="none" w:sz="0" w:space="0" w:color="auto"/>
            <w:left w:val="none" w:sz="0" w:space="0" w:color="auto"/>
            <w:bottom w:val="none" w:sz="0" w:space="0" w:color="auto"/>
            <w:right w:val="none" w:sz="0" w:space="0" w:color="auto"/>
          </w:divBdr>
        </w:div>
        <w:div w:id="855191922">
          <w:marLeft w:val="0"/>
          <w:marRight w:val="0"/>
          <w:marTop w:val="0"/>
          <w:marBottom w:val="0"/>
          <w:divBdr>
            <w:top w:val="none" w:sz="0" w:space="0" w:color="auto"/>
            <w:left w:val="none" w:sz="0" w:space="0" w:color="auto"/>
            <w:bottom w:val="none" w:sz="0" w:space="0" w:color="auto"/>
            <w:right w:val="none" w:sz="0" w:space="0" w:color="auto"/>
          </w:divBdr>
        </w:div>
        <w:div w:id="1213738266">
          <w:marLeft w:val="0"/>
          <w:marRight w:val="0"/>
          <w:marTop w:val="0"/>
          <w:marBottom w:val="0"/>
          <w:divBdr>
            <w:top w:val="none" w:sz="0" w:space="0" w:color="auto"/>
            <w:left w:val="none" w:sz="0" w:space="0" w:color="auto"/>
            <w:bottom w:val="none" w:sz="0" w:space="0" w:color="auto"/>
            <w:right w:val="none" w:sz="0" w:space="0" w:color="auto"/>
          </w:divBdr>
          <w:divsChild>
            <w:div w:id="2123304229">
              <w:marLeft w:val="0"/>
              <w:marRight w:val="0"/>
              <w:marTop w:val="0"/>
              <w:marBottom w:val="0"/>
              <w:divBdr>
                <w:top w:val="none" w:sz="0" w:space="0" w:color="auto"/>
                <w:left w:val="none" w:sz="0" w:space="0" w:color="auto"/>
                <w:bottom w:val="none" w:sz="0" w:space="0" w:color="auto"/>
                <w:right w:val="none" w:sz="0" w:space="0" w:color="auto"/>
              </w:divBdr>
            </w:div>
            <w:div w:id="1626689854">
              <w:marLeft w:val="0"/>
              <w:marRight w:val="0"/>
              <w:marTop w:val="0"/>
              <w:marBottom w:val="0"/>
              <w:divBdr>
                <w:top w:val="none" w:sz="0" w:space="0" w:color="auto"/>
                <w:left w:val="none" w:sz="0" w:space="0" w:color="auto"/>
                <w:bottom w:val="none" w:sz="0" w:space="0" w:color="auto"/>
                <w:right w:val="none" w:sz="0" w:space="0" w:color="auto"/>
              </w:divBdr>
            </w:div>
            <w:div w:id="1360545155">
              <w:marLeft w:val="0"/>
              <w:marRight w:val="0"/>
              <w:marTop w:val="0"/>
              <w:marBottom w:val="0"/>
              <w:divBdr>
                <w:top w:val="none" w:sz="0" w:space="0" w:color="auto"/>
                <w:left w:val="none" w:sz="0" w:space="0" w:color="auto"/>
                <w:bottom w:val="none" w:sz="0" w:space="0" w:color="auto"/>
                <w:right w:val="none" w:sz="0" w:space="0" w:color="auto"/>
              </w:divBdr>
            </w:div>
          </w:divsChild>
        </w:div>
        <w:div w:id="1468890539">
          <w:marLeft w:val="0"/>
          <w:marRight w:val="0"/>
          <w:marTop w:val="0"/>
          <w:marBottom w:val="0"/>
          <w:divBdr>
            <w:top w:val="none" w:sz="0" w:space="0" w:color="auto"/>
            <w:left w:val="none" w:sz="0" w:space="0" w:color="auto"/>
            <w:bottom w:val="none" w:sz="0" w:space="0" w:color="auto"/>
            <w:right w:val="none" w:sz="0" w:space="0" w:color="auto"/>
          </w:divBdr>
        </w:div>
        <w:div w:id="1045174276">
          <w:marLeft w:val="0"/>
          <w:marRight w:val="0"/>
          <w:marTop w:val="0"/>
          <w:marBottom w:val="0"/>
          <w:divBdr>
            <w:top w:val="none" w:sz="0" w:space="0" w:color="auto"/>
            <w:left w:val="none" w:sz="0" w:space="0" w:color="auto"/>
            <w:bottom w:val="none" w:sz="0" w:space="0" w:color="auto"/>
            <w:right w:val="none" w:sz="0" w:space="0" w:color="auto"/>
          </w:divBdr>
        </w:div>
        <w:div w:id="1360663897">
          <w:marLeft w:val="0"/>
          <w:marRight w:val="0"/>
          <w:marTop w:val="0"/>
          <w:marBottom w:val="0"/>
          <w:divBdr>
            <w:top w:val="none" w:sz="0" w:space="0" w:color="auto"/>
            <w:left w:val="none" w:sz="0" w:space="0" w:color="auto"/>
            <w:bottom w:val="none" w:sz="0" w:space="0" w:color="auto"/>
            <w:right w:val="none" w:sz="0" w:space="0" w:color="auto"/>
          </w:divBdr>
        </w:div>
        <w:div w:id="181016950">
          <w:marLeft w:val="0"/>
          <w:marRight w:val="0"/>
          <w:marTop w:val="0"/>
          <w:marBottom w:val="0"/>
          <w:divBdr>
            <w:top w:val="none" w:sz="0" w:space="0" w:color="auto"/>
            <w:left w:val="none" w:sz="0" w:space="0" w:color="auto"/>
            <w:bottom w:val="none" w:sz="0" w:space="0" w:color="auto"/>
            <w:right w:val="none" w:sz="0" w:space="0" w:color="auto"/>
          </w:divBdr>
        </w:div>
        <w:div w:id="1455174876">
          <w:marLeft w:val="0"/>
          <w:marRight w:val="0"/>
          <w:marTop w:val="0"/>
          <w:marBottom w:val="0"/>
          <w:divBdr>
            <w:top w:val="none" w:sz="0" w:space="0" w:color="auto"/>
            <w:left w:val="none" w:sz="0" w:space="0" w:color="auto"/>
            <w:bottom w:val="none" w:sz="0" w:space="0" w:color="auto"/>
            <w:right w:val="none" w:sz="0" w:space="0" w:color="auto"/>
          </w:divBdr>
        </w:div>
        <w:div w:id="2034912367">
          <w:marLeft w:val="0"/>
          <w:marRight w:val="0"/>
          <w:marTop w:val="0"/>
          <w:marBottom w:val="0"/>
          <w:divBdr>
            <w:top w:val="none" w:sz="0" w:space="0" w:color="auto"/>
            <w:left w:val="none" w:sz="0" w:space="0" w:color="auto"/>
            <w:bottom w:val="none" w:sz="0" w:space="0" w:color="auto"/>
            <w:right w:val="none" w:sz="0" w:space="0" w:color="auto"/>
          </w:divBdr>
        </w:div>
        <w:div w:id="1361393435">
          <w:marLeft w:val="0"/>
          <w:marRight w:val="0"/>
          <w:marTop w:val="0"/>
          <w:marBottom w:val="0"/>
          <w:divBdr>
            <w:top w:val="none" w:sz="0" w:space="0" w:color="auto"/>
            <w:left w:val="none" w:sz="0" w:space="0" w:color="auto"/>
            <w:bottom w:val="none" w:sz="0" w:space="0" w:color="auto"/>
            <w:right w:val="none" w:sz="0" w:space="0" w:color="auto"/>
          </w:divBdr>
        </w:div>
        <w:div w:id="363871739">
          <w:marLeft w:val="0"/>
          <w:marRight w:val="0"/>
          <w:marTop w:val="0"/>
          <w:marBottom w:val="0"/>
          <w:divBdr>
            <w:top w:val="none" w:sz="0" w:space="0" w:color="auto"/>
            <w:left w:val="none" w:sz="0" w:space="0" w:color="auto"/>
            <w:bottom w:val="none" w:sz="0" w:space="0" w:color="auto"/>
            <w:right w:val="none" w:sz="0" w:space="0" w:color="auto"/>
          </w:divBdr>
        </w:div>
        <w:div w:id="1653754006">
          <w:marLeft w:val="0"/>
          <w:marRight w:val="0"/>
          <w:marTop w:val="0"/>
          <w:marBottom w:val="0"/>
          <w:divBdr>
            <w:top w:val="none" w:sz="0" w:space="0" w:color="auto"/>
            <w:left w:val="none" w:sz="0" w:space="0" w:color="auto"/>
            <w:bottom w:val="none" w:sz="0" w:space="0" w:color="auto"/>
            <w:right w:val="none" w:sz="0" w:space="0" w:color="auto"/>
          </w:divBdr>
        </w:div>
        <w:div w:id="1386830056">
          <w:marLeft w:val="0"/>
          <w:marRight w:val="0"/>
          <w:marTop w:val="0"/>
          <w:marBottom w:val="0"/>
          <w:divBdr>
            <w:top w:val="none" w:sz="0" w:space="0" w:color="auto"/>
            <w:left w:val="none" w:sz="0" w:space="0" w:color="auto"/>
            <w:bottom w:val="none" w:sz="0" w:space="0" w:color="auto"/>
            <w:right w:val="none" w:sz="0" w:space="0" w:color="auto"/>
          </w:divBdr>
        </w:div>
        <w:div w:id="1897427694">
          <w:marLeft w:val="0"/>
          <w:marRight w:val="0"/>
          <w:marTop w:val="0"/>
          <w:marBottom w:val="0"/>
          <w:divBdr>
            <w:top w:val="none" w:sz="0" w:space="0" w:color="auto"/>
            <w:left w:val="none" w:sz="0" w:space="0" w:color="auto"/>
            <w:bottom w:val="none" w:sz="0" w:space="0" w:color="auto"/>
            <w:right w:val="none" w:sz="0" w:space="0" w:color="auto"/>
          </w:divBdr>
        </w:div>
        <w:div w:id="1065449926">
          <w:marLeft w:val="0"/>
          <w:marRight w:val="0"/>
          <w:marTop w:val="0"/>
          <w:marBottom w:val="0"/>
          <w:divBdr>
            <w:top w:val="none" w:sz="0" w:space="0" w:color="auto"/>
            <w:left w:val="none" w:sz="0" w:space="0" w:color="auto"/>
            <w:bottom w:val="none" w:sz="0" w:space="0" w:color="auto"/>
            <w:right w:val="none" w:sz="0" w:space="0" w:color="auto"/>
          </w:divBdr>
        </w:div>
        <w:div w:id="1096366915">
          <w:marLeft w:val="0"/>
          <w:marRight w:val="0"/>
          <w:marTop w:val="0"/>
          <w:marBottom w:val="0"/>
          <w:divBdr>
            <w:top w:val="none" w:sz="0" w:space="0" w:color="auto"/>
            <w:left w:val="none" w:sz="0" w:space="0" w:color="auto"/>
            <w:bottom w:val="none" w:sz="0" w:space="0" w:color="auto"/>
            <w:right w:val="none" w:sz="0" w:space="0" w:color="auto"/>
          </w:divBdr>
        </w:div>
        <w:div w:id="150144750">
          <w:marLeft w:val="0"/>
          <w:marRight w:val="0"/>
          <w:marTop w:val="0"/>
          <w:marBottom w:val="0"/>
          <w:divBdr>
            <w:top w:val="none" w:sz="0" w:space="0" w:color="auto"/>
            <w:left w:val="none" w:sz="0" w:space="0" w:color="auto"/>
            <w:bottom w:val="none" w:sz="0" w:space="0" w:color="auto"/>
            <w:right w:val="none" w:sz="0" w:space="0" w:color="auto"/>
          </w:divBdr>
        </w:div>
        <w:div w:id="1954825748">
          <w:marLeft w:val="0"/>
          <w:marRight w:val="0"/>
          <w:marTop w:val="0"/>
          <w:marBottom w:val="0"/>
          <w:divBdr>
            <w:top w:val="none" w:sz="0" w:space="0" w:color="auto"/>
            <w:left w:val="none" w:sz="0" w:space="0" w:color="auto"/>
            <w:bottom w:val="none" w:sz="0" w:space="0" w:color="auto"/>
            <w:right w:val="none" w:sz="0" w:space="0" w:color="auto"/>
          </w:divBdr>
        </w:div>
        <w:div w:id="184102402">
          <w:marLeft w:val="0"/>
          <w:marRight w:val="0"/>
          <w:marTop w:val="0"/>
          <w:marBottom w:val="0"/>
          <w:divBdr>
            <w:top w:val="none" w:sz="0" w:space="0" w:color="auto"/>
            <w:left w:val="none" w:sz="0" w:space="0" w:color="auto"/>
            <w:bottom w:val="none" w:sz="0" w:space="0" w:color="auto"/>
            <w:right w:val="none" w:sz="0" w:space="0" w:color="auto"/>
          </w:divBdr>
        </w:div>
        <w:div w:id="482739773">
          <w:marLeft w:val="0"/>
          <w:marRight w:val="0"/>
          <w:marTop w:val="0"/>
          <w:marBottom w:val="0"/>
          <w:divBdr>
            <w:top w:val="none" w:sz="0" w:space="0" w:color="auto"/>
            <w:left w:val="none" w:sz="0" w:space="0" w:color="auto"/>
            <w:bottom w:val="none" w:sz="0" w:space="0" w:color="auto"/>
            <w:right w:val="none" w:sz="0" w:space="0" w:color="auto"/>
          </w:divBdr>
        </w:div>
        <w:div w:id="533884176">
          <w:marLeft w:val="0"/>
          <w:marRight w:val="0"/>
          <w:marTop w:val="0"/>
          <w:marBottom w:val="0"/>
          <w:divBdr>
            <w:top w:val="none" w:sz="0" w:space="0" w:color="auto"/>
            <w:left w:val="none" w:sz="0" w:space="0" w:color="auto"/>
            <w:bottom w:val="none" w:sz="0" w:space="0" w:color="auto"/>
            <w:right w:val="none" w:sz="0" w:space="0" w:color="auto"/>
          </w:divBdr>
          <w:divsChild>
            <w:div w:id="1560166402">
              <w:marLeft w:val="0"/>
              <w:marRight w:val="0"/>
              <w:marTop w:val="0"/>
              <w:marBottom w:val="0"/>
              <w:divBdr>
                <w:top w:val="none" w:sz="0" w:space="0" w:color="auto"/>
                <w:left w:val="none" w:sz="0" w:space="0" w:color="auto"/>
                <w:bottom w:val="none" w:sz="0" w:space="0" w:color="auto"/>
                <w:right w:val="none" w:sz="0" w:space="0" w:color="auto"/>
              </w:divBdr>
            </w:div>
            <w:div w:id="741369627">
              <w:marLeft w:val="0"/>
              <w:marRight w:val="0"/>
              <w:marTop w:val="0"/>
              <w:marBottom w:val="0"/>
              <w:divBdr>
                <w:top w:val="none" w:sz="0" w:space="0" w:color="auto"/>
                <w:left w:val="none" w:sz="0" w:space="0" w:color="auto"/>
                <w:bottom w:val="none" w:sz="0" w:space="0" w:color="auto"/>
                <w:right w:val="none" w:sz="0" w:space="0" w:color="auto"/>
              </w:divBdr>
            </w:div>
            <w:div w:id="516239133">
              <w:marLeft w:val="0"/>
              <w:marRight w:val="0"/>
              <w:marTop w:val="0"/>
              <w:marBottom w:val="0"/>
              <w:divBdr>
                <w:top w:val="none" w:sz="0" w:space="0" w:color="auto"/>
                <w:left w:val="none" w:sz="0" w:space="0" w:color="auto"/>
                <w:bottom w:val="none" w:sz="0" w:space="0" w:color="auto"/>
                <w:right w:val="none" w:sz="0" w:space="0" w:color="auto"/>
              </w:divBdr>
            </w:div>
            <w:div w:id="30960618">
              <w:marLeft w:val="0"/>
              <w:marRight w:val="0"/>
              <w:marTop w:val="0"/>
              <w:marBottom w:val="0"/>
              <w:divBdr>
                <w:top w:val="none" w:sz="0" w:space="0" w:color="auto"/>
                <w:left w:val="none" w:sz="0" w:space="0" w:color="auto"/>
                <w:bottom w:val="none" w:sz="0" w:space="0" w:color="auto"/>
                <w:right w:val="none" w:sz="0" w:space="0" w:color="auto"/>
              </w:divBdr>
            </w:div>
            <w:div w:id="351957818">
              <w:marLeft w:val="0"/>
              <w:marRight w:val="0"/>
              <w:marTop w:val="0"/>
              <w:marBottom w:val="0"/>
              <w:divBdr>
                <w:top w:val="none" w:sz="0" w:space="0" w:color="auto"/>
                <w:left w:val="none" w:sz="0" w:space="0" w:color="auto"/>
                <w:bottom w:val="none" w:sz="0" w:space="0" w:color="auto"/>
                <w:right w:val="none" w:sz="0" w:space="0" w:color="auto"/>
              </w:divBdr>
            </w:div>
            <w:div w:id="372196738">
              <w:marLeft w:val="0"/>
              <w:marRight w:val="0"/>
              <w:marTop w:val="0"/>
              <w:marBottom w:val="0"/>
              <w:divBdr>
                <w:top w:val="none" w:sz="0" w:space="0" w:color="auto"/>
                <w:left w:val="none" w:sz="0" w:space="0" w:color="auto"/>
                <w:bottom w:val="none" w:sz="0" w:space="0" w:color="auto"/>
                <w:right w:val="none" w:sz="0" w:space="0" w:color="auto"/>
              </w:divBdr>
            </w:div>
          </w:divsChild>
        </w:div>
        <w:div w:id="524370492">
          <w:marLeft w:val="0"/>
          <w:marRight w:val="0"/>
          <w:marTop w:val="0"/>
          <w:marBottom w:val="0"/>
          <w:divBdr>
            <w:top w:val="none" w:sz="0" w:space="0" w:color="auto"/>
            <w:left w:val="none" w:sz="0" w:space="0" w:color="auto"/>
            <w:bottom w:val="none" w:sz="0" w:space="0" w:color="auto"/>
            <w:right w:val="none" w:sz="0" w:space="0" w:color="auto"/>
          </w:divBdr>
        </w:div>
        <w:div w:id="560098633">
          <w:marLeft w:val="0"/>
          <w:marRight w:val="0"/>
          <w:marTop w:val="0"/>
          <w:marBottom w:val="0"/>
          <w:divBdr>
            <w:top w:val="none" w:sz="0" w:space="0" w:color="auto"/>
            <w:left w:val="none" w:sz="0" w:space="0" w:color="auto"/>
            <w:bottom w:val="none" w:sz="0" w:space="0" w:color="auto"/>
            <w:right w:val="none" w:sz="0" w:space="0" w:color="auto"/>
          </w:divBdr>
        </w:div>
        <w:div w:id="1010059123">
          <w:marLeft w:val="0"/>
          <w:marRight w:val="0"/>
          <w:marTop w:val="0"/>
          <w:marBottom w:val="0"/>
          <w:divBdr>
            <w:top w:val="none" w:sz="0" w:space="0" w:color="auto"/>
            <w:left w:val="none" w:sz="0" w:space="0" w:color="auto"/>
            <w:bottom w:val="none" w:sz="0" w:space="0" w:color="auto"/>
            <w:right w:val="none" w:sz="0" w:space="0" w:color="auto"/>
          </w:divBdr>
        </w:div>
        <w:div w:id="727458874">
          <w:marLeft w:val="0"/>
          <w:marRight w:val="0"/>
          <w:marTop w:val="0"/>
          <w:marBottom w:val="0"/>
          <w:divBdr>
            <w:top w:val="none" w:sz="0" w:space="0" w:color="auto"/>
            <w:left w:val="none" w:sz="0" w:space="0" w:color="auto"/>
            <w:bottom w:val="none" w:sz="0" w:space="0" w:color="auto"/>
            <w:right w:val="none" w:sz="0" w:space="0" w:color="auto"/>
          </w:divBdr>
        </w:div>
        <w:div w:id="1185095196">
          <w:marLeft w:val="0"/>
          <w:marRight w:val="0"/>
          <w:marTop w:val="0"/>
          <w:marBottom w:val="0"/>
          <w:divBdr>
            <w:top w:val="none" w:sz="0" w:space="0" w:color="auto"/>
            <w:left w:val="none" w:sz="0" w:space="0" w:color="auto"/>
            <w:bottom w:val="none" w:sz="0" w:space="0" w:color="auto"/>
            <w:right w:val="none" w:sz="0" w:space="0" w:color="auto"/>
          </w:divBdr>
        </w:div>
        <w:div w:id="594673967">
          <w:marLeft w:val="0"/>
          <w:marRight w:val="0"/>
          <w:marTop w:val="0"/>
          <w:marBottom w:val="0"/>
          <w:divBdr>
            <w:top w:val="none" w:sz="0" w:space="0" w:color="auto"/>
            <w:left w:val="none" w:sz="0" w:space="0" w:color="auto"/>
            <w:bottom w:val="none" w:sz="0" w:space="0" w:color="auto"/>
            <w:right w:val="none" w:sz="0" w:space="0" w:color="auto"/>
          </w:divBdr>
        </w:div>
        <w:div w:id="2119980439">
          <w:marLeft w:val="0"/>
          <w:marRight w:val="0"/>
          <w:marTop w:val="0"/>
          <w:marBottom w:val="0"/>
          <w:divBdr>
            <w:top w:val="none" w:sz="0" w:space="0" w:color="auto"/>
            <w:left w:val="none" w:sz="0" w:space="0" w:color="auto"/>
            <w:bottom w:val="none" w:sz="0" w:space="0" w:color="auto"/>
            <w:right w:val="none" w:sz="0" w:space="0" w:color="auto"/>
          </w:divBdr>
        </w:div>
        <w:div w:id="653723254">
          <w:marLeft w:val="0"/>
          <w:marRight w:val="0"/>
          <w:marTop w:val="0"/>
          <w:marBottom w:val="0"/>
          <w:divBdr>
            <w:top w:val="none" w:sz="0" w:space="0" w:color="auto"/>
            <w:left w:val="none" w:sz="0" w:space="0" w:color="auto"/>
            <w:bottom w:val="none" w:sz="0" w:space="0" w:color="auto"/>
            <w:right w:val="none" w:sz="0" w:space="0" w:color="auto"/>
          </w:divBdr>
        </w:div>
        <w:div w:id="1541818901">
          <w:marLeft w:val="0"/>
          <w:marRight w:val="0"/>
          <w:marTop w:val="0"/>
          <w:marBottom w:val="0"/>
          <w:divBdr>
            <w:top w:val="none" w:sz="0" w:space="0" w:color="auto"/>
            <w:left w:val="none" w:sz="0" w:space="0" w:color="auto"/>
            <w:bottom w:val="none" w:sz="0" w:space="0" w:color="auto"/>
            <w:right w:val="none" w:sz="0" w:space="0" w:color="auto"/>
          </w:divBdr>
        </w:div>
        <w:div w:id="811021731">
          <w:marLeft w:val="0"/>
          <w:marRight w:val="0"/>
          <w:marTop w:val="0"/>
          <w:marBottom w:val="0"/>
          <w:divBdr>
            <w:top w:val="none" w:sz="0" w:space="0" w:color="auto"/>
            <w:left w:val="none" w:sz="0" w:space="0" w:color="auto"/>
            <w:bottom w:val="none" w:sz="0" w:space="0" w:color="auto"/>
            <w:right w:val="none" w:sz="0" w:space="0" w:color="auto"/>
          </w:divBdr>
        </w:div>
        <w:div w:id="1276405638">
          <w:marLeft w:val="0"/>
          <w:marRight w:val="0"/>
          <w:marTop w:val="0"/>
          <w:marBottom w:val="0"/>
          <w:divBdr>
            <w:top w:val="none" w:sz="0" w:space="0" w:color="auto"/>
            <w:left w:val="none" w:sz="0" w:space="0" w:color="auto"/>
            <w:bottom w:val="none" w:sz="0" w:space="0" w:color="auto"/>
            <w:right w:val="none" w:sz="0" w:space="0" w:color="auto"/>
          </w:divBdr>
        </w:div>
        <w:div w:id="565803501">
          <w:marLeft w:val="0"/>
          <w:marRight w:val="0"/>
          <w:marTop w:val="0"/>
          <w:marBottom w:val="0"/>
          <w:divBdr>
            <w:top w:val="none" w:sz="0" w:space="0" w:color="auto"/>
            <w:left w:val="none" w:sz="0" w:space="0" w:color="auto"/>
            <w:bottom w:val="none" w:sz="0" w:space="0" w:color="auto"/>
            <w:right w:val="none" w:sz="0" w:space="0" w:color="auto"/>
          </w:divBdr>
        </w:div>
        <w:div w:id="660743924">
          <w:marLeft w:val="0"/>
          <w:marRight w:val="0"/>
          <w:marTop w:val="0"/>
          <w:marBottom w:val="0"/>
          <w:divBdr>
            <w:top w:val="none" w:sz="0" w:space="0" w:color="auto"/>
            <w:left w:val="none" w:sz="0" w:space="0" w:color="auto"/>
            <w:bottom w:val="none" w:sz="0" w:space="0" w:color="auto"/>
            <w:right w:val="none" w:sz="0" w:space="0" w:color="auto"/>
          </w:divBdr>
        </w:div>
        <w:div w:id="1780443567">
          <w:marLeft w:val="0"/>
          <w:marRight w:val="0"/>
          <w:marTop w:val="0"/>
          <w:marBottom w:val="0"/>
          <w:divBdr>
            <w:top w:val="none" w:sz="0" w:space="0" w:color="auto"/>
            <w:left w:val="none" w:sz="0" w:space="0" w:color="auto"/>
            <w:bottom w:val="none" w:sz="0" w:space="0" w:color="auto"/>
            <w:right w:val="none" w:sz="0" w:space="0" w:color="auto"/>
          </w:divBdr>
        </w:div>
        <w:div w:id="397476904">
          <w:marLeft w:val="0"/>
          <w:marRight w:val="0"/>
          <w:marTop w:val="0"/>
          <w:marBottom w:val="0"/>
          <w:divBdr>
            <w:top w:val="none" w:sz="0" w:space="0" w:color="auto"/>
            <w:left w:val="none" w:sz="0" w:space="0" w:color="auto"/>
            <w:bottom w:val="none" w:sz="0" w:space="0" w:color="auto"/>
            <w:right w:val="none" w:sz="0" w:space="0" w:color="auto"/>
          </w:divBdr>
        </w:div>
        <w:div w:id="1828787580">
          <w:marLeft w:val="0"/>
          <w:marRight w:val="0"/>
          <w:marTop w:val="0"/>
          <w:marBottom w:val="0"/>
          <w:divBdr>
            <w:top w:val="none" w:sz="0" w:space="0" w:color="auto"/>
            <w:left w:val="none" w:sz="0" w:space="0" w:color="auto"/>
            <w:bottom w:val="none" w:sz="0" w:space="0" w:color="auto"/>
            <w:right w:val="none" w:sz="0" w:space="0" w:color="auto"/>
          </w:divBdr>
        </w:div>
        <w:div w:id="962346277">
          <w:marLeft w:val="0"/>
          <w:marRight w:val="0"/>
          <w:marTop w:val="0"/>
          <w:marBottom w:val="0"/>
          <w:divBdr>
            <w:top w:val="none" w:sz="0" w:space="0" w:color="auto"/>
            <w:left w:val="none" w:sz="0" w:space="0" w:color="auto"/>
            <w:bottom w:val="none" w:sz="0" w:space="0" w:color="auto"/>
            <w:right w:val="none" w:sz="0" w:space="0" w:color="auto"/>
          </w:divBdr>
        </w:div>
        <w:div w:id="1418213611">
          <w:marLeft w:val="0"/>
          <w:marRight w:val="0"/>
          <w:marTop w:val="0"/>
          <w:marBottom w:val="0"/>
          <w:divBdr>
            <w:top w:val="none" w:sz="0" w:space="0" w:color="auto"/>
            <w:left w:val="none" w:sz="0" w:space="0" w:color="auto"/>
            <w:bottom w:val="none" w:sz="0" w:space="0" w:color="auto"/>
            <w:right w:val="none" w:sz="0" w:space="0" w:color="auto"/>
          </w:divBdr>
        </w:div>
        <w:div w:id="414860726">
          <w:marLeft w:val="0"/>
          <w:marRight w:val="0"/>
          <w:marTop w:val="0"/>
          <w:marBottom w:val="0"/>
          <w:divBdr>
            <w:top w:val="none" w:sz="0" w:space="0" w:color="auto"/>
            <w:left w:val="none" w:sz="0" w:space="0" w:color="auto"/>
            <w:bottom w:val="none" w:sz="0" w:space="0" w:color="auto"/>
            <w:right w:val="none" w:sz="0" w:space="0" w:color="auto"/>
          </w:divBdr>
        </w:div>
        <w:div w:id="2084449990">
          <w:marLeft w:val="0"/>
          <w:marRight w:val="0"/>
          <w:marTop w:val="0"/>
          <w:marBottom w:val="0"/>
          <w:divBdr>
            <w:top w:val="none" w:sz="0" w:space="0" w:color="auto"/>
            <w:left w:val="none" w:sz="0" w:space="0" w:color="auto"/>
            <w:bottom w:val="none" w:sz="0" w:space="0" w:color="auto"/>
            <w:right w:val="none" w:sz="0" w:space="0" w:color="auto"/>
          </w:divBdr>
        </w:div>
        <w:div w:id="2108039019">
          <w:marLeft w:val="0"/>
          <w:marRight w:val="0"/>
          <w:marTop w:val="0"/>
          <w:marBottom w:val="0"/>
          <w:divBdr>
            <w:top w:val="none" w:sz="0" w:space="0" w:color="auto"/>
            <w:left w:val="none" w:sz="0" w:space="0" w:color="auto"/>
            <w:bottom w:val="none" w:sz="0" w:space="0" w:color="auto"/>
            <w:right w:val="none" w:sz="0" w:space="0" w:color="auto"/>
          </w:divBdr>
        </w:div>
        <w:div w:id="1604653611">
          <w:marLeft w:val="0"/>
          <w:marRight w:val="0"/>
          <w:marTop w:val="0"/>
          <w:marBottom w:val="0"/>
          <w:divBdr>
            <w:top w:val="none" w:sz="0" w:space="0" w:color="auto"/>
            <w:left w:val="none" w:sz="0" w:space="0" w:color="auto"/>
            <w:bottom w:val="none" w:sz="0" w:space="0" w:color="auto"/>
            <w:right w:val="none" w:sz="0" w:space="0" w:color="auto"/>
          </w:divBdr>
        </w:div>
        <w:div w:id="396319476">
          <w:marLeft w:val="0"/>
          <w:marRight w:val="0"/>
          <w:marTop w:val="0"/>
          <w:marBottom w:val="0"/>
          <w:divBdr>
            <w:top w:val="none" w:sz="0" w:space="0" w:color="auto"/>
            <w:left w:val="none" w:sz="0" w:space="0" w:color="auto"/>
            <w:bottom w:val="none" w:sz="0" w:space="0" w:color="auto"/>
            <w:right w:val="none" w:sz="0" w:space="0" w:color="auto"/>
          </w:divBdr>
        </w:div>
        <w:div w:id="2006087325">
          <w:marLeft w:val="0"/>
          <w:marRight w:val="0"/>
          <w:marTop w:val="0"/>
          <w:marBottom w:val="0"/>
          <w:divBdr>
            <w:top w:val="none" w:sz="0" w:space="0" w:color="auto"/>
            <w:left w:val="none" w:sz="0" w:space="0" w:color="auto"/>
            <w:bottom w:val="none" w:sz="0" w:space="0" w:color="auto"/>
            <w:right w:val="none" w:sz="0" w:space="0" w:color="auto"/>
          </w:divBdr>
        </w:div>
        <w:div w:id="24596183">
          <w:marLeft w:val="0"/>
          <w:marRight w:val="0"/>
          <w:marTop w:val="0"/>
          <w:marBottom w:val="0"/>
          <w:divBdr>
            <w:top w:val="none" w:sz="0" w:space="0" w:color="auto"/>
            <w:left w:val="none" w:sz="0" w:space="0" w:color="auto"/>
            <w:bottom w:val="none" w:sz="0" w:space="0" w:color="auto"/>
            <w:right w:val="none" w:sz="0" w:space="0" w:color="auto"/>
          </w:divBdr>
        </w:div>
        <w:div w:id="540359034">
          <w:marLeft w:val="0"/>
          <w:marRight w:val="0"/>
          <w:marTop w:val="0"/>
          <w:marBottom w:val="0"/>
          <w:divBdr>
            <w:top w:val="none" w:sz="0" w:space="0" w:color="auto"/>
            <w:left w:val="none" w:sz="0" w:space="0" w:color="auto"/>
            <w:bottom w:val="none" w:sz="0" w:space="0" w:color="auto"/>
            <w:right w:val="none" w:sz="0" w:space="0" w:color="auto"/>
          </w:divBdr>
        </w:div>
        <w:div w:id="373694738">
          <w:marLeft w:val="0"/>
          <w:marRight w:val="0"/>
          <w:marTop w:val="0"/>
          <w:marBottom w:val="0"/>
          <w:divBdr>
            <w:top w:val="none" w:sz="0" w:space="0" w:color="auto"/>
            <w:left w:val="none" w:sz="0" w:space="0" w:color="auto"/>
            <w:bottom w:val="none" w:sz="0" w:space="0" w:color="auto"/>
            <w:right w:val="none" w:sz="0" w:space="0" w:color="auto"/>
          </w:divBdr>
        </w:div>
        <w:div w:id="1087849274">
          <w:marLeft w:val="0"/>
          <w:marRight w:val="0"/>
          <w:marTop w:val="0"/>
          <w:marBottom w:val="0"/>
          <w:divBdr>
            <w:top w:val="none" w:sz="0" w:space="0" w:color="auto"/>
            <w:left w:val="none" w:sz="0" w:space="0" w:color="auto"/>
            <w:bottom w:val="none" w:sz="0" w:space="0" w:color="auto"/>
            <w:right w:val="none" w:sz="0" w:space="0" w:color="auto"/>
          </w:divBdr>
        </w:div>
        <w:div w:id="611398747">
          <w:marLeft w:val="0"/>
          <w:marRight w:val="0"/>
          <w:marTop w:val="0"/>
          <w:marBottom w:val="0"/>
          <w:divBdr>
            <w:top w:val="none" w:sz="0" w:space="0" w:color="auto"/>
            <w:left w:val="none" w:sz="0" w:space="0" w:color="auto"/>
            <w:bottom w:val="none" w:sz="0" w:space="0" w:color="auto"/>
            <w:right w:val="none" w:sz="0" w:space="0" w:color="auto"/>
          </w:divBdr>
        </w:div>
        <w:div w:id="234553474">
          <w:marLeft w:val="0"/>
          <w:marRight w:val="0"/>
          <w:marTop w:val="0"/>
          <w:marBottom w:val="0"/>
          <w:divBdr>
            <w:top w:val="none" w:sz="0" w:space="0" w:color="auto"/>
            <w:left w:val="none" w:sz="0" w:space="0" w:color="auto"/>
            <w:bottom w:val="none" w:sz="0" w:space="0" w:color="auto"/>
            <w:right w:val="none" w:sz="0" w:space="0" w:color="auto"/>
          </w:divBdr>
        </w:div>
        <w:div w:id="360592908">
          <w:marLeft w:val="0"/>
          <w:marRight w:val="0"/>
          <w:marTop w:val="0"/>
          <w:marBottom w:val="0"/>
          <w:divBdr>
            <w:top w:val="none" w:sz="0" w:space="0" w:color="auto"/>
            <w:left w:val="none" w:sz="0" w:space="0" w:color="auto"/>
            <w:bottom w:val="none" w:sz="0" w:space="0" w:color="auto"/>
            <w:right w:val="none" w:sz="0" w:space="0" w:color="auto"/>
          </w:divBdr>
        </w:div>
        <w:div w:id="218251068">
          <w:marLeft w:val="0"/>
          <w:marRight w:val="0"/>
          <w:marTop w:val="0"/>
          <w:marBottom w:val="0"/>
          <w:divBdr>
            <w:top w:val="none" w:sz="0" w:space="0" w:color="auto"/>
            <w:left w:val="none" w:sz="0" w:space="0" w:color="auto"/>
            <w:bottom w:val="none" w:sz="0" w:space="0" w:color="auto"/>
            <w:right w:val="none" w:sz="0" w:space="0" w:color="auto"/>
          </w:divBdr>
        </w:div>
        <w:div w:id="2074084337">
          <w:marLeft w:val="0"/>
          <w:marRight w:val="0"/>
          <w:marTop w:val="0"/>
          <w:marBottom w:val="0"/>
          <w:divBdr>
            <w:top w:val="none" w:sz="0" w:space="0" w:color="auto"/>
            <w:left w:val="none" w:sz="0" w:space="0" w:color="auto"/>
            <w:bottom w:val="none" w:sz="0" w:space="0" w:color="auto"/>
            <w:right w:val="none" w:sz="0" w:space="0" w:color="auto"/>
          </w:divBdr>
        </w:div>
        <w:div w:id="1255477477">
          <w:marLeft w:val="0"/>
          <w:marRight w:val="0"/>
          <w:marTop w:val="0"/>
          <w:marBottom w:val="0"/>
          <w:divBdr>
            <w:top w:val="none" w:sz="0" w:space="0" w:color="auto"/>
            <w:left w:val="none" w:sz="0" w:space="0" w:color="auto"/>
            <w:bottom w:val="none" w:sz="0" w:space="0" w:color="auto"/>
            <w:right w:val="none" w:sz="0" w:space="0" w:color="auto"/>
          </w:divBdr>
        </w:div>
        <w:div w:id="838615845">
          <w:marLeft w:val="0"/>
          <w:marRight w:val="0"/>
          <w:marTop w:val="0"/>
          <w:marBottom w:val="0"/>
          <w:divBdr>
            <w:top w:val="none" w:sz="0" w:space="0" w:color="auto"/>
            <w:left w:val="none" w:sz="0" w:space="0" w:color="auto"/>
            <w:bottom w:val="none" w:sz="0" w:space="0" w:color="auto"/>
            <w:right w:val="none" w:sz="0" w:space="0" w:color="auto"/>
          </w:divBdr>
        </w:div>
        <w:div w:id="129832090">
          <w:marLeft w:val="0"/>
          <w:marRight w:val="0"/>
          <w:marTop w:val="0"/>
          <w:marBottom w:val="0"/>
          <w:divBdr>
            <w:top w:val="none" w:sz="0" w:space="0" w:color="auto"/>
            <w:left w:val="none" w:sz="0" w:space="0" w:color="auto"/>
            <w:bottom w:val="none" w:sz="0" w:space="0" w:color="auto"/>
            <w:right w:val="none" w:sz="0" w:space="0" w:color="auto"/>
          </w:divBdr>
        </w:div>
        <w:div w:id="1975792908">
          <w:marLeft w:val="0"/>
          <w:marRight w:val="0"/>
          <w:marTop w:val="0"/>
          <w:marBottom w:val="0"/>
          <w:divBdr>
            <w:top w:val="none" w:sz="0" w:space="0" w:color="auto"/>
            <w:left w:val="none" w:sz="0" w:space="0" w:color="auto"/>
            <w:bottom w:val="none" w:sz="0" w:space="0" w:color="auto"/>
            <w:right w:val="none" w:sz="0" w:space="0" w:color="auto"/>
          </w:divBdr>
        </w:div>
        <w:div w:id="698551598">
          <w:marLeft w:val="0"/>
          <w:marRight w:val="0"/>
          <w:marTop w:val="0"/>
          <w:marBottom w:val="0"/>
          <w:divBdr>
            <w:top w:val="none" w:sz="0" w:space="0" w:color="auto"/>
            <w:left w:val="none" w:sz="0" w:space="0" w:color="auto"/>
            <w:bottom w:val="none" w:sz="0" w:space="0" w:color="auto"/>
            <w:right w:val="none" w:sz="0" w:space="0" w:color="auto"/>
          </w:divBdr>
        </w:div>
        <w:div w:id="768547280">
          <w:marLeft w:val="0"/>
          <w:marRight w:val="0"/>
          <w:marTop w:val="0"/>
          <w:marBottom w:val="0"/>
          <w:divBdr>
            <w:top w:val="none" w:sz="0" w:space="0" w:color="auto"/>
            <w:left w:val="none" w:sz="0" w:space="0" w:color="auto"/>
            <w:bottom w:val="none" w:sz="0" w:space="0" w:color="auto"/>
            <w:right w:val="none" w:sz="0" w:space="0" w:color="auto"/>
          </w:divBdr>
        </w:div>
        <w:div w:id="1594050636">
          <w:marLeft w:val="0"/>
          <w:marRight w:val="0"/>
          <w:marTop w:val="0"/>
          <w:marBottom w:val="0"/>
          <w:divBdr>
            <w:top w:val="none" w:sz="0" w:space="0" w:color="auto"/>
            <w:left w:val="none" w:sz="0" w:space="0" w:color="auto"/>
            <w:bottom w:val="none" w:sz="0" w:space="0" w:color="auto"/>
            <w:right w:val="none" w:sz="0" w:space="0" w:color="auto"/>
          </w:divBdr>
        </w:div>
        <w:div w:id="980235344">
          <w:marLeft w:val="0"/>
          <w:marRight w:val="0"/>
          <w:marTop w:val="0"/>
          <w:marBottom w:val="0"/>
          <w:divBdr>
            <w:top w:val="none" w:sz="0" w:space="0" w:color="auto"/>
            <w:left w:val="none" w:sz="0" w:space="0" w:color="auto"/>
            <w:bottom w:val="none" w:sz="0" w:space="0" w:color="auto"/>
            <w:right w:val="none" w:sz="0" w:space="0" w:color="auto"/>
          </w:divBdr>
        </w:div>
        <w:div w:id="1819763072">
          <w:marLeft w:val="0"/>
          <w:marRight w:val="0"/>
          <w:marTop w:val="0"/>
          <w:marBottom w:val="0"/>
          <w:divBdr>
            <w:top w:val="none" w:sz="0" w:space="0" w:color="auto"/>
            <w:left w:val="none" w:sz="0" w:space="0" w:color="auto"/>
            <w:bottom w:val="none" w:sz="0" w:space="0" w:color="auto"/>
            <w:right w:val="none" w:sz="0" w:space="0" w:color="auto"/>
          </w:divBdr>
        </w:div>
        <w:div w:id="145784103">
          <w:marLeft w:val="0"/>
          <w:marRight w:val="0"/>
          <w:marTop w:val="0"/>
          <w:marBottom w:val="0"/>
          <w:divBdr>
            <w:top w:val="none" w:sz="0" w:space="0" w:color="auto"/>
            <w:left w:val="none" w:sz="0" w:space="0" w:color="auto"/>
            <w:bottom w:val="none" w:sz="0" w:space="0" w:color="auto"/>
            <w:right w:val="none" w:sz="0" w:space="0" w:color="auto"/>
          </w:divBdr>
        </w:div>
        <w:div w:id="1750687437">
          <w:marLeft w:val="0"/>
          <w:marRight w:val="0"/>
          <w:marTop w:val="0"/>
          <w:marBottom w:val="0"/>
          <w:divBdr>
            <w:top w:val="none" w:sz="0" w:space="0" w:color="auto"/>
            <w:left w:val="none" w:sz="0" w:space="0" w:color="auto"/>
            <w:bottom w:val="none" w:sz="0" w:space="0" w:color="auto"/>
            <w:right w:val="none" w:sz="0" w:space="0" w:color="auto"/>
          </w:divBdr>
        </w:div>
        <w:div w:id="190074224">
          <w:marLeft w:val="0"/>
          <w:marRight w:val="0"/>
          <w:marTop w:val="0"/>
          <w:marBottom w:val="0"/>
          <w:divBdr>
            <w:top w:val="none" w:sz="0" w:space="0" w:color="auto"/>
            <w:left w:val="none" w:sz="0" w:space="0" w:color="auto"/>
            <w:bottom w:val="none" w:sz="0" w:space="0" w:color="auto"/>
            <w:right w:val="none" w:sz="0" w:space="0" w:color="auto"/>
          </w:divBdr>
        </w:div>
        <w:div w:id="1621648807">
          <w:marLeft w:val="0"/>
          <w:marRight w:val="0"/>
          <w:marTop w:val="0"/>
          <w:marBottom w:val="0"/>
          <w:divBdr>
            <w:top w:val="none" w:sz="0" w:space="0" w:color="auto"/>
            <w:left w:val="none" w:sz="0" w:space="0" w:color="auto"/>
            <w:bottom w:val="none" w:sz="0" w:space="0" w:color="auto"/>
            <w:right w:val="none" w:sz="0" w:space="0" w:color="auto"/>
          </w:divBdr>
        </w:div>
        <w:div w:id="1577209761">
          <w:marLeft w:val="0"/>
          <w:marRight w:val="0"/>
          <w:marTop w:val="0"/>
          <w:marBottom w:val="0"/>
          <w:divBdr>
            <w:top w:val="none" w:sz="0" w:space="0" w:color="auto"/>
            <w:left w:val="none" w:sz="0" w:space="0" w:color="auto"/>
            <w:bottom w:val="none" w:sz="0" w:space="0" w:color="auto"/>
            <w:right w:val="none" w:sz="0" w:space="0" w:color="auto"/>
          </w:divBdr>
        </w:div>
        <w:div w:id="1789277520">
          <w:marLeft w:val="0"/>
          <w:marRight w:val="0"/>
          <w:marTop w:val="0"/>
          <w:marBottom w:val="0"/>
          <w:divBdr>
            <w:top w:val="none" w:sz="0" w:space="0" w:color="auto"/>
            <w:left w:val="none" w:sz="0" w:space="0" w:color="auto"/>
            <w:bottom w:val="none" w:sz="0" w:space="0" w:color="auto"/>
            <w:right w:val="none" w:sz="0" w:space="0" w:color="auto"/>
          </w:divBdr>
        </w:div>
        <w:div w:id="1695574320">
          <w:marLeft w:val="0"/>
          <w:marRight w:val="0"/>
          <w:marTop w:val="0"/>
          <w:marBottom w:val="0"/>
          <w:divBdr>
            <w:top w:val="none" w:sz="0" w:space="0" w:color="auto"/>
            <w:left w:val="none" w:sz="0" w:space="0" w:color="auto"/>
            <w:bottom w:val="none" w:sz="0" w:space="0" w:color="auto"/>
            <w:right w:val="none" w:sz="0" w:space="0" w:color="auto"/>
          </w:divBdr>
        </w:div>
        <w:div w:id="2019261876">
          <w:marLeft w:val="0"/>
          <w:marRight w:val="0"/>
          <w:marTop w:val="0"/>
          <w:marBottom w:val="0"/>
          <w:divBdr>
            <w:top w:val="none" w:sz="0" w:space="0" w:color="auto"/>
            <w:left w:val="none" w:sz="0" w:space="0" w:color="auto"/>
            <w:bottom w:val="none" w:sz="0" w:space="0" w:color="auto"/>
            <w:right w:val="none" w:sz="0" w:space="0" w:color="auto"/>
          </w:divBdr>
        </w:div>
        <w:div w:id="57942962">
          <w:marLeft w:val="0"/>
          <w:marRight w:val="0"/>
          <w:marTop w:val="0"/>
          <w:marBottom w:val="0"/>
          <w:divBdr>
            <w:top w:val="none" w:sz="0" w:space="0" w:color="auto"/>
            <w:left w:val="none" w:sz="0" w:space="0" w:color="auto"/>
            <w:bottom w:val="none" w:sz="0" w:space="0" w:color="auto"/>
            <w:right w:val="none" w:sz="0" w:space="0" w:color="auto"/>
          </w:divBdr>
        </w:div>
        <w:div w:id="2035031821">
          <w:marLeft w:val="0"/>
          <w:marRight w:val="0"/>
          <w:marTop w:val="0"/>
          <w:marBottom w:val="0"/>
          <w:divBdr>
            <w:top w:val="none" w:sz="0" w:space="0" w:color="auto"/>
            <w:left w:val="none" w:sz="0" w:space="0" w:color="auto"/>
            <w:bottom w:val="none" w:sz="0" w:space="0" w:color="auto"/>
            <w:right w:val="none" w:sz="0" w:space="0" w:color="auto"/>
          </w:divBdr>
        </w:div>
        <w:div w:id="1349479169">
          <w:marLeft w:val="0"/>
          <w:marRight w:val="0"/>
          <w:marTop w:val="0"/>
          <w:marBottom w:val="0"/>
          <w:divBdr>
            <w:top w:val="none" w:sz="0" w:space="0" w:color="auto"/>
            <w:left w:val="none" w:sz="0" w:space="0" w:color="auto"/>
            <w:bottom w:val="none" w:sz="0" w:space="0" w:color="auto"/>
            <w:right w:val="none" w:sz="0" w:space="0" w:color="auto"/>
          </w:divBdr>
        </w:div>
        <w:div w:id="827864774">
          <w:marLeft w:val="0"/>
          <w:marRight w:val="0"/>
          <w:marTop w:val="0"/>
          <w:marBottom w:val="0"/>
          <w:divBdr>
            <w:top w:val="none" w:sz="0" w:space="0" w:color="auto"/>
            <w:left w:val="none" w:sz="0" w:space="0" w:color="auto"/>
            <w:bottom w:val="none" w:sz="0" w:space="0" w:color="auto"/>
            <w:right w:val="none" w:sz="0" w:space="0" w:color="auto"/>
          </w:divBdr>
        </w:div>
        <w:div w:id="1382555338">
          <w:marLeft w:val="0"/>
          <w:marRight w:val="0"/>
          <w:marTop w:val="0"/>
          <w:marBottom w:val="0"/>
          <w:divBdr>
            <w:top w:val="none" w:sz="0" w:space="0" w:color="auto"/>
            <w:left w:val="none" w:sz="0" w:space="0" w:color="auto"/>
            <w:bottom w:val="none" w:sz="0" w:space="0" w:color="auto"/>
            <w:right w:val="none" w:sz="0" w:space="0" w:color="auto"/>
          </w:divBdr>
        </w:div>
        <w:div w:id="1167401301">
          <w:marLeft w:val="0"/>
          <w:marRight w:val="0"/>
          <w:marTop w:val="0"/>
          <w:marBottom w:val="0"/>
          <w:divBdr>
            <w:top w:val="none" w:sz="0" w:space="0" w:color="auto"/>
            <w:left w:val="none" w:sz="0" w:space="0" w:color="auto"/>
            <w:bottom w:val="none" w:sz="0" w:space="0" w:color="auto"/>
            <w:right w:val="none" w:sz="0" w:space="0" w:color="auto"/>
          </w:divBdr>
        </w:div>
        <w:div w:id="1433429019">
          <w:marLeft w:val="0"/>
          <w:marRight w:val="0"/>
          <w:marTop w:val="0"/>
          <w:marBottom w:val="0"/>
          <w:divBdr>
            <w:top w:val="none" w:sz="0" w:space="0" w:color="auto"/>
            <w:left w:val="none" w:sz="0" w:space="0" w:color="auto"/>
            <w:bottom w:val="none" w:sz="0" w:space="0" w:color="auto"/>
            <w:right w:val="none" w:sz="0" w:space="0" w:color="auto"/>
          </w:divBdr>
        </w:div>
        <w:div w:id="40709070">
          <w:marLeft w:val="0"/>
          <w:marRight w:val="0"/>
          <w:marTop w:val="0"/>
          <w:marBottom w:val="0"/>
          <w:divBdr>
            <w:top w:val="none" w:sz="0" w:space="0" w:color="auto"/>
            <w:left w:val="none" w:sz="0" w:space="0" w:color="auto"/>
            <w:bottom w:val="none" w:sz="0" w:space="0" w:color="auto"/>
            <w:right w:val="none" w:sz="0" w:space="0" w:color="auto"/>
          </w:divBdr>
        </w:div>
        <w:div w:id="52588218">
          <w:marLeft w:val="0"/>
          <w:marRight w:val="0"/>
          <w:marTop w:val="0"/>
          <w:marBottom w:val="0"/>
          <w:divBdr>
            <w:top w:val="none" w:sz="0" w:space="0" w:color="auto"/>
            <w:left w:val="none" w:sz="0" w:space="0" w:color="auto"/>
            <w:bottom w:val="none" w:sz="0" w:space="0" w:color="auto"/>
            <w:right w:val="none" w:sz="0" w:space="0" w:color="auto"/>
          </w:divBdr>
        </w:div>
        <w:div w:id="1896771251">
          <w:marLeft w:val="0"/>
          <w:marRight w:val="0"/>
          <w:marTop w:val="0"/>
          <w:marBottom w:val="0"/>
          <w:divBdr>
            <w:top w:val="none" w:sz="0" w:space="0" w:color="auto"/>
            <w:left w:val="none" w:sz="0" w:space="0" w:color="auto"/>
            <w:bottom w:val="none" w:sz="0" w:space="0" w:color="auto"/>
            <w:right w:val="none" w:sz="0" w:space="0" w:color="auto"/>
          </w:divBdr>
        </w:div>
        <w:div w:id="57554285">
          <w:marLeft w:val="0"/>
          <w:marRight w:val="0"/>
          <w:marTop w:val="0"/>
          <w:marBottom w:val="0"/>
          <w:divBdr>
            <w:top w:val="none" w:sz="0" w:space="0" w:color="auto"/>
            <w:left w:val="none" w:sz="0" w:space="0" w:color="auto"/>
            <w:bottom w:val="none" w:sz="0" w:space="0" w:color="auto"/>
            <w:right w:val="none" w:sz="0" w:space="0" w:color="auto"/>
          </w:divBdr>
        </w:div>
        <w:div w:id="795101214">
          <w:marLeft w:val="0"/>
          <w:marRight w:val="0"/>
          <w:marTop w:val="0"/>
          <w:marBottom w:val="0"/>
          <w:divBdr>
            <w:top w:val="none" w:sz="0" w:space="0" w:color="auto"/>
            <w:left w:val="none" w:sz="0" w:space="0" w:color="auto"/>
            <w:bottom w:val="none" w:sz="0" w:space="0" w:color="auto"/>
            <w:right w:val="none" w:sz="0" w:space="0" w:color="auto"/>
          </w:divBdr>
        </w:div>
        <w:div w:id="1444348722">
          <w:marLeft w:val="0"/>
          <w:marRight w:val="0"/>
          <w:marTop w:val="0"/>
          <w:marBottom w:val="0"/>
          <w:divBdr>
            <w:top w:val="none" w:sz="0" w:space="0" w:color="auto"/>
            <w:left w:val="none" w:sz="0" w:space="0" w:color="auto"/>
            <w:bottom w:val="none" w:sz="0" w:space="0" w:color="auto"/>
            <w:right w:val="none" w:sz="0" w:space="0" w:color="auto"/>
          </w:divBdr>
        </w:div>
        <w:div w:id="323705862">
          <w:marLeft w:val="0"/>
          <w:marRight w:val="0"/>
          <w:marTop w:val="0"/>
          <w:marBottom w:val="0"/>
          <w:divBdr>
            <w:top w:val="none" w:sz="0" w:space="0" w:color="auto"/>
            <w:left w:val="none" w:sz="0" w:space="0" w:color="auto"/>
            <w:bottom w:val="none" w:sz="0" w:space="0" w:color="auto"/>
            <w:right w:val="none" w:sz="0" w:space="0" w:color="auto"/>
          </w:divBdr>
        </w:div>
        <w:div w:id="145054145">
          <w:marLeft w:val="0"/>
          <w:marRight w:val="0"/>
          <w:marTop w:val="0"/>
          <w:marBottom w:val="0"/>
          <w:divBdr>
            <w:top w:val="none" w:sz="0" w:space="0" w:color="auto"/>
            <w:left w:val="none" w:sz="0" w:space="0" w:color="auto"/>
            <w:bottom w:val="none" w:sz="0" w:space="0" w:color="auto"/>
            <w:right w:val="none" w:sz="0" w:space="0" w:color="auto"/>
          </w:divBdr>
        </w:div>
        <w:div w:id="1407000066">
          <w:marLeft w:val="0"/>
          <w:marRight w:val="0"/>
          <w:marTop w:val="0"/>
          <w:marBottom w:val="0"/>
          <w:divBdr>
            <w:top w:val="none" w:sz="0" w:space="0" w:color="auto"/>
            <w:left w:val="none" w:sz="0" w:space="0" w:color="auto"/>
            <w:bottom w:val="none" w:sz="0" w:space="0" w:color="auto"/>
            <w:right w:val="none" w:sz="0" w:space="0" w:color="auto"/>
          </w:divBdr>
        </w:div>
        <w:div w:id="1194341641">
          <w:marLeft w:val="0"/>
          <w:marRight w:val="0"/>
          <w:marTop w:val="0"/>
          <w:marBottom w:val="0"/>
          <w:divBdr>
            <w:top w:val="none" w:sz="0" w:space="0" w:color="auto"/>
            <w:left w:val="none" w:sz="0" w:space="0" w:color="auto"/>
            <w:bottom w:val="none" w:sz="0" w:space="0" w:color="auto"/>
            <w:right w:val="none" w:sz="0" w:space="0" w:color="auto"/>
          </w:divBdr>
        </w:div>
        <w:div w:id="918752883">
          <w:marLeft w:val="0"/>
          <w:marRight w:val="0"/>
          <w:marTop w:val="0"/>
          <w:marBottom w:val="0"/>
          <w:divBdr>
            <w:top w:val="none" w:sz="0" w:space="0" w:color="auto"/>
            <w:left w:val="none" w:sz="0" w:space="0" w:color="auto"/>
            <w:bottom w:val="none" w:sz="0" w:space="0" w:color="auto"/>
            <w:right w:val="none" w:sz="0" w:space="0" w:color="auto"/>
          </w:divBdr>
        </w:div>
        <w:div w:id="1301836767">
          <w:marLeft w:val="0"/>
          <w:marRight w:val="0"/>
          <w:marTop w:val="0"/>
          <w:marBottom w:val="0"/>
          <w:divBdr>
            <w:top w:val="none" w:sz="0" w:space="0" w:color="auto"/>
            <w:left w:val="none" w:sz="0" w:space="0" w:color="auto"/>
            <w:bottom w:val="none" w:sz="0" w:space="0" w:color="auto"/>
            <w:right w:val="none" w:sz="0" w:space="0" w:color="auto"/>
          </w:divBdr>
        </w:div>
        <w:div w:id="1334380543">
          <w:marLeft w:val="0"/>
          <w:marRight w:val="0"/>
          <w:marTop w:val="0"/>
          <w:marBottom w:val="0"/>
          <w:divBdr>
            <w:top w:val="none" w:sz="0" w:space="0" w:color="auto"/>
            <w:left w:val="none" w:sz="0" w:space="0" w:color="auto"/>
            <w:bottom w:val="none" w:sz="0" w:space="0" w:color="auto"/>
            <w:right w:val="none" w:sz="0" w:space="0" w:color="auto"/>
          </w:divBdr>
        </w:div>
        <w:div w:id="1587610303">
          <w:marLeft w:val="0"/>
          <w:marRight w:val="0"/>
          <w:marTop w:val="0"/>
          <w:marBottom w:val="0"/>
          <w:divBdr>
            <w:top w:val="none" w:sz="0" w:space="0" w:color="auto"/>
            <w:left w:val="none" w:sz="0" w:space="0" w:color="auto"/>
            <w:bottom w:val="none" w:sz="0" w:space="0" w:color="auto"/>
            <w:right w:val="none" w:sz="0" w:space="0" w:color="auto"/>
          </w:divBdr>
        </w:div>
        <w:div w:id="1743790893">
          <w:marLeft w:val="0"/>
          <w:marRight w:val="0"/>
          <w:marTop w:val="0"/>
          <w:marBottom w:val="0"/>
          <w:divBdr>
            <w:top w:val="none" w:sz="0" w:space="0" w:color="auto"/>
            <w:left w:val="none" w:sz="0" w:space="0" w:color="auto"/>
            <w:bottom w:val="none" w:sz="0" w:space="0" w:color="auto"/>
            <w:right w:val="none" w:sz="0" w:space="0" w:color="auto"/>
          </w:divBdr>
        </w:div>
        <w:div w:id="414132222">
          <w:marLeft w:val="0"/>
          <w:marRight w:val="0"/>
          <w:marTop w:val="0"/>
          <w:marBottom w:val="0"/>
          <w:divBdr>
            <w:top w:val="none" w:sz="0" w:space="0" w:color="auto"/>
            <w:left w:val="none" w:sz="0" w:space="0" w:color="auto"/>
            <w:bottom w:val="none" w:sz="0" w:space="0" w:color="auto"/>
            <w:right w:val="none" w:sz="0" w:space="0" w:color="auto"/>
          </w:divBdr>
        </w:div>
        <w:div w:id="1477530236">
          <w:marLeft w:val="0"/>
          <w:marRight w:val="0"/>
          <w:marTop w:val="0"/>
          <w:marBottom w:val="0"/>
          <w:divBdr>
            <w:top w:val="none" w:sz="0" w:space="0" w:color="auto"/>
            <w:left w:val="none" w:sz="0" w:space="0" w:color="auto"/>
            <w:bottom w:val="none" w:sz="0" w:space="0" w:color="auto"/>
            <w:right w:val="none" w:sz="0" w:space="0" w:color="auto"/>
          </w:divBdr>
        </w:div>
        <w:div w:id="1895773922">
          <w:marLeft w:val="0"/>
          <w:marRight w:val="0"/>
          <w:marTop w:val="0"/>
          <w:marBottom w:val="0"/>
          <w:divBdr>
            <w:top w:val="none" w:sz="0" w:space="0" w:color="auto"/>
            <w:left w:val="none" w:sz="0" w:space="0" w:color="auto"/>
            <w:bottom w:val="none" w:sz="0" w:space="0" w:color="auto"/>
            <w:right w:val="none" w:sz="0" w:space="0" w:color="auto"/>
          </w:divBdr>
        </w:div>
        <w:div w:id="252402270">
          <w:marLeft w:val="0"/>
          <w:marRight w:val="0"/>
          <w:marTop w:val="0"/>
          <w:marBottom w:val="0"/>
          <w:divBdr>
            <w:top w:val="none" w:sz="0" w:space="0" w:color="auto"/>
            <w:left w:val="none" w:sz="0" w:space="0" w:color="auto"/>
            <w:bottom w:val="none" w:sz="0" w:space="0" w:color="auto"/>
            <w:right w:val="none" w:sz="0" w:space="0" w:color="auto"/>
          </w:divBdr>
        </w:div>
        <w:div w:id="2021395416">
          <w:marLeft w:val="0"/>
          <w:marRight w:val="0"/>
          <w:marTop w:val="0"/>
          <w:marBottom w:val="0"/>
          <w:divBdr>
            <w:top w:val="none" w:sz="0" w:space="0" w:color="auto"/>
            <w:left w:val="none" w:sz="0" w:space="0" w:color="auto"/>
            <w:bottom w:val="none" w:sz="0" w:space="0" w:color="auto"/>
            <w:right w:val="none" w:sz="0" w:space="0" w:color="auto"/>
          </w:divBdr>
        </w:div>
        <w:div w:id="1935942330">
          <w:marLeft w:val="0"/>
          <w:marRight w:val="0"/>
          <w:marTop w:val="0"/>
          <w:marBottom w:val="0"/>
          <w:divBdr>
            <w:top w:val="none" w:sz="0" w:space="0" w:color="auto"/>
            <w:left w:val="none" w:sz="0" w:space="0" w:color="auto"/>
            <w:bottom w:val="none" w:sz="0" w:space="0" w:color="auto"/>
            <w:right w:val="none" w:sz="0" w:space="0" w:color="auto"/>
          </w:divBdr>
        </w:div>
        <w:div w:id="1271470960">
          <w:marLeft w:val="0"/>
          <w:marRight w:val="0"/>
          <w:marTop w:val="0"/>
          <w:marBottom w:val="0"/>
          <w:divBdr>
            <w:top w:val="none" w:sz="0" w:space="0" w:color="auto"/>
            <w:left w:val="none" w:sz="0" w:space="0" w:color="auto"/>
            <w:bottom w:val="none" w:sz="0" w:space="0" w:color="auto"/>
            <w:right w:val="none" w:sz="0" w:space="0" w:color="auto"/>
          </w:divBdr>
        </w:div>
        <w:div w:id="701978636">
          <w:marLeft w:val="0"/>
          <w:marRight w:val="0"/>
          <w:marTop w:val="0"/>
          <w:marBottom w:val="0"/>
          <w:divBdr>
            <w:top w:val="none" w:sz="0" w:space="0" w:color="auto"/>
            <w:left w:val="none" w:sz="0" w:space="0" w:color="auto"/>
            <w:bottom w:val="none" w:sz="0" w:space="0" w:color="auto"/>
            <w:right w:val="none" w:sz="0" w:space="0" w:color="auto"/>
          </w:divBdr>
        </w:div>
        <w:div w:id="1758593839">
          <w:marLeft w:val="0"/>
          <w:marRight w:val="0"/>
          <w:marTop w:val="0"/>
          <w:marBottom w:val="0"/>
          <w:divBdr>
            <w:top w:val="none" w:sz="0" w:space="0" w:color="auto"/>
            <w:left w:val="none" w:sz="0" w:space="0" w:color="auto"/>
            <w:bottom w:val="none" w:sz="0" w:space="0" w:color="auto"/>
            <w:right w:val="none" w:sz="0" w:space="0" w:color="auto"/>
          </w:divBdr>
        </w:div>
        <w:div w:id="959535176">
          <w:marLeft w:val="0"/>
          <w:marRight w:val="0"/>
          <w:marTop w:val="0"/>
          <w:marBottom w:val="0"/>
          <w:divBdr>
            <w:top w:val="none" w:sz="0" w:space="0" w:color="auto"/>
            <w:left w:val="none" w:sz="0" w:space="0" w:color="auto"/>
            <w:bottom w:val="none" w:sz="0" w:space="0" w:color="auto"/>
            <w:right w:val="none" w:sz="0" w:space="0" w:color="auto"/>
          </w:divBdr>
        </w:div>
        <w:div w:id="1731810148">
          <w:marLeft w:val="0"/>
          <w:marRight w:val="0"/>
          <w:marTop w:val="0"/>
          <w:marBottom w:val="0"/>
          <w:divBdr>
            <w:top w:val="none" w:sz="0" w:space="0" w:color="auto"/>
            <w:left w:val="none" w:sz="0" w:space="0" w:color="auto"/>
            <w:bottom w:val="none" w:sz="0" w:space="0" w:color="auto"/>
            <w:right w:val="none" w:sz="0" w:space="0" w:color="auto"/>
          </w:divBdr>
        </w:div>
        <w:div w:id="1231815323">
          <w:marLeft w:val="0"/>
          <w:marRight w:val="0"/>
          <w:marTop w:val="0"/>
          <w:marBottom w:val="0"/>
          <w:divBdr>
            <w:top w:val="none" w:sz="0" w:space="0" w:color="auto"/>
            <w:left w:val="none" w:sz="0" w:space="0" w:color="auto"/>
            <w:bottom w:val="none" w:sz="0" w:space="0" w:color="auto"/>
            <w:right w:val="none" w:sz="0" w:space="0" w:color="auto"/>
          </w:divBdr>
        </w:div>
        <w:div w:id="122625357">
          <w:marLeft w:val="0"/>
          <w:marRight w:val="0"/>
          <w:marTop w:val="0"/>
          <w:marBottom w:val="0"/>
          <w:divBdr>
            <w:top w:val="none" w:sz="0" w:space="0" w:color="auto"/>
            <w:left w:val="none" w:sz="0" w:space="0" w:color="auto"/>
            <w:bottom w:val="none" w:sz="0" w:space="0" w:color="auto"/>
            <w:right w:val="none" w:sz="0" w:space="0" w:color="auto"/>
          </w:divBdr>
        </w:div>
        <w:div w:id="804155741">
          <w:marLeft w:val="0"/>
          <w:marRight w:val="0"/>
          <w:marTop w:val="0"/>
          <w:marBottom w:val="0"/>
          <w:divBdr>
            <w:top w:val="none" w:sz="0" w:space="0" w:color="auto"/>
            <w:left w:val="none" w:sz="0" w:space="0" w:color="auto"/>
            <w:bottom w:val="none" w:sz="0" w:space="0" w:color="auto"/>
            <w:right w:val="none" w:sz="0" w:space="0" w:color="auto"/>
          </w:divBdr>
        </w:div>
        <w:div w:id="946695220">
          <w:marLeft w:val="0"/>
          <w:marRight w:val="0"/>
          <w:marTop w:val="0"/>
          <w:marBottom w:val="0"/>
          <w:divBdr>
            <w:top w:val="none" w:sz="0" w:space="0" w:color="auto"/>
            <w:left w:val="none" w:sz="0" w:space="0" w:color="auto"/>
            <w:bottom w:val="none" w:sz="0" w:space="0" w:color="auto"/>
            <w:right w:val="none" w:sz="0" w:space="0" w:color="auto"/>
          </w:divBdr>
        </w:div>
        <w:div w:id="551386095">
          <w:marLeft w:val="0"/>
          <w:marRight w:val="0"/>
          <w:marTop w:val="0"/>
          <w:marBottom w:val="0"/>
          <w:divBdr>
            <w:top w:val="none" w:sz="0" w:space="0" w:color="auto"/>
            <w:left w:val="none" w:sz="0" w:space="0" w:color="auto"/>
            <w:bottom w:val="none" w:sz="0" w:space="0" w:color="auto"/>
            <w:right w:val="none" w:sz="0" w:space="0" w:color="auto"/>
          </w:divBdr>
        </w:div>
        <w:div w:id="647785970">
          <w:marLeft w:val="0"/>
          <w:marRight w:val="0"/>
          <w:marTop w:val="0"/>
          <w:marBottom w:val="0"/>
          <w:divBdr>
            <w:top w:val="none" w:sz="0" w:space="0" w:color="auto"/>
            <w:left w:val="none" w:sz="0" w:space="0" w:color="auto"/>
            <w:bottom w:val="none" w:sz="0" w:space="0" w:color="auto"/>
            <w:right w:val="none" w:sz="0" w:space="0" w:color="auto"/>
          </w:divBdr>
        </w:div>
        <w:div w:id="327755100">
          <w:marLeft w:val="0"/>
          <w:marRight w:val="0"/>
          <w:marTop w:val="0"/>
          <w:marBottom w:val="0"/>
          <w:divBdr>
            <w:top w:val="none" w:sz="0" w:space="0" w:color="auto"/>
            <w:left w:val="none" w:sz="0" w:space="0" w:color="auto"/>
            <w:bottom w:val="none" w:sz="0" w:space="0" w:color="auto"/>
            <w:right w:val="none" w:sz="0" w:space="0" w:color="auto"/>
          </w:divBdr>
        </w:div>
        <w:div w:id="1063605276">
          <w:marLeft w:val="0"/>
          <w:marRight w:val="0"/>
          <w:marTop w:val="0"/>
          <w:marBottom w:val="0"/>
          <w:divBdr>
            <w:top w:val="none" w:sz="0" w:space="0" w:color="auto"/>
            <w:left w:val="none" w:sz="0" w:space="0" w:color="auto"/>
            <w:bottom w:val="none" w:sz="0" w:space="0" w:color="auto"/>
            <w:right w:val="none" w:sz="0" w:space="0" w:color="auto"/>
          </w:divBdr>
        </w:div>
        <w:div w:id="1525050977">
          <w:marLeft w:val="0"/>
          <w:marRight w:val="0"/>
          <w:marTop w:val="0"/>
          <w:marBottom w:val="0"/>
          <w:divBdr>
            <w:top w:val="none" w:sz="0" w:space="0" w:color="auto"/>
            <w:left w:val="none" w:sz="0" w:space="0" w:color="auto"/>
            <w:bottom w:val="none" w:sz="0" w:space="0" w:color="auto"/>
            <w:right w:val="none" w:sz="0" w:space="0" w:color="auto"/>
          </w:divBdr>
        </w:div>
        <w:div w:id="967470237">
          <w:marLeft w:val="0"/>
          <w:marRight w:val="0"/>
          <w:marTop w:val="0"/>
          <w:marBottom w:val="0"/>
          <w:divBdr>
            <w:top w:val="none" w:sz="0" w:space="0" w:color="auto"/>
            <w:left w:val="none" w:sz="0" w:space="0" w:color="auto"/>
            <w:bottom w:val="none" w:sz="0" w:space="0" w:color="auto"/>
            <w:right w:val="none" w:sz="0" w:space="0" w:color="auto"/>
          </w:divBdr>
        </w:div>
        <w:div w:id="1564441737">
          <w:marLeft w:val="0"/>
          <w:marRight w:val="0"/>
          <w:marTop w:val="0"/>
          <w:marBottom w:val="0"/>
          <w:divBdr>
            <w:top w:val="none" w:sz="0" w:space="0" w:color="auto"/>
            <w:left w:val="none" w:sz="0" w:space="0" w:color="auto"/>
            <w:bottom w:val="none" w:sz="0" w:space="0" w:color="auto"/>
            <w:right w:val="none" w:sz="0" w:space="0" w:color="auto"/>
          </w:divBdr>
        </w:div>
        <w:div w:id="1136796042">
          <w:marLeft w:val="0"/>
          <w:marRight w:val="0"/>
          <w:marTop w:val="0"/>
          <w:marBottom w:val="0"/>
          <w:divBdr>
            <w:top w:val="none" w:sz="0" w:space="0" w:color="auto"/>
            <w:left w:val="none" w:sz="0" w:space="0" w:color="auto"/>
            <w:bottom w:val="none" w:sz="0" w:space="0" w:color="auto"/>
            <w:right w:val="none" w:sz="0" w:space="0" w:color="auto"/>
          </w:divBdr>
        </w:div>
        <w:div w:id="1240679156">
          <w:marLeft w:val="0"/>
          <w:marRight w:val="0"/>
          <w:marTop w:val="0"/>
          <w:marBottom w:val="0"/>
          <w:divBdr>
            <w:top w:val="none" w:sz="0" w:space="0" w:color="auto"/>
            <w:left w:val="none" w:sz="0" w:space="0" w:color="auto"/>
            <w:bottom w:val="none" w:sz="0" w:space="0" w:color="auto"/>
            <w:right w:val="none" w:sz="0" w:space="0" w:color="auto"/>
          </w:divBdr>
        </w:div>
        <w:div w:id="523442848">
          <w:marLeft w:val="0"/>
          <w:marRight w:val="0"/>
          <w:marTop w:val="0"/>
          <w:marBottom w:val="0"/>
          <w:divBdr>
            <w:top w:val="none" w:sz="0" w:space="0" w:color="auto"/>
            <w:left w:val="none" w:sz="0" w:space="0" w:color="auto"/>
            <w:bottom w:val="none" w:sz="0" w:space="0" w:color="auto"/>
            <w:right w:val="none" w:sz="0" w:space="0" w:color="auto"/>
          </w:divBdr>
        </w:div>
        <w:div w:id="1952592143">
          <w:marLeft w:val="0"/>
          <w:marRight w:val="0"/>
          <w:marTop w:val="0"/>
          <w:marBottom w:val="0"/>
          <w:divBdr>
            <w:top w:val="none" w:sz="0" w:space="0" w:color="auto"/>
            <w:left w:val="none" w:sz="0" w:space="0" w:color="auto"/>
            <w:bottom w:val="none" w:sz="0" w:space="0" w:color="auto"/>
            <w:right w:val="none" w:sz="0" w:space="0" w:color="auto"/>
          </w:divBdr>
        </w:div>
        <w:div w:id="349723525">
          <w:marLeft w:val="0"/>
          <w:marRight w:val="0"/>
          <w:marTop w:val="0"/>
          <w:marBottom w:val="0"/>
          <w:divBdr>
            <w:top w:val="none" w:sz="0" w:space="0" w:color="auto"/>
            <w:left w:val="none" w:sz="0" w:space="0" w:color="auto"/>
            <w:bottom w:val="none" w:sz="0" w:space="0" w:color="auto"/>
            <w:right w:val="none" w:sz="0" w:space="0" w:color="auto"/>
          </w:divBdr>
        </w:div>
        <w:div w:id="644818598">
          <w:marLeft w:val="0"/>
          <w:marRight w:val="0"/>
          <w:marTop w:val="0"/>
          <w:marBottom w:val="0"/>
          <w:divBdr>
            <w:top w:val="none" w:sz="0" w:space="0" w:color="auto"/>
            <w:left w:val="none" w:sz="0" w:space="0" w:color="auto"/>
            <w:bottom w:val="none" w:sz="0" w:space="0" w:color="auto"/>
            <w:right w:val="none" w:sz="0" w:space="0" w:color="auto"/>
          </w:divBdr>
        </w:div>
        <w:div w:id="958293192">
          <w:marLeft w:val="0"/>
          <w:marRight w:val="0"/>
          <w:marTop w:val="0"/>
          <w:marBottom w:val="0"/>
          <w:divBdr>
            <w:top w:val="none" w:sz="0" w:space="0" w:color="auto"/>
            <w:left w:val="none" w:sz="0" w:space="0" w:color="auto"/>
            <w:bottom w:val="none" w:sz="0" w:space="0" w:color="auto"/>
            <w:right w:val="none" w:sz="0" w:space="0" w:color="auto"/>
          </w:divBdr>
        </w:div>
        <w:div w:id="1638950118">
          <w:marLeft w:val="0"/>
          <w:marRight w:val="0"/>
          <w:marTop w:val="0"/>
          <w:marBottom w:val="0"/>
          <w:divBdr>
            <w:top w:val="none" w:sz="0" w:space="0" w:color="auto"/>
            <w:left w:val="none" w:sz="0" w:space="0" w:color="auto"/>
            <w:bottom w:val="none" w:sz="0" w:space="0" w:color="auto"/>
            <w:right w:val="none" w:sz="0" w:space="0" w:color="auto"/>
          </w:divBdr>
        </w:div>
        <w:div w:id="1947275963">
          <w:marLeft w:val="0"/>
          <w:marRight w:val="0"/>
          <w:marTop w:val="0"/>
          <w:marBottom w:val="0"/>
          <w:divBdr>
            <w:top w:val="none" w:sz="0" w:space="0" w:color="auto"/>
            <w:left w:val="none" w:sz="0" w:space="0" w:color="auto"/>
            <w:bottom w:val="none" w:sz="0" w:space="0" w:color="auto"/>
            <w:right w:val="none" w:sz="0" w:space="0" w:color="auto"/>
          </w:divBdr>
        </w:div>
        <w:div w:id="313146140">
          <w:marLeft w:val="0"/>
          <w:marRight w:val="0"/>
          <w:marTop w:val="0"/>
          <w:marBottom w:val="0"/>
          <w:divBdr>
            <w:top w:val="none" w:sz="0" w:space="0" w:color="auto"/>
            <w:left w:val="none" w:sz="0" w:space="0" w:color="auto"/>
            <w:bottom w:val="none" w:sz="0" w:space="0" w:color="auto"/>
            <w:right w:val="none" w:sz="0" w:space="0" w:color="auto"/>
          </w:divBdr>
        </w:div>
        <w:div w:id="937254515">
          <w:marLeft w:val="0"/>
          <w:marRight w:val="0"/>
          <w:marTop w:val="0"/>
          <w:marBottom w:val="0"/>
          <w:divBdr>
            <w:top w:val="none" w:sz="0" w:space="0" w:color="auto"/>
            <w:left w:val="none" w:sz="0" w:space="0" w:color="auto"/>
            <w:bottom w:val="none" w:sz="0" w:space="0" w:color="auto"/>
            <w:right w:val="none" w:sz="0" w:space="0" w:color="auto"/>
          </w:divBdr>
        </w:div>
        <w:div w:id="61948142">
          <w:marLeft w:val="0"/>
          <w:marRight w:val="0"/>
          <w:marTop w:val="0"/>
          <w:marBottom w:val="0"/>
          <w:divBdr>
            <w:top w:val="none" w:sz="0" w:space="0" w:color="auto"/>
            <w:left w:val="none" w:sz="0" w:space="0" w:color="auto"/>
            <w:bottom w:val="none" w:sz="0" w:space="0" w:color="auto"/>
            <w:right w:val="none" w:sz="0" w:space="0" w:color="auto"/>
          </w:divBdr>
        </w:div>
        <w:div w:id="2016688494">
          <w:marLeft w:val="0"/>
          <w:marRight w:val="0"/>
          <w:marTop w:val="0"/>
          <w:marBottom w:val="0"/>
          <w:divBdr>
            <w:top w:val="none" w:sz="0" w:space="0" w:color="auto"/>
            <w:left w:val="none" w:sz="0" w:space="0" w:color="auto"/>
            <w:bottom w:val="none" w:sz="0" w:space="0" w:color="auto"/>
            <w:right w:val="none" w:sz="0" w:space="0" w:color="auto"/>
          </w:divBdr>
        </w:div>
        <w:div w:id="2131631256">
          <w:marLeft w:val="0"/>
          <w:marRight w:val="0"/>
          <w:marTop w:val="0"/>
          <w:marBottom w:val="0"/>
          <w:divBdr>
            <w:top w:val="none" w:sz="0" w:space="0" w:color="auto"/>
            <w:left w:val="none" w:sz="0" w:space="0" w:color="auto"/>
            <w:bottom w:val="none" w:sz="0" w:space="0" w:color="auto"/>
            <w:right w:val="none" w:sz="0" w:space="0" w:color="auto"/>
          </w:divBdr>
          <w:divsChild>
            <w:div w:id="1373312197">
              <w:marLeft w:val="0"/>
              <w:marRight w:val="0"/>
              <w:marTop w:val="0"/>
              <w:marBottom w:val="0"/>
              <w:divBdr>
                <w:top w:val="none" w:sz="0" w:space="0" w:color="auto"/>
                <w:left w:val="none" w:sz="0" w:space="0" w:color="auto"/>
                <w:bottom w:val="none" w:sz="0" w:space="0" w:color="auto"/>
                <w:right w:val="none" w:sz="0" w:space="0" w:color="auto"/>
              </w:divBdr>
            </w:div>
            <w:div w:id="1277634496">
              <w:marLeft w:val="0"/>
              <w:marRight w:val="0"/>
              <w:marTop w:val="0"/>
              <w:marBottom w:val="0"/>
              <w:divBdr>
                <w:top w:val="none" w:sz="0" w:space="0" w:color="auto"/>
                <w:left w:val="none" w:sz="0" w:space="0" w:color="auto"/>
                <w:bottom w:val="none" w:sz="0" w:space="0" w:color="auto"/>
                <w:right w:val="none" w:sz="0" w:space="0" w:color="auto"/>
              </w:divBdr>
            </w:div>
          </w:divsChild>
        </w:div>
        <w:div w:id="2007587987">
          <w:marLeft w:val="0"/>
          <w:marRight w:val="0"/>
          <w:marTop w:val="0"/>
          <w:marBottom w:val="0"/>
          <w:divBdr>
            <w:top w:val="none" w:sz="0" w:space="0" w:color="auto"/>
            <w:left w:val="none" w:sz="0" w:space="0" w:color="auto"/>
            <w:bottom w:val="none" w:sz="0" w:space="0" w:color="auto"/>
            <w:right w:val="none" w:sz="0" w:space="0" w:color="auto"/>
          </w:divBdr>
        </w:div>
        <w:div w:id="161045795">
          <w:marLeft w:val="0"/>
          <w:marRight w:val="0"/>
          <w:marTop w:val="0"/>
          <w:marBottom w:val="0"/>
          <w:divBdr>
            <w:top w:val="none" w:sz="0" w:space="0" w:color="auto"/>
            <w:left w:val="none" w:sz="0" w:space="0" w:color="auto"/>
            <w:bottom w:val="none" w:sz="0" w:space="0" w:color="auto"/>
            <w:right w:val="none" w:sz="0" w:space="0" w:color="auto"/>
          </w:divBdr>
        </w:div>
        <w:div w:id="793988130">
          <w:marLeft w:val="0"/>
          <w:marRight w:val="0"/>
          <w:marTop w:val="0"/>
          <w:marBottom w:val="0"/>
          <w:divBdr>
            <w:top w:val="none" w:sz="0" w:space="0" w:color="auto"/>
            <w:left w:val="none" w:sz="0" w:space="0" w:color="auto"/>
            <w:bottom w:val="none" w:sz="0" w:space="0" w:color="auto"/>
            <w:right w:val="none" w:sz="0" w:space="0" w:color="auto"/>
          </w:divBdr>
        </w:div>
        <w:div w:id="1474640675">
          <w:marLeft w:val="0"/>
          <w:marRight w:val="0"/>
          <w:marTop w:val="0"/>
          <w:marBottom w:val="0"/>
          <w:divBdr>
            <w:top w:val="none" w:sz="0" w:space="0" w:color="auto"/>
            <w:left w:val="none" w:sz="0" w:space="0" w:color="auto"/>
            <w:bottom w:val="none" w:sz="0" w:space="0" w:color="auto"/>
            <w:right w:val="none" w:sz="0" w:space="0" w:color="auto"/>
          </w:divBdr>
        </w:div>
        <w:div w:id="876043336">
          <w:marLeft w:val="0"/>
          <w:marRight w:val="0"/>
          <w:marTop w:val="0"/>
          <w:marBottom w:val="0"/>
          <w:divBdr>
            <w:top w:val="none" w:sz="0" w:space="0" w:color="auto"/>
            <w:left w:val="none" w:sz="0" w:space="0" w:color="auto"/>
            <w:bottom w:val="none" w:sz="0" w:space="0" w:color="auto"/>
            <w:right w:val="none" w:sz="0" w:space="0" w:color="auto"/>
          </w:divBdr>
        </w:div>
        <w:div w:id="1309818151">
          <w:marLeft w:val="0"/>
          <w:marRight w:val="0"/>
          <w:marTop w:val="0"/>
          <w:marBottom w:val="0"/>
          <w:divBdr>
            <w:top w:val="none" w:sz="0" w:space="0" w:color="auto"/>
            <w:left w:val="none" w:sz="0" w:space="0" w:color="auto"/>
            <w:bottom w:val="none" w:sz="0" w:space="0" w:color="auto"/>
            <w:right w:val="none" w:sz="0" w:space="0" w:color="auto"/>
          </w:divBdr>
        </w:div>
        <w:div w:id="754666013">
          <w:marLeft w:val="0"/>
          <w:marRight w:val="0"/>
          <w:marTop w:val="0"/>
          <w:marBottom w:val="0"/>
          <w:divBdr>
            <w:top w:val="none" w:sz="0" w:space="0" w:color="auto"/>
            <w:left w:val="none" w:sz="0" w:space="0" w:color="auto"/>
            <w:bottom w:val="none" w:sz="0" w:space="0" w:color="auto"/>
            <w:right w:val="none" w:sz="0" w:space="0" w:color="auto"/>
          </w:divBdr>
        </w:div>
        <w:div w:id="1521165607">
          <w:marLeft w:val="0"/>
          <w:marRight w:val="0"/>
          <w:marTop w:val="0"/>
          <w:marBottom w:val="0"/>
          <w:divBdr>
            <w:top w:val="none" w:sz="0" w:space="0" w:color="auto"/>
            <w:left w:val="none" w:sz="0" w:space="0" w:color="auto"/>
            <w:bottom w:val="none" w:sz="0" w:space="0" w:color="auto"/>
            <w:right w:val="none" w:sz="0" w:space="0" w:color="auto"/>
          </w:divBdr>
        </w:div>
        <w:div w:id="1729185487">
          <w:marLeft w:val="0"/>
          <w:marRight w:val="0"/>
          <w:marTop w:val="0"/>
          <w:marBottom w:val="0"/>
          <w:divBdr>
            <w:top w:val="none" w:sz="0" w:space="0" w:color="auto"/>
            <w:left w:val="none" w:sz="0" w:space="0" w:color="auto"/>
            <w:bottom w:val="none" w:sz="0" w:space="0" w:color="auto"/>
            <w:right w:val="none" w:sz="0" w:space="0" w:color="auto"/>
          </w:divBdr>
        </w:div>
        <w:div w:id="397747881">
          <w:marLeft w:val="0"/>
          <w:marRight w:val="0"/>
          <w:marTop w:val="0"/>
          <w:marBottom w:val="0"/>
          <w:divBdr>
            <w:top w:val="none" w:sz="0" w:space="0" w:color="auto"/>
            <w:left w:val="none" w:sz="0" w:space="0" w:color="auto"/>
            <w:bottom w:val="none" w:sz="0" w:space="0" w:color="auto"/>
            <w:right w:val="none" w:sz="0" w:space="0" w:color="auto"/>
          </w:divBdr>
        </w:div>
        <w:div w:id="1155534343">
          <w:marLeft w:val="0"/>
          <w:marRight w:val="0"/>
          <w:marTop w:val="0"/>
          <w:marBottom w:val="0"/>
          <w:divBdr>
            <w:top w:val="none" w:sz="0" w:space="0" w:color="auto"/>
            <w:left w:val="none" w:sz="0" w:space="0" w:color="auto"/>
            <w:bottom w:val="none" w:sz="0" w:space="0" w:color="auto"/>
            <w:right w:val="none" w:sz="0" w:space="0" w:color="auto"/>
          </w:divBdr>
        </w:div>
        <w:div w:id="784537777">
          <w:marLeft w:val="0"/>
          <w:marRight w:val="0"/>
          <w:marTop w:val="0"/>
          <w:marBottom w:val="0"/>
          <w:divBdr>
            <w:top w:val="none" w:sz="0" w:space="0" w:color="auto"/>
            <w:left w:val="none" w:sz="0" w:space="0" w:color="auto"/>
            <w:bottom w:val="none" w:sz="0" w:space="0" w:color="auto"/>
            <w:right w:val="none" w:sz="0" w:space="0" w:color="auto"/>
          </w:divBdr>
        </w:div>
        <w:div w:id="1531987929">
          <w:marLeft w:val="0"/>
          <w:marRight w:val="0"/>
          <w:marTop w:val="0"/>
          <w:marBottom w:val="0"/>
          <w:divBdr>
            <w:top w:val="none" w:sz="0" w:space="0" w:color="auto"/>
            <w:left w:val="none" w:sz="0" w:space="0" w:color="auto"/>
            <w:bottom w:val="none" w:sz="0" w:space="0" w:color="auto"/>
            <w:right w:val="none" w:sz="0" w:space="0" w:color="auto"/>
          </w:divBdr>
        </w:div>
        <w:div w:id="1754819942">
          <w:marLeft w:val="0"/>
          <w:marRight w:val="0"/>
          <w:marTop w:val="0"/>
          <w:marBottom w:val="0"/>
          <w:divBdr>
            <w:top w:val="none" w:sz="0" w:space="0" w:color="auto"/>
            <w:left w:val="none" w:sz="0" w:space="0" w:color="auto"/>
            <w:bottom w:val="none" w:sz="0" w:space="0" w:color="auto"/>
            <w:right w:val="none" w:sz="0" w:space="0" w:color="auto"/>
          </w:divBdr>
        </w:div>
        <w:div w:id="2115519769">
          <w:marLeft w:val="0"/>
          <w:marRight w:val="0"/>
          <w:marTop w:val="0"/>
          <w:marBottom w:val="0"/>
          <w:divBdr>
            <w:top w:val="none" w:sz="0" w:space="0" w:color="auto"/>
            <w:left w:val="none" w:sz="0" w:space="0" w:color="auto"/>
            <w:bottom w:val="none" w:sz="0" w:space="0" w:color="auto"/>
            <w:right w:val="none" w:sz="0" w:space="0" w:color="auto"/>
          </w:divBdr>
        </w:div>
        <w:div w:id="1988627113">
          <w:marLeft w:val="0"/>
          <w:marRight w:val="0"/>
          <w:marTop w:val="0"/>
          <w:marBottom w:val="0"/>
          <w:divBdr>
            <w:top w:val="none" w:sz="0" w:space="0" w:color="auto"/>
            <w:left w:val="none" w:sz="0" w:space="0" w:color="auto"/>
            <w:bottom w:val="none" w:sz="0" w:space="0" w:color="auto"/>
            <w:right w:val="none" w:sz="0" w:space="0" w:color="auto"/>
          </w:divBdr>
        </w:div>
        <w:div w:id="108476261">
          <w:marLeft w:val="0"/>
          <w:marRight w:val="0"/>
          <w:marTop w:val="0"/>
          <w:marBottom w:val="0"/>
          <w:divBdr>
            <w:top w:val="none" w:sz="0" w:space="0" w:color="auto"/>
            <w:left w:val="none" w:sz="0" w:space="0" w:color="auto"/>
            <w:bottom w:val="none" w:sz="0" w:space="0" w:color="auto"/>
            <w:right w:val="none" w:sz="0" w:space="0" w:color="auto"/>
          </w:divBdr>
        </w:div>
        <w:div w:id="888296848">
          <w:marLeft w:val="0"/>
          <w:marRight w:val="0"/>
          <w:marTop w:val="0"/>
          <w:marBottom w:val="0"/>
          <w:divBdr>
            <w:top w:val="none" w:sz="0" w:space="0" w:color="auto"/>
            <w:left w:val="none" w:sz="0" w:space="0" w:color="auto"/>
            <w:bottom w:val="none" w:sz="0" w:space="0" w:color="auto"/>
            <w:right w:val="none" w:sz="0" w:space="0" w:color="auto"/>
          </w:divBdr>
        </w:div>
        <w:div w:id="77333744">
          <w:marLeft w:val="0"/>
          <w:marRight w:val="0"/>
          <w:marTop w:val="0"/>
          <w:marBottom w:val="0"/>
          <w:divBdr>
            <w:top w:val="none" w:sz="0" w:space="0" w:color="auto"/>
            <w:left w:val="none" w:sz="0" w:space="0" w:color="auto"/>
            <w:bottom w:val="none" w:sz="0" w:space="0" w:color="auto"/>
            <w:right w:val="none" w:sz="0" w:space="0" w:color="auto"/>
          </w:divBdr>
        </w:div>
        <w:div w:id="1723292067">
          <w:marLeft w:val="0"/>
          <w:marRight w:val="0"/>
          <w:marTop w:val="0"/>
          <w:marBottom w:val="0"/>
          <w:divBdr>
            <w:top w:val="none" w:sz="0" w:space="0" w:color="auto"/>
            <w:left w:val="none" w:sz="0" w:space="0" w:color="auto"/>
            <w:bottom w:val="none" w:sz="0" w:space="0" w:color="auto"/>
            <w:right w:val="none" w:sz="0" w:space="0" w:color="auto"/>
          </w:divBdr>
        </w:div>
        <w:div w:id="1616788521">
          <w:marLeft w:val="0"/>
          <w:marRight w:val="0"/>
          <w:marTop w:val="0"/>
          <w:marBottom w:val="0"/>
          <w:divBdr>
            <w:top w:val="none" w:sz="0" w:space="0" w:color="auto"/>
            <w:left w:val="none" w:sz="0" w:space="0" w:color="auto"/>
            <w:bottom w:val="none" w:sz="0" w:space="0" w:color="auto"/>
            <w:right w:val="none" w:sz="0" w:space="0" w:color="auto"/>
          </w:divBdr>
        </w:div>
        <w:div w:id="32927720">
          <w:marLeft w:val="0"/>
          <w:marRight w:val="0"/>
          <w:marTop w:val="0"/>
          <w:marBottom w:val="0"/>
          <w:divBdr>
            <w:top w:val="none" w:sz="0" w:space="0" w:color="auto"/>
            <w:left w:val="none" w:sz="0" w:space="0" w:color="auto"/>
            <w:bottom w:val="none" w:sz="0" w:space="0" w:color="auto"/>
            <w:right w:val="none" w:sz="0" w:space="0" w:color="auto"/>
          </w:divBdr>
        </w:div>
        <w:div w:id="1047220000">
          <w:marLeft w:val="0"/>
          <w:marRight w:val="0"/>
          <w:marTop w:val="0"/>
          <w:marBottom w:val="0"/>
          <w:divBdr>
            <w:top w:val="none" w:sz="0" w:space="0" w:color="auto"/>
            <w:left w:val="none" w:sz="0" w:space="0" w:color="auto"/>
            <w:bottom w:val="none" w:sz="0" w:space="0" w:color="auto"/>
            <w:right w:val="none" w:sz="0" w:space="0" w:color="auto"/>
          </w:divBdr>
        </w:div>
        <w:div w:id="301663504">
          <w:marLeft w:val="0"/>
          <w:marRight w:val="0"/>
          <w:marTop w:val="0"/>
          <w:marBottom w:val="0"/>
          <w:divBdr>
            <w:top w:val="none" w:sz="0" w:space="0" w:color="auto"/>
            <w:left w:val="none" w:sz="0" w:space="0" w:color="auto"/>
            <w:bottom w:val="none" w:sz="0" w:space="0" w:color="auto"/>
            <w:right w:val="none" w:sz="0" w:space="0" w:color="auto"/>
          </w:divBdr>
        </w:div>
        <w:div w:id="901519955">
          <w:marLeft w:val="0"/>
          <w:marRight w:val="0"/>
          <w:marTop w:val="0"/>
          <w:marBottom w:val="0"/>
          <w:divBdr>
            <w:top w:val="none" w:sz="0" w:space="0" w:color="auto"/>
            <w:left w:val="none" w:sz="0" w:space="0" w:color="auto"/>
            <w:bottom w:val="none" w:sz="0" w:space="0" w:color="auto"/>
            <w:right w:val="none" w:sz="0" w:space="0" w:color="auto"/>
          </w:divBdr>
        </w:div>
        <w:div w:id="1663778138">
          <w:marLeft w:val="0"/>
          <w:marRight w:val="0"/>
          <w:marTop w:val="0"/>
          <w:marBottom w:val="0"/>
          <w:divBdr>
            <w:top w:val="none" w:sz="0" w:space="0" w:color="auto"/>
            <w:left w:val="none" w:sz="0" w:space="0" w:color="auto"/>
            <w:bottom w:val="none" w:sz="0" w:space="0" w:color="auto"/>
            <w:right w:val="none" w:sz="0" w:space="0" w:color="auto"/>
          </w:divBdr>
        </w:div>
        <w:div w:id="1183782364">
          <w:marLeft w:val="0"/>
          <w:marRight w:val="0"/>
          <w:marTop w:val="0"/>
          <w:marBottom w:val="0"/>
          <w:divBdr>
            <w:top w:val="none" w:sz="0" w:space="0" w:color="auto"/>
            <w:left w:val="none" w:sz="0" w:space="0" w:color="auto"/>
            <w:bottom w:val="none" w:sz="0" w:space="0" w:color="auto"/>
            <w:right w:val="none" w:sz="0" w:space="0" w:color="auto"/>
          </w:divBdr>
        </w:div>
        <w:div w:id="915944775">
          <w:marLeft w:val="0"/>
          <w:marRight w:val="0"/>
          <w:marTop w:val="0"/>
          <w:marBottom w:val="0"/>
          <w:divBdr>
            <w:top w:val="none" w:sz="0" w:space="0" w:color="auto"/>
            <w:left w:val="none" w:sz="0" w:space="0" w:color="auto"/>
            <w:bottom w:val="none" w:sz="0" w:space="0" w:color="auto"/>
            <w:right w:val="none" w:sz="0" w:space="0" w:color="auto"/>
          </w:divBdr>
        </w:div>
        <w:div w:id="2119106972">
          <w:marLeft w:val="0"/>
          <w:marRight w:val="0"/>
          <w:marTop w:val="0"/>
          <w:marBottom w:val="0"/>
          <w:divBdr>
            <w:top w:val="none" w:sz="0" w:space="0" w:color="auto"/>
            <w:left w:val="none" w:sz="0" w:space="0" w:color="auto"/>
            <w:bottom w:val="none" w:sz="0" w:space="0" w:color="auto"/>
            <w:right w:val="none" w:sz="0" w:space="0" w:color="auto"/>
          </w:divBdr>
        </w:div>
        <w:div w:id="993677572">
          <w:marLeft w:val="0"/>
          <w:marRight w:val="0"/>
          <w:marTop w:val="0"/>
          <w:marBottom w:val="0"/>
          <w:divBdr>
            <w:top w:val="none" w:sz="0" w:space="0" w:color="auto"/>
            <w:left w:val="none" w:sz="0" w:space="0" w:color="auto"/>
            <w:bottom w:val="none" w:sz="0" w:space="0" w:color="auto"/>
            <w:right w:val="none" w:sz="0" w:space="0" w:color="auto"/>
          </w:divBdr>
        </w:div>
        <w:div w:id="477455585">
          <w:marLeft w:val="0"/>
          <w:marRight w:val="0"/>
          <w:marTop w:val="0"/>
          <w:marBottom w:val="0"/>
          <w:divBdr>
            <w:top w:val="none" w:sz="0" w:space="0" w:color="auto"/>
            <w:left w:val="none" w:sz="0" w:space="0" w:color="auto"/>
            <w:bottom w:val="none" w:sz="0" w:space="0" w:color="auto"/>
            <w:right w:val="none" w:sz="0" w:space="0" w:color="auto"/>
          </w:divBdr>
        </w:div>
        <w:div w:id="981806896">
          <w:marLeft w:val="0"/>
          <w:marRight w:val="0"/>
          <w:marTop w:val="0"/>
          <w:marBottom w:val="0"/>
          <w:divBdr>
            <w:top w:val="none" w:sz="0" w:space="0" w:color="auto"/>
            <w:left w:val="none" w:sz="0" w:space="0" w:color="auto"/>
            <w:bottom w:val="none" w:sz="0" w:space="0" w:color="auto"/>
            <w:right w:val="none" w:sz="0" w:space="0" w:color="auto"/>
          </w:divBdr>
        </w:div>
        <w:div w:id="1823229583">
          <w:marLeft w:val="0"/>
          <w:marRight w:val="0"/>
          <w:marTop w:val="0"/>
          <w:marBottom w:val="0"/>
          <w:divBdr>
            <w:top w:val="none" w:sz="0" w:space="0" w:color="auto"/>
            <w:left w:val="none" w:sz="0" w:space="0" w:color="auto"/>
            <w:bottom w:val="none" w:sz="0" w:space="0" w:color="auto"/>
            <w:right w:val="none" w:sz="0" w:space="0" w:color="auto"/>
          </w:divBdr>
        </w:div>
        <w:div w:id="1937211132">
          <w:marLeft w:val="0"/>
          <w:marRight w:val="0"/>
          <w:marTop w:val="0"/>
          <w:marBottom w:val="0"/>
          <w:divBdr>
            <w:top w:val="none" w:sz="0" w:space="0" w:color="auto"/>
            <w:left w:val="none" w:sz="0" w:space="0" w:color="auto"/>
            <w:bottom w:val="none" w:sz="0" w:space="0" w:color="auto"/>
            <w:right w:val="none" w:sz="0" w:space="0" w:color="auto"/>
          </w:divBdr>
        </w:div>
        <w:div w:id="879516325">
          <w:marLeft w:val="0"/>
          <w:marRight w:val="0"/>
          <w:marTop w:val="0"/>
          <w:marBottom w:val="0"/>
          <w:divBdr>
            <w:top w:val="none" w:sz="0" w:space="0" w:color="auto"/>
            <w:left w:val="none" w:sz="0" w:space="0" w:color="auto"/>
            <w:bottom w:val="none" w:sz="0" w:space="0" w:color="auto"/>
            <w:right w:val="none" w:sz="0" w:space="0" w:color="auto"/>
          </w:divBdr>
        </w:div>
        <w:div w:id="188304351">
          <w:marLeft w:val="0"/>
          <w:marRight w:val="0"/>
          <w:marTop w:val="0"/>
          <w:marBottom w:val="0"/>
          <w:divBdr>
            <w:top w:val="none" w:sz="0" w:space="0" w:color="auto"/>
            <w:left w:val="none" w:sz="0" w:space="0" w:color="auto"/>
            <w:bottom w:val="none" w:sz="0" w:space="0" w:color="auto"/>
            <w:right w:val="none" w:sz="0" w:space="0" w:color="auto"/>
          </w:divBdr>
        </w:div>
        <w:div w:id="1303543154">
          <w:marLeft w:val="0"/>
          <w:marRight w:val="0"/>
          <w:marTop w:val="0"/>
          <w:marBottom w:val="0"/>
          <w:divBdr>
            <w:top w:val="none" w:sz="0" w:space="0" w:color="auto"/>
            <w:left w:val="none" w:sz="0" w:space="0" w:color="auto"/>
            <w:bottom w:val="none" w:sz="0" w:space="0" w:color="auto"/>
            <w:right w:val="none" w:sz="0" w:space="0" w:color="auto"/>
          </w:divBdr>
        </w:div>
        <w:div w:id="945844157">
          <w:marLeft w:val="0"/>
          <w:marRight w:val="0"/>
          <w:marTop w:val="0"/>
          <w:marBottom w:val="0"/>
          <w:divBdr>
            <w:top w:val="none" w:sz="0" w:space="0" w:color="auto"/>
            <w:left w:val="none" w:sz="0" w:space="0" w:color="auto"/>
            <w:bottom w:val="none" w:sz="0" w:space="0" w:color="auto"/>
            <w:right w:val="none" w:sz="0" w:space="0" w:color="auto"/>
          </w:divBdr>
        </w:div>
        <w:div w:id="1585140255">
          <w:marLeft w:val="0"/>
          <w:marRight w:val="0"/>
          <w:marTop w:val="0"/>
          <w:marBottom w:val="0"/>
          <w:divBdr>
            <w:top w:val="none" w:sz="0" w:space="0" w:color="auto"/>
            <w:left w:val="none" w:sz="0" w:space="0" w:color="auto"/>
            <w:bottom w:val="none" w:sz="0" w:space="0" w:color="auto"/>
            <w:right w:val="none" w:sz="0" w:space="0" w:color="auto"/>
          </w:divBdr>
        </w:div>
        <w:div w:id="96485486">
          <w:marLeft w:val="0"/>
          <w:marRight w:val="0"/>
          <w:marTop w:val="0"/>
          <w:marBottom w:val="0"/>
          <w:divBdr>
            <w:top w:val="none" w:sz="0" w:space="0" w:color="auto"/>
            <w:left w:val="none" w:sz="0" w:space="0" w:color="auto"/>
            <w:bottom w:val="none" w:sz="0" w:space="0" w:color="auto"/>
            <w:right w:val="none" w:sz="0" w:space="0" w:color="auto"/>
          </w:divBdr>
        </w:div>
        <w:div w:id="1486968705">
          <w:marLeft w:val="0"/>
          <w:marRight w:val="0"/>
          <w:marTop w:val="0"/>
          <w:marBottom w:val="0"/>
          <w:divBdr>
            <w:top w:val="none" w:sz="0" w:space="0" w:color="auto"/>
            <w:left w:val="none" w:sz="0" w:space="0" w:color="auto"/>
            <w:bottom w:val="none" w:sz="0" w:space="0" w:color="auto"/>
            <w:right w:val="none" w:sz="0" w:space="0" w:color="auto"/>
          </w:divBdr>
        </w:div>
        <w:div w:id="381101535">
          <w:marLeft w:val="0"/>
          <w:marRight w:val="0"/>
          <w:marTop w:val="0"/>
          <w:marBottom w:val="0"/>
          <w:divBdr>
            <w:top w:val="none" w:sz="0" w:space="0" w:color="auto"/>
            <w:left w:val="none" w:sz="0" w:space="0" w:color="auto"/>
            <w:bottom w:val="none" w:sz="0" w:space="0" w:color="auto"/>
            <w:right w:val="none" w:sz="0" w:space="0" w:color="auto"/>
          </w:divBdr>
        </w:div>
        <w:div w:id="1708530697">
          <w:marLeft w:val="0"/>
          <w:marRight w:val="0"/>
          <w:marTop w:val="0"/>
          <w:marBottom w:val="0"/>
          <w:divBdr>
            <w:top w:val="none" w:sz="0" w:space="0" w:color="auto"/>
            <w:left w:val="none" w:sz="0" w:space="0" w:color="auto"/>
            <w:bottom w:val="none" w:sz="0" w:space="0" w:color="auto"/>
            <w:right w:val="none" w:sz="0" w:space="0" w:color="auto"/>
          </w:divBdr>
        </w:div>
        <w:div w:id="430854833">
          <w:marLeft w:val="0"/>
          <w:marRight w:val="0"/>
          <w:marTop w:val="0"/>
          <w:marBottom w:val="0"/>
          <w:divBdr>
            <w:top w:val="none" w:sz="0" w:space="0" w:color="auto"/>
            <w:left w:val="none" w:sz="0" w:space="0" w:color="auto"/>
            <w:bottom w:val="none" w:sz="0" w:space="0" w:color="auto"/>
            <w:right w:val="none" w:sz="0" w:space="0" w:color="auto"/>
          </w:divBdr>
        </w:div>
        <w:div w:id="1952667928">
          <w:marLeft w:val="0"/>
          <w:marRight w:val="0"/>
          <w:marTop w:val="0"/>
          <w:marBottom w:val="0"/>
          <w:divBdr>
            <w:top w:val="none" w:sz="0" w:space="0" w:color="auto"/>
            <w:left w:val="none" w:sz="0" w:space="0" w:color="auto"/>
            <w:bottom w:val="none" w:sz="0" w:space="0" w:color="auto"/>
            <w:right w:val="none" w:sz="0" w:space="0" w:color="auto"/>
          </w:divBdr>
        </w:div>
        <w:div w:id="274408986">
          <w:marLeft w:val="0"/>
          <w:marRight w:val="0"/>
          <w:marTop w:val="0"/>
          <w:marBottom w:val="0"/>
          <w:divBdr>
            <w:top w:val="none" w:sz="0" w:space="0" w:color="auto"/>
            <w:left w:val="none" w:sz="0" w:space="0" w:color="auto"/>
            <w:bottom w:val="none" w:sz="0" w:space="0" w:color="auto"/>
            <w:right w:val="none" w:sz="0" w:space="0" w:color="auto"/>
          </w:divBdr>
        </w:div>
        <w:div w:id="1413744137">
          <w:marLeft w:val="0"/>
          <w:marRight w:val="0"/>
          <w:marTop w:val="0"/>
          <w:marBottom w:val="0"/>
          <w:divBdr>
            <w:top w:val="none" w:sz="0" w:space="0" w:color="auto"/>
            <w:left w:val="none" w:sz="0" w:space="0" w:color="auto"/>
            <w:bottom w:val="none" w:sz="0" w:space="0" w:color="auto"/>
            <w:right w:val="none" w:sz="0" w:space="0" w:color="auto"/>
          </w:divBdr>
        </w:div>
        <w:div w:id="13117802">
          <w:marLeft w:val="0"/>
          <w:marRight w:val="0"/>
          <w:marTop w:val="0"/>
          <w:marBottom w:val="0"/>
          <w:divBdr>
            <w:top w:val="none" w:sz="0" w:space="0" w:color="auto"/>
            <w:left w:val="none" w:sz="0" w:space="0" w:color="auto"/>
            <w:bottom w:val="none" w:sz="0" w:space="0" w:color="auto"/>
            <w:right w:val="none" w:sz="0" w:space="0" w:color="auto"/>
          </w:divBdr>
        </w:div>
        <w:div w:id="1674137800">
          <w:marLeft w:val="0"/>
          <w:marRight w:val="0"/>
          <w:marTop w:val="0"/>
          <w:marBottom w:val="0"/>
          <w:divBdr>
            <w:top w:val="none" w:sz="0" w:space="0" w:color="auto"/>
            <w:left w:val="none" w:sz="0" w:space="0" w:color="auto"/>
            <w:bottom w:val="none" w:sz="0" w:space="0" w:color="auto"/>
            <w:right w:val="none" w:sz="0" w:space="0" w:color="auto"/>
          </w:divBdr>
        </w:div>
        <w:div w:id="611012711">
          <w:marLeft w:val="0"/>
          <w:marRight w:val="0"/>
          <w:marTop w:val="0"/>
          <w:marBottom w:val="0"/>
          <w:divBdr>
            <w:top w:val="none" w:sz="0" w:space="0" w:color="auto"/>
            <w:left w:val="none" w:sz="0" w:space="0" w:color="auto"/>
            <w:bottom w:val="none" w:sz="0" w:space="0" w:color="auto"/>
            <w:right w:val="none" w:sz="0" w:space="0" w:color="auto"/>
          </w:divBdr>
        </w:div>
        <w:div w:id="769205781">
          <w:marLeft w:val="0"/>
          <w:marRight w:val="0"/>
          <w:marTop w:val="0"/>
          <w:marBottom w:val="0"/>
          <w:divBdr>
            <w:top w:val="none" w:sz="0" w:space="0" w:color="auto"/>
            <w:left w:val="none" w:sz="0" w:space="0" w:color="auto"/>
            <w:bottom w:val="none" w:sz="0" w:space="0" w:color="auto"/>
            <w:right w:val="none" w:sz="0" w:space="0" w:color="auto"/>
          </w:divBdr>
        </w:div>
        <w:div w:id="112137490">
          <w:marLeft w:val="0"/>
          <w:marRight w:val="0"/>
          <w:marTop w:val="0"/>
          <w:marBottom w:val="0"/>
          <w:divBdr>
            <w:top w:val="none" w:sz="0" w:space="0" w:color="auto"/>
            <w:left w:val="none" w:sz="0" w:space="0" w:color="auto"/>
            <w:bottom w:val="none" w:sz="0" w:space="0" w:color="auto"/>
            <w:right w:val="none" w:sz="0" w:space="0" w:color="auto"/>
          </w:divBdr>
        </w:div>
        <w:div w:id="1546716870">
          <w:marLeft w:val="0"/>
          <w:marRight w:val="0"/>
          <w:marTop w:val="0"/>
          <w:marBottom w:val="0"/>
          <w:divBdr>
            <w:top w:val="none" w:sz="0" w:space="0" w:color="auto"/>
            <w:left w:val="none" w:sz="0" w:space="0" w:color="auto"/>
            <w:bottom w:val="none" w:sz="0" w:space="0" w:color="auto"/>
            <w:right w:val="none" w:sz="0" w:space="0" w:color="auto"/>
          </w:divBdr>
        </w:div>
        <w:div w:id="1724284519">
          <w:marLeft w:val="0"/>
          <w:marRight w:val="0"/>
          <w:marTop w:val="0"/>
          <w:marBottom w:val="0"/>
          <w:divBdr>
            <w:top w:val="none" w:sz="0" w:space="0" w:color="auto"/>
            <w:left w:val="none" w:sz="0" w:space="0" w:color="auto"/>
            <w:bottom w:val="none" w:sz="0" w:space="0" w:color="auto"/>
            <w:right w:val="none" w:sz="0" w:space="0" w:color="auto"/>
          </w:divBdr>
        </w:div>
        <w:div w:id="1555459601">
          <w:marLeft w:val="0"/>
          <w:marRight w:val="0"/>
          <w:marTop w:val="0"/>
          <w:marBottom w:val="0"/>
          <w:divBdr>
            <w:top w:val="none" w:sz="0" w:space="0" w:color="auto"/>
            <w:left w:val="none" w:sz="0" w:space="0" w:color="auto"/>
            <w:bottom w:val="none" w:sz="0" w:space="0" w:color="auto"/>
            <w:right w:val="none" w:sz="0" w:space="0" w:color="auto"/>
          </w:divBdr>
        </w:div>
        <w:div w:id="965505409">
          <w:marLeft w:val="0"/>
          <w:marRight w:val="0"/>
          <w:marTop w:val="0"/>
          <w:marBottom w:val="0"/>
          <w:divBdr>
            <w:top w:val="none" w:sz="0" w:space="0" w:color="auto"/>
            <w:left w:val="none" w:sz="0" w:space="0" w:color="auto"/>
            <w:bottom w:val="none" w:sz="0" w:space="0" w:color="auto"/>
            <w:right w:val="none" w:sz="0" w:space="0" w:color="auto"/>
          </w:divBdr>
        </w:div>
        <w:div w:id="2118864123">
          <w:marLeft w:val="0"/>
          <w:marRight w:val="0"/>
          <w:marTop w:val="0"/>
          <w:marBottom w:val="0"/>
          <w:divBdr>
            <w:top w:val="none" w:sz="0" w:space="0" w:color="auto"/>
            <w:left w:val="none" w:sz="0" w:space="0" w:color="auto"/>
            <w:bottom w:val="none" w:sz="0" w:space="0" w:color="auto"/>
            <w:right w:val="none" w:sz="0" w:space="0" w:color="auto"/>
          </w:divBdr>
        </w:div>
        <w:div w:id="1645969142">
          <w:marLeft w:val="0"/>
          <w:marRight w:val="0"/>
          <w:marTop w:val="0"/>
          <w:marBottom w:val="0"/>
          <w:divBdr>
            <w:top w:val="none" w:sz="0" w:space="0" w:color="auto"/>
            <w:left w:val="none" w:sz="0" w:space="0" w:color="auto"/>
            <w:bottom w:val="none" w:sz="0" w:space="0" w:color="auto"/>
            <w:right w:val="none" w:sz="0" w:space="0" w:color="auto"/>
          </w:divBdr>
        </w:div>
        <w:div w:id="1246306458">
          <w:marLeft w:val="0"/>
          <w:marRight w:val="0"/>
          <w:marTop w:val="0"/>
          <w:marBottom w:val="0"/>
          <w:divBdr>
            <w:top w:val="none" w:sz="0" w:space="0" w:color="auto"/>
            <w:left w:val="none" w:sz="0" w:space="0" w:color="auto"/>
            <w:bottom w:val="none" w:sz="0" w:space="0" w:color="auto"/>
            <w:right w:val="none" w:sz="0" w:space="0" w:color="auto"/>
          </w:divBdr>
        </w:div>
        <w:div w:id="1321078615">
          <w:marLeft w:val="0"/>
          <w:marRight w:val="0"/>
          <w:marTop w:val="0"/>
          <w:marBottom w:val="0"/>
          <w:divBdr>
            <w:top w:val="none" w:sz="0" w:space="0" w:color="auto"/>
            <w:left w:val="none" w:sz="0" w:space="0" w:color="auto"/>
            <w:bottom w:val="none" w:sz="0" w:space="0" w:color="auto"/>
            <w:right w:val="none" w:sz="0" w:space="0" w:color="auto"/>
          </w:divBdr>
        </w:div>
        <w:div w:id="75716144">
          <w:marLeft w:val="0"/>
          <w:marRight w:val="0"/>
          <w:marTop w:val="0"/>
          <w:marBottom w:val="0"/>
          <w:divBdr>
            <w:top w:val="none" w:sz="0" w:space="0" w:color="auto"/>
            <w:left w:val="none" w:sz="0" w:space="0" w:color="auto"/>
            <w:bottom w:val="none" w:sz="0" w:space="0" w:color="auto"/>
            <w:right w:val="none" w:sz="0" w:space="0" w:color="auto"/>
          </w:divBdr>
        </w:div>
        <w:div w:id="273557557">
          <w:marLeft w:val="0"/>
          <w:marRight w:val="0"/>
          <w:marTop w:val="0"/>
          <w:marBottom w:val="0"/>
          <w:divBdr>
            <w:top w:val="none" w:sz="0" w:space="0" w:color="auto"/>
            <w:left w:val="none" w:sz="0" w:space="0" w:color="auto"/>
            <w:bottom w:val="none" w:sz="0" w:space="0" w:color="auto"/>
            <w:right w:val="none" w:sz="0" w:space="0" w:color="auto"/>
          </w:divBdr>
        </w:div>
        <w:div w:id="278882188">
          <w:marLeft w:val="0"/>
          <w:marRight w:val="0"/>
          <w:marTop w:val="0"/>
          <w:marBottom w:val="0"/>
          <w:divBdr>
            <w:top w:val="none" w:sz="0" w:space="0" w:color="auto"/>
            <w:left w:val="none" w:sz="0" w:space="0" w:color="auto"/>
            <w:bottom w:val="none" w:sz="0" w:space="0" w:color="auto"/>
            <w:right w:val="none" w:sz="0" w:space="0" w:color="auto"/>
          </w:divBdr>
        </w:div>
        <w:div w:id="27341190">
          <w:marLeft w:val="0"/>
          <w:marRight w:val="0"/>
          <w:marTop w:val="0"/>
          <w:marBottom w:val="0"/>
          <w:divBdr>
            <w:top w:val="none" w:sz="0" w:space="0" w:color="auto"/>
            <w:left w:val="none" w:sz="0" w:space="0" w:color="auto"/>
            <w:bottom w:val="none" w:sz="0" w:space="0" w:color="auto"/>
            <w:right w:val="none" w:sz="0" w:space="0" w:color="auto"/>
          </w:divBdr>
        </w:div>
        <w:div w:id="125777004">
          <w:marLeft w:val="0"/>
          <w:marRight w:val="0"/>
          <w:marTop w:val="0"/>
          <w:marBottom w:val="0"/>
          <w:divBdr>
            <w:top w:val="none" w:sz="0" w:space="0" w:color="auto"/>
            <w:left w:val="none" w:sz="0" w:space="0" w:color="auto"/>
            <w:bottom w:val="none" w:sz="0" w:space="0" w:color="auto"/>
            <w:right w:val="none" w:sz="0" w:space="0" w:color="auto"/>
          </w:divBdr>
        </w:div>
        <w:div w:id="557209831">
          <w:marLeft w:val="0"/>
          <w:marRight w:val="0"/>
          <w:marTop w:val="0"/>
          <w:marBottom w:val="0"/>
          <w:divBdr>
            <w:top w:val="none" w:sz="0" w:space="0" w:color="auto"/>
            <w:left w:val="none" w:sz="0" w:space="0" w:color="auto"/>
            <w:bottom w:val="none" w:sz="0" w:space="0" w:color="auto"/>
            <w:right w:val="none" w:sz="0" w:space="0" w:color="auto"/>
          </w:divBdr>
        </w:div>
        <w:div w:id="1208639650">
          <w:marLeft w:val="0"/>
          <w:marRight w:val="0"/>
          <w:marTop w:val="0"/>
          <w:marBottom w:val="0"/>
          <w:divBdr>
            <w:top w:val="none" w:sz="0" w:space="0" w:color="auto"/>
            <w:left w:val="none" w:sz="0" w:space="0" w:color="auto"/>
            <w:bottom w:val="none" w:sz="0" w:space="0" w:color="auto"/>
            <w:right w:val="none" w:sz="0" w:space="0" w:color="auto"/>
          </w:divBdr>
        </w:div>
        <w:div w:id="1571840505">
          <w:marLeft w:val="0"/>
          <w:marRight w:val="0"/>
          <w:marTop w:val="0"/>
          <w:marBottom w:val="0"/>
          <w:divBdr>
            <w:top w:val="none" w:sz="0" w:space="0" w:color="auto"/>
            <w:left w:val="none" w:sz="0" w:space="0" w:color="auto"/>
            <w:bottom w:val="none" w:sz="0" w:space="0" w:color="auto"/>
            <w:right w:val="none" w:sz="0" w:space="0" w:color="auto"/>
          </w:divBdr>
        </w:div>
        <w:div w:id="685450208">
          <w:marLeft w:val="0"/>
          <w:marRight w:val="0"/>
          <w:marTop w:val="0"/>
          <w:marBottom w:val="0"/>
          <w:divBdr>
            <w:top w:val="none" w:sz="0" w:space="0" w:color="auto"/>
            <w:left w:val="none" w:sz="0" w:space="0" w:color="auto"/>
            <w:bottom w:val="none" w:sz="0" w:space="0" w:color="auto"/>
            <w:right w:val="none" w:sz="0" w:space="0" w:color="auto"/>
          </w:divBdr>
        </w:div>
        <w:div w:id="1264417490">
          <w:marLeft w:val="0"/>
          <w:marRight w:val="0"/>
          <w:marTop w:val="0"/>
          <w:marBottom w:val="0"/>
          <w:divBdr>
            <w:top w:val="none" w:sz="0" w:space="0" w:color="auto"/>
            <w:left w:val="none" w:sz="0" w:space="0" w:color="auto"/>
            <w:bottom w:val="none" w:sz="0" w:space="0" w:color="auto"/>
            <w:right w:val="none" w:sz="0" w:space="0" w:color="auto"/>
          </w:divBdr>
        </w:div>
        <w:div w:id="61216728">
          <w:marLeft w:val="0"/>
          <w:marRight w:val="0"/>
          <w:marTop w:val="0"/>
          <w:marBottom w:val="0"/>
          <w:divBdr>
            <w:top w:val="none" w:sz="0" w:space="0" w:color="auto"/>
            <w:left w:val="none" w:sz="0" w:space="0" w:color="auto"/>
            <w:bottom w:val="none" w:sz="0" w:space="0" w:color="auto"/>
            <w:right w:val="none" w:sz="0" w:space="0" w:color="auto"/>
          </w:divBdr>
        </w:div>
        <w:div w:id="1011644388">
          <w:marLeft w:val="0"/>
          <w:marRight w:val="0"/>
          <w:marTop w:val="0"/>
          <w:marBottom w:val="0"/>
          <w:divBdr>
            <w:top w:val="none" w:sz="0" w:space="0" w:color="auto"/>
            <w:left w:val="none" w:sz="0" w:space="0" w:color="auto"/>
            <w:bottom w:val="none" w:sz="0" w:space="0" w:color="auto"/>
            <w:right w:val="none" w:sz="0" w:space="0" w:color="auto"/>
          </w:divBdr>
        </w:div>
        <w:div w:id="400756421">
          <w:marLeft w:val="0"/>
          <w:marRight w:val="0"/>
          <w:marTop w:val="0"/>
          <w:marBottom w:val="0"/>
          <w:divBdr>
            <w:top w:val="none" w:sz="0" w:space="0" w:color="auto"/>
            <w:left w:val="none" w:sz="0" w:space="0" w:color="auto"/>
            <w:bottom w:val="none" w:sz="0" w:space="0" w:color="auto"/>
            <w:right w:val="none" w:sz="0" w:space="0" w:color="auto"/>
          </w:divBdr>
        </w:div>
        <w:div w:id="571476707">
          <w:marLeft w:val="0"/>
          <w:marRight w:val="0"/>
          <w:marTop w:val="0"/>
          <w:marBottom w:val="0"/>
          <w:divBdr>
            <w:top w:val="none" w:sz="0" w:space="0" w:color="auto"/>
            <w:left w:val="none" w:sz="0" w:space="0" w:color="auto"/>
            <w:bottom w:val="none" w:sz="0" w:space="0" w:color="auto"/>
            <w:right w:val="none" w:sz="0" w:space="0" w:color="auto"/>
          </w:divBdr>
        </w:div>
        <w:div w:id="625896491">
          <w:marLeft w:val="0"/>
          <w:marRight w:val="0"/>
          <w:marTop w:val="0"/>
          <w:marBottom w:val="0"/>
          <w:divBdr>
            <w:top w:val="none" w:sz="0" w:space="0" w:color="auto"/>
            <w:left w:val="none" w:sz="0" w:space="0" w:color="auto"/>
            <w:bottom w:val="none" w:sz="0" w:space="0" w:color="auto"/>
            <w:right w:val="none" w:sz="0" w:space="0" w:color="auto"/>
          </w:divBdr>
        </w:div>
        <w:div w:id="1203977415">
          <w:marLeft w:val="0"/>
          <w:marRight w:val="0"/>
          <w:marTop w:val="0"/>
          <w:marBottom w:val="0"/>
          <w:divBdr>
            <w:top w:val="none" w:sz="0" w:space="0" w:color="auto"/>
            <w:left w:val="none" w:sz="0" w:space="0" w:color="auto"/>
            <w:bottom w:val="none" w:sz="0" w:space="0" w:color="auto"/>
            <w:right w:val="none" w:sz="0" w:space="0" w:color="auto"/>
          </w:divBdr>
        </w:div>
        <w:div w:id="672953302">
          <w:marLeft w:val="0"/>
          <w:marRight w:val="0"/>
          <w:marTop w:val="0"/>
          <w:marBottom w:val="0"/>
          <w:divBdr>
            <w:top w:val="none" w:sz="0" w:space="0" w:color="auto"/>
            <w:left w:val="none" w:sz="0" w:space="0" w:color="auto"/>
            <w:bottom w:val="none" w:sz="0" w:space="0" w:color="auto"/>
            <w:right w:val="none" w:sz="0" w:space="0" w:color="auto"/>
          </w:divBdr>
        </w:div>
        <w:div w:id="1911622514">
          <w:marLeft w:val="0"/>
          <w:marRight w:val="0"/>
          <w:marTop w:val="0"/>
          <w:marBottom w:val="0"/>
          <w:divBdr>
            <w:top w:val="none" w:sz="0" w:space="0" w:color="auto"/>
            <w:left w:val="none" w:sz="0" w:space="0" w:color="auto"/>
            <w:bottom w:val="none" w:sz="0" w:space="0" w:color="auto"/>
            <w:right w:val="none" w:sz="0" w:space="0" w:color="auto"/>
          </w:divBdr>
        </w:div>
        <w:div w:id="775321341">
          <w:marLeft w:val="0"/>
          <w:marRight w:val="0"/>
          <w:marTop w:val="0"/>
          <w:marBottom w:val="0"/>
          <w:divBdr>
            <w:top w:val="none" w:sz="0" w:space="0" w:color="auto"/>
            <w:left w:val="none" w:sz="0" w:space="0" w:color="auto"/>
            <w:bottom w:val="none" w:sz="0" w:space="0" w:color="auto"/>
            <w:right w:val="none" w:sz="0" w:space="0" w:color="auto"/>
          </w:divBdr>
        </w:div>
        <w:div w:id="1384056592">
          <w:marLeft w:val="0"/>
          <w:marRight w:val="0"/>
          <w:marTop w:val="0"/>
          <w:marBottom w:val="0"/>
          <w:divBdr>
            <w:top w:val="none" w:sz="0" w:space="0" w:color="auto"/>
            <w:left w:val="none" w:sz="0" w:space="0" w:color="auto"/>
            <w:bottom w:val="none" w:sz="0" w:space="0" w:color="auto"/>
            <w:right w:val="none" w:sz="0" w:space="0" w:color="auto"/>
          </w:divBdr>
          <w:divsChild>
            <w:div w:id="1668635751">
              <w:marLeft w:val="0"/>
              <w:marRight w:val="0"/>
              <w:marTop w:val="0"/>
              <w:marBottom w:val="0"/>
              <w:divBdr>
                <w:top w:val="none" w:sz="0" w:space="0" w:color="auto"/>
                <w:left w:val="none" w:sz="0" w:space="0" w:color="auto"/>
                <w:bottom w:val="none" w:sz="0" w:space="0" w:color="auto"/>
                <w:right w:val="none" w:sz="0" w:space="0" w:color="auto"/>
              </w:divBdr>
            </w:div>
            <w:div w:id="2115707695">
              <w:marLeft w:val="0"/>
              <w:marRight w:val="0"/>
              <w:marTop w:val="0"/>
              <w:marBottom w:val="0"/>
              <w:divBdr>
                <w:top w:val="none" w:sz="0" w:space="0" w:color="auto"/>
                <w:left w:val="none" w:sz="0" w:space="0" w:color="auto"/>
                <w:bottom w:val="none" w:sz="0" w:space="0" w:color="auto"/>
                <w:right w:val="none" w:sz="0" w:space="0" w:color="auto"/>
              </w:divBdr>
            </w:div>
          </w:divsChild>
        </w:div>
        <w:div w:id="1948736693">
          <w:marLeft w:val="0"/>
          <w:marRight w:val="0"/>
          <w:marTop w:val="0"/>
          <w:marBottom w:val="0"/>
          <w:divBdr>
            <w:top w:val="none" w:sz="0" w:space="0" w:color="auto"/>
            <w:left w:val="none" w:sz="0" w:space="0" w:color="auto"/>
            <w:bottom w:val="none" w:sz="0" w:space="0" w:color="auto"/>
            <w:right w:val="none" w:sz="0" w:space="0" w:color="auto"/>
          </w:divBdr>
        </w:div>
        <w:div w:id="990865907">
          <w:marLeft w:val="0"/>
          <w:marRight w:val="0"/>
          <w:marTop w:val="0"/>
          <w:marBottom w:val="0"/>
          <w:divBdr>
            <w:top w:val="none" w:sz="0" w:space="0" w:color="auto"/>
            <w:left w:val="none" w:sz="0" w:space="0" w:color="auto"/>
            <w:bottom w:val="none" w:sz="0" w:space="0" w:color="auto"/>
            <w:right w:val="none" w:sz="0" w:space="0" w:color="auto"/>
          </w:divBdr>
        </w:div>
        <w:div w:id="624697800">
          <w:marLeft w:val="0"/>
          <w:marRight w:val="0"/>
          <w:marTop w:val="0"/>
          <w:marBottom w:val="0"/>
          <w:divBdr>
            <w:top w:val="none" w:sz="0" w:space="0" w:color="auto"/>
            <w:left w:val="none" w:sz="0" w:space="0" w:color="auto"/>
            <w:bottom w:val="none" w:sz="0" w:space="0" w:color="auto"/>
            <w:right w:val="none" w:sz="0" w:space="0" w:color="auto"/>
          </w:divBdr>
        </w:div>
        <w:div w:id="269974967">
          <w:marLeft w:val="0"/>
          <w:marRight w:val="0"/>
          <w:marTop w:val="0"/>
          <w:marBottom w:val="0"/>
          <w:divBdr>
            <w:top w:val="none" w:sz="0" w:space="0" w:color="auto"/>
            <w:left w:val="none" w:sz="0" w:space="0" w:color="auto"/>
            <w:bottom w:val="none" w:sz="0" w:space="0" w:color="auto"/>
            <w:right w:val="none" w:sz="0" w:space="0" w:color="auto"/>
          </w:divBdr>
        </w:div>
        <w:div w:id="2123764014">
          <w:marLeft w:val="0"/>
          <w:marRight w:val="0"/>
          <w:marTop w:val="0"/>
          <w:marBottom w:val="0"/>
          <w:divBdr>
            <w:top w:val="none" w:sz="0" w:space="0" w:color="auto"/>
            <w:left w:val="none" w:sz="0" w:space="0" w:color="auto"/>
            <w:bottom w:val="none" w:sz="0" w:space="0" w:color="auto"/>
            <w:right w:val="none" w:sz="0" w:space="0" w:color="auto"/>
          </w:divBdr>
        </w:div>
        <w:div w:id="312610384">
          <w:marLeft w:val="0"/>
          <w:marRight w:val="0"/>
          <w:marTop w:val="0"/>
          <w:marBottom w:val="0"/>
          <w:divBdr>
            <w:top w:val="none" w:sz="0" w:space="0" w:color="auto"/>
            <w:left w:val="none" w:sz="0" w:space="0" w:color="auto"/>
            <w:bottom w:val="none" w:sz="0" w:space="0" w:color="auto"/>
            <w:right w:val="none" w:sz="0" w:space="0" w:color="auto"/>
          </w:divBdr>
        </w:div>
        <w:div w:id="450175281">
          <w:marLeft w:val="0"/>
          <w:marRight w:val="0"/>
          <w:marTop w:val="0"/>
          <w:marBottom w:val="0"/>
          <w:divBdr>
            <w:top w:val="none" w:sz="0" w:space="0" w:color="auto"/>
            <w:left w:val="none" w:sz="0" w:space="0" w:color="auto"/>
            <w:bottom w:val="none" w:sz="0" w:space="0" w:color="auto"/>
            <w:right w:val="none" w:sz="0" w:space="0" w:color="auto"/>
          </w:divBdr>
        </w:div>
        <w:div w:id="1420827084">
          <w:marLeft w:val="0"/>
          <w:marRight w:val="0"/>
          <w:marTop w:val="0"/>
          <w:marBottom w:val="0"/>
          <w:divBdr>
            <w:top w:val="none" w:sz="0" w:space="0" w:color="auto"/>
            <w:left w:val="none" w:sz="0" w:space="0" w:color="auto"/>
            <w:bottom w:val="none" w:sz="0" w:space="0" w:color="auto"/>
            <w:right w:val="none" w:sz="0" w:space="0" w:color="auto"/>
          </w:divBdr>
        </w:div>
        <w:div w:id="935018617">
          <w:marLeft w:val="0"/>
          <w:marRight w:val="0"/>
          <w:marTop w:val="0"/>
          <w:marBottom w:val="0"/>
          <w:divBdr>
            <w:top w:val="none" w:sz="0" w:space="0" w:color="auto"/>
            <w:left w:val="none" w:sz="0" w:space="0" w:color="auto"/>
            <w:bottom w:val="none" w:sz="0" w:space="0" w:color="auto"/>
            <w:right w:val="none" w:sz="0" w:space="0" w:color="auto"/>
          </w:divBdr>
        </w:div>
        <w:div w:id="2019190376">
          <w:marLeft w:val="0"/>
          <w:marRight w:val="0"/>
          <w:marTop w:val="0"/>
          <w:marBottom w:val="0"/>
          <w:divBdr>
            <w:top w:val="none" w:sz="0" w:space="0" w:color="auto"/>
            <w:left w:val="none" w:sz="0" w:space="0" w:color="auto"/>
            <w:bottom w:val="none" w:sz="0" w:space="0" w:color="auto"/>
            <w:right w:val="none" w:sz="0" w:space="0" w:color="auto"/>
          </w:divBdr>
        </w:div>
        <w:div w:id="1562520883">
          <w:marLeft w:val="0"/>
          <w:marRight w:val="0"/>
          <w:marTop w:val="0"/>
          <w:marBottom w:val="0"/>
          <w:divBdr>
            <w:top w:val="none" w:sz="0" w:space="0" w:color="auto"/>
            <w:left w:val="none" w:sz="0" w:space="0" w:color="auto"/>
            <w:bottom w:val="none" w:sz="0" w:space="0" w:color="auto"/>
            <w:right w:val="none" w:sz="0" w:space="0" w:color="auto"/>
          </w:divBdr>
        </w:div>
        <w:div w:id="329867760">
          <w:marLeft w:val="0"/>
          <w:marRight w:val="0"/>
          <w:marTop w:val="0"/>
          <w:marBottom w:val="0"/>
          <w:divBdr>
            <w:top w:val="none" w:sz="0" w:space="0" w:color="auto"/>
            <w:left w:val="none" w:sz="0" w:space="0" w:color="auto"/>
            <w:bottom w:val="none" w:sz="0" w:space="0" w:color="auto"/>
            <w:right w:val="none" w:sz="0" w:space="0" w:color="auto"/>
          </w:divBdr>
        </w:div>
        <w:div w:id="1219249408">
          <w:marLeft w:val="0"/>
          <w:marRight w:val="0"/>
          <w:marTop w:val="0"/>
          <w:marBottom w:val="0"/>
          <w:divBdr>
            <w:top w:val="none" w:sz="0" w:space="0" w:color="auto"/>
            <w:left w:val="none" w:sz="0" w:space="0" w:color="auto"/>
            <w:bottom w:val="none" w:sz="0" w:space="0" w:color="auto"/>
            <w:right w:val="none" w:sz="0" w:space="0" w:color="auto"/>
          </w:divBdr>
        </w:div>
        <w:div w:id="633221865">
          <w:marLeft w:val="0"/>
          <w:marRight w:val="0"/>
          <w:marTop w:val="0"/>
          <w:marBottom w:val="0"/>
          <w:divBdr>
            <w:top w:val="none" w:sz="0" w:space="0" w:color="auto"/>
            <w:left w:val="none" w:sz="0" w:space="0" w:color="auto"/>
            <w:bottom w:val="none" w:sz="0" w:space="0" w:color="auto"/>
            <w:right w:val="none" w:sz="0" w:space="0" w:color="auto"/>
          </w:divBdr>
        </w:div>
        <w:div w:id="982350635">
          <w:marLeft w:val="0"/>
          <w:marRight w:val="0"/>
          <w:marTop w:val="0"/>
          <w:marBottom w:val="0"/>
          <w:divBdr>
            <w:top w:val="none" w:sz="0" w:space="0" w:color="auto"/>
            <w:left w:val="none" w:sz="0" w:space="0" w:color="auto"/>
            <w:bottom w:val="none" w:sz="0" w:space="0" w:color="auto"/>
            <w:right w:val="none" w:sz="0" w:space="0" w:color="auto"/>
          </w:divBdr>
        </w:div>
        <w:div w:id="1034579728">
          <w:marLeft w:val="0"/>
          <w:marRight w:val="0"/>
          <w:marTop w:val="0"/>
          <w:marBottom w:val="0"/>
          <w:divBdr>
            <w:top w:val="none" w:sz="0" w:space="0" w:color="auto"/>
            <w:left w:val="none" w:sz="0" w:space="0" w:color="auto"/>
            <w:bottom w:val="none" w:sz="0" w:space="0" w:color="auto"/>
            <w:right w:val="none" w:sz="0" w:space="0" w:color="auto"/>
          </w:divBdr>
        </w:div>
        <w:div w:id="1335913910">
          <w:marLeft w:val="0"/>
          <w:marRight w:val="0"/>
          <w:marTop w:val="0"/>
          <w:marBottom w:val="0"/>
          <w:divBdr>
            <w:top w:val="none" w:sz="0" w:space="0" w:color="auto"/>
            <w:left w:val="none" w:sz="0" w:space="0" w:color="auto"/>
            <w:bottom w:val="none" w:sz="0" w:space="0" w:color="auto"/>
            <w:right w:val="none" w:sz="0" w:space="0" w:color="auto"/>
          </w:divBdr>
        </w:div>
        <w:div w:id="226499492">
          <w:marLeft w:val="0"/>
          <w:marRight w:val="0"/>
          <w:marTop w:val="0"/>
          <w:marBottom w:val="0"/>
          <w:divBdr>
            <w:top w:val="none" w:sz="0" w:space="0" w:color="auto"/>
            <w:left w:val="none" w:sz="0" w:space="0" w:color="auto"/>
            <w:bottom w:val="none" w:sz="0" w:space="0" w:color="auto"/>
            <w:right w:val="none" w:sz="0" w:space="0" w:color="auto"/>
          </w:divBdr>
        </w:div>
        <w:div w:id="62415479">
          <w:marLeft w:val="0"/>
          <w:marRight w:val="0"/>
          <w:marTop w:val="0"/>
          <w:marBottom w:val="0"/>
          <w:divBdr>
            <w:top w:val="none" w:sz="0" w:space="0" w:color="auto"/>
            <w:left w:val="none" w:sz="0" w:space="0" w:color="auto"/>
            <w:bottom w:val="none" w:sz="0" w:space="0" w:color="auto"/>
            <w:right w:val="none" w:sz="0" w:space="0" w:color="auto"/>
          </w:divBdr>
        </w:div>
        <w:div w:id="546188267">
          <w:marLeft w:val="0"/>
          <w:marRight w:val="0"/>
          <w:marTop w:val="0"/>
          <w:marBottom w:val="0"/>
          <w:divBdr>
            <w:top w:val="none" w:sz="0" w:space="0" w:color="auto"/>
            <w:left w:val="none" w:sz="0" w:space="0" w:color="auto"/>
            <w:bottom w:val="none" w:sz="0" w:space="0" w:color="auto"/>
            <w:right w:val="none" w:sz="0" w:space="0" w:color="auto"/>
          </w:divBdr>
        </w:div>
        <w:div w:id="1906257182">
          <w:marLeft w:val="0"/>
          <w:marRight w:val="0"/>
          <w:marTop w:val="0"/>
          <w:marBottom w:val="0"/>
          <w:divBdr>
            <w:top w:val="none" w:sz="0" w:space="0" w:color="auto"/>
            <w:left w:val="none" w:sz="0" w:space="0" w:color="auto"/>
            <w:bottom w:val="none" w:sz="0" w:space="0" w:color="auto"/>
            <w:right w:val="none" w:sz="0" w:space="0" w:color="auto"/>
          </w:divBdr>
        </w:div>
        <w:div w:id="1924492337">
          <w:marLeft w:val="0"/>
          <w:marRight w:val="0"/>
          <w:marTop w:val="0"/>
          <w:marBottom w:val="0"/>
          <w:divBdr>
            <w:top w:val="none" w:sz="0" w:space="0" w:color="auto"/>
            <w:left w:val="none" w:sz="0" w:space="0" w:color="auto"/>
            <w:bottom w:val="none" w:sz="0" w:space="0" w:color="auto"/>
            <w:right w:val="none" w:sz="0" w:space="0" w:color="auto"/>
          </w:divBdr>
        </w:div>
        <w:div w:id="1212571235">
          <w:marLeft w:val="0"/>
          <w:marRight w:val="0"/>
          <w:marTop w:val="0"/>
          <w:marBottom w:val="0"/>
          <w:divBdr>
            <w:top w:val="none" w:sz="0" w:space="0" w:color="auto"/>
            <w:left w:val="none" w:sz="0" w:space="0" w:color="auto"/>
            <w:bottom w:val="none" w:sz="0" w:space="0" w:color="auto"/>
            <w:right w:val="none" w:sz="0" w:space="0" w:color="auto"/>
          </w:divBdr>
        </w:div>
        <w:div w:id="701518790">
          <w:marLeft w:val="0"/>
          <w:marRight w:val="0"/>
          <w:marTop w:val="0"/>
          <w:marBottom w:val="0"/>
          <w:divBdr>
            <w:top w:val="none" w:sz="0" w:space="0" w:color="auto"/>
            <w:left w:val="none" w:sz="0" w:space="0" w:color="auto"/>
            <w:bottom w:val="none" w:sz="0" w:space="0" w:color="auto"/>
            <w:right w:val="none" w:sz="0" w:space="0" w:color="auto"/>
          </w:divBdr>
        </w:div>
        <w:div w:id="2129272297">
          <w:marLeft w:val="0"/>
          <w:marRight w:val="0"/>
          <w:marTop w:val="0"/>
          <w:marBottom w:val="0"/>
          <w:divBdr>
            <w:top w:val="none" w:sz="0" w:space="0" w:color="auto"/>
            <w:left w:val="none" w:sz="0" w:space="0" w:color="auto"/>
            <w:bottom w:val="none" w:sz="0" w:space="0" w:color="auto"/>
            <w:right w:val="none" w:sz="0" w:space="0" w:color="auto"/>
          </w:divBdr>
        </w:div>
        <w:div w:id="1959724940">
          <w:marLeft w:val="0"/>
          <w:marRight w:val="0"/>
          <w:marTop w:val="0"/>
          <w:marBottom w:val="0"/>
          <w:divBdr>
            <w:top w:val="none" w:sz="0" w:space="0" w:color="auto"/>
            <w:left w:val="none" w:sz="0" w:space="0" w:color="auto"/>
            <w:bottom w:val="none" w:sz="0" w:space="0" w:color="auto"/>
            <w:right w:val="none" w:sz="0" w:space="0" w:color="auto"/>
          </w:divBdr>
        </w:div>
        <w:div w:id="73402363">
          <w:marLeft w:val="0"/>
          <w:marRight w:val="0"/>
          <w:marTop w:val="0"/>
          <w:marBottom w:val="0"/>
          <w:divBdr>
            <w:top w:val="none" w:sz="0" w:space="0" w:color="auto"/>
            <w:left w:val="none" w:sz="0" w:space="0" w:color="auto"/>
            <w:bottom w:val="none" w:sz="0" w:space="0" w:color="auto"/>
            <w:right w:val="none" w:sz="0" w:space="0" w:color="auto"/>
          </w:divBdr>
        </w:div>
        <w:div w:id="1138497931">
          <w:marLeft w:val="0"/>
          <w:marRight w:val="0"/>
          <w:marTop w:val="0"/>
          <w:marBottom w:val="0"/>
          <w:divBdr>
            <w:top w:val="none" w:sz="0" w:space="0" w:color="auto"/>
            <w:left w:val="none" w:sz="0" w:space="0" w:color="auto"/>
            <w:bottom w:val="none" w:sz="0" w:space="0" w:color="auto"/>
            <w:right w:val="none" w:sz="0" w:space="0" w:color="auto"/>
          </w:divBdr>
        </w:div>
        <w:div w:id="696544523">
          <w:marLeft w:val="0"/>
          <w:marRight w:val="0"/>
          <w:marTop w:val="0"/>
          <w:marBottom w:val="0"/>
          <w:divBdr>
            <w:top w:val="none" w:sz="0" w:space="0" w:color="auto"/>
            <w:left w:val="none" w:sz="0" w:space="0" w:color="auto"/>
            <w:bottom w:val="none" w:sz="0" w:space="0" w:color="auto"/>
            <w:right w:val="none" w:sz="0" w:space="0" w:color="auto"/>
          </w:divBdr>
          <w:divsChild>
            <w:div w:id="117070595">
              <w:marLeft w:val="0"/>
              <w:marRight w:val="0"/>
              <w:marTop w:val="0"/>
              <w:marBottom w:val="0"/>
              <w:divBdr>
                <w:top w:val="none" w:sz="0" w:space="0" w:color="auto"/>
                <w:left w:val="none" w:sz="0" w:space="0" w:color="auto"/>
                <w:bottom w:val="none" w:sz="0" w:space="0" w:color="auto"/>
                <w:right w:val="none" w:sz="0" w:space="0" w:color="auto"/>
              </w:divBdr>
            </w:div>
          </w:divsChild>
        </w:div>
        <w:div w:id="1667244598">
          <w:marLeft w:val="0"/>
          <w:marRight w:val="0"/>
          <w:marTop w:val="0"/>
          <w:marBottom w:val="0"/>
          <w:divBdr>
            <w:top w:val="none" w:sz="0" w:space="0" w:color="auto"/>
            <w:left w:val="none" w:sz="0" w:space="0" w:color="auto"/>
            <w:bottom w:val="none" w:sz="0" w:space="0" w:color="auto"/>
            <w:right w:val="none" w:sz="0" w:space="0" w:color="auto"/>
          </w:divBdr>
        </w:div>
        <w:div w:id="147482631">
          <w:marLeft w:val="0"/>
          <w:marRight w:val="0"/>
          <w:marTop w:val="0"/>
          <w:marBottom w:val="0"/>
          <w:divBdr>
            <w:top w:val="none" w:sz="0" w:space="0" w:color="auto"/>
            <w:left w:val="none" w:sz="0" w:space="0" w:color="auto"/>
            <w:bottom w:val="none" w:sz="0" w:space="0" w:color="auto"/>
            <w:right w:val="none" w:sz="0" w:space="0" w:color="auto"/>
          </w:divBdr>
        </w:div>
        <w:div w:id="2020040824">
          <w:marLeft w:val="0"/>
          <w:marRight w:val="0"/>
          <w:marTop w:val="0"/>
          <w:marBottom w:val="0"/>
          <w:divBdr>
            <w:top w:val="none" w:sz="0" w:space="0" w:color="auto"/>
            <w:left w:val="none" w:sz="0" w:space="0" w:color="auto"/>
            <w:bottom w:val="none" w:sz="0" w:space="0" w:color="auto"/>
            <w:right w:val="none" w:sz="0" w:space="0" w:color="auto"/>
          </w:divBdr>
        </w:div>
        <w:div w:id="215628260">
          <w:marLeft w:val="0"/>
          <w:marRight w:val="0"/>
          <w:marTop w:val="0"/>
          <w:marBottom w:val="0"/>
          <w:divBdr>
            <w:top w:val="none" w:sz="0" w:space="0" w:color="auto"/>
            <w:left w:val="none" w:sz="0" w:space="0" w:color="auto"/>
            <w:bottom w:val="none" w:sz="0" w:space="0" w:color="auto"/>
            <w:right w:val="none" w:sz="0" w:space="0" w:color="auto"/>
          </w:divBdr>
        </w:div>
        <w:div w:id="1910730098">
          <w:marLeft w:val="0"/>
          <w:marRight w:val="0"/>
          <w:marTop w:val="0"/>
          <w:marBottom w:val="0"/>
          <w:divBdr>
            <w:top w:val="none" w:sz="0" w:space="0" w:color="auto"/>
            <w:left w:val="none" w:sz="0" w:space="0" w:color="auto"/>
            <w:bottom w:val="none" w:sz="0" w:space="0" w:color="auto"/>
            <w:right w:val="none" w:sz="0" w:space="0" w:color="auto"/>
          </w:divBdr>
        </w:div>
        <w:div w:id="1350176100">
          <w:marLeft w:val="0"/>
          <w:marRight w:val="0"/>
          <w:marTop w:val="0"/>
          <w:marBottom w:val="0"/>
          <w:divBdr>
            <w:top w:val="none" w:sz="0" w:space="0" w:color="auto"/>
            <w:left w:val="none" w:sz="0" w:space="0" w:color="auto"/>
            <w:bottom w:val="none" w:sz="0" w:space="0" w:color="auto"/>
            <w:right w:val="none" w:sz="0" w:space="0" w:color="auto"/>
          </w:divBdr>
        </w:div>
        <w:div w:id="885793869">
          <w:marLeft w:val="0"/>
          <w:marRight w:val="0"/>
          <w:marTop w:val="0"/>
          <w:marBottom w:val="0"/>
          <w:divBdr>
            <w:top w:val="none" w:sz="0" w:space="0" w:color="auto"/>
            <w:left w:val="none" w:sz="0" w:space="0" w:color="auto"/>
            <w:bottom w:val="none" w:sz="0" w:space="0" w:color="auto"/>
            <w:right w:val="none" w:sz="0" w:space="0" w:color="auto"/>
          </w:divBdr>
        </w:div>
        <w:div w:id="1040057534">
          <w:marLeft w:val="0"/>
          <w:marRight w:val="0"/>
          <w:marTop w:val="0"/>
          <w:marBottom w:val="0"/>
          <w:divBdr>
            <w:top w:val="none" w:sz="0" w:space="0" w:color="auto"/>
            <w:left w:val="none" w:sz="0" w:space="0" w:color="auto"/>
            <w:bottom w:val="none" w:sz="0" w:space="0" w:color="auto"/>
            <w:right w:val="none" w:sz="0" w:space="0" w:color="auto"/>
          </w:divBdr>
        </w:div>
        <w:div w:id="34737703">
          <w:marLeft w:val="0"/>
          <w:marRight w:val="0"/>
          <w:marTop w:val="0"/>
          <w:marBottom w:val="0"/>
          <w:divBdr>
            <w:top w:val="none" w:sz="0" w:space="0" w:color="auto"/>
            <w:left w:val="none" w:sz="0" w:space="0" w:color="auto"/>
            <w:bottom w:val="none" w:sz="0" w:space="0" w:color="auto"/>
            <w:right w:val="none" w:sz="0" w:space="0" w:color="auto"/>
          </w:divBdr>
        </w:div>
        <w:div w:id="24327520">
          <w:marLeft w:val="0"/>
          <w:marRight w:val="0"/>
          <w:marTop w:val="0"/>
          <w:marBottom w:val="0"/>
          <w:divBdr>
            <w:top w:val="none" w:sz="0" w:space="0" w:color="auto"/>
            <w:left w:val="none" w:sz="0" w:space="0" w:color="auto"/>
            <w:bottom w:val="none" w:sz="0" w:space="0" w:color="auto"/>
            <w:right w:val="none" w:sz="0" w:space="0" w:color="auto"/>
          </w:divBdr>
        </w:div>
        <w:div w:id="985742276">
          <w:marLeft w:val="0"/>
          <w:marRight w:val="0"/>
          <w:marTop w:val="0"/>
          <w:marBottom w:val="0"/>
          <w:divBdr>
            <w:top w:val="none" w:sz="0" w:space="0" w:color="auto"/>
            <w:left w:val="none" w:sz="0" w:space="0" w:color="auto"/>
            <w:bottom w:val="none" w:sz="0" w:space="0" w:color="auto"/>
            <w:right w:val="none" w:sz="0" w:space="0" w:color="auto"/>
          </w:divBdr>
          <w:divsChild>
            <w:div w:id="1063915372">
              <w:marLeft w:val="0"/>
              <w:marRight w:val="0"/>
              <w:marTop w:val="0"/>
              <w:marBottom w:val="0"/>
              <w:divBdr>
                <w:top w:val="none" w:sz="0" w:space="0" w:color="auto"/>
                <w:left w:val="none" w:sz="0" w:space="0" w:color="auto"/>
                <w:bottom w:val="none" w:sz="0" w:space="0" w:color="auto"/>
                <w:right w:val="none" w:sz="0" w:space="0" w:color="auto"/>
              </w:divBdr>
            </w:div>
            <w:div w:id="1060325108">
              <w:marLeft w:val="0"/>
              <w:marRight w:val="0"/>
              <w:marTop w:val="0"/>
              <w:marBottom w:val="0"/>
              <w:divBdr>
                <w:top w:val="none" w:sz="0" w:space="0" w:color="auto"/>
                <w:left w:val="none" w:sz="0" w:space="0" w:color="auto"/>
                <w:bottom w:val="none" w:sz="0" w:space="0" w:color="auto"/>
                <w:right w:val="none" w:sz="0" w:space="0" w:color="auto"/>
              </w:divBdr>
            </w:div>
            <w:div w:id="343216870">
              <w:marLeft w:val="0"/>
              <w:marRight w:val="0"/>
              <w:marTop w:val="0"/>
              <w:marBottom w:val="0"/>
              <w:divBdr>
                <w:top w:val="none" w:sz="0" w:space="0" w:color="auto"/>
                <w:left w:val="none" w:sz="0" w:space="0" w:color="auto"/>
                <w:bottom w:val="none" w:sz="0" w:space="0" w:color="auto"/>
                <w:right w:val="none" w:sz="0" w:space="0" w:color="auto"/>
              </w:divBdr>
            </w:div>
            <w:div w:id="397245795">
              <w:marLeft w:val="0"/>
              <w:marRight w:val="0"/>
              <w:marTop w:val="0"/>
              <w:marBottom w:val="0"/>
              <w:divBdr>
                <w:top w:val="none" w:sz="0" w:space="0" w:color="auto"/>
                <w:left w:val="none" w:sz="0" w:space="0" w:color="auto"/>
                <w:bottom w:val="none" w:sz="0" w:space="0" w:color="auto"/>
                <w:right w:val="none" w:sz="0" w:space="0" w:color="auto"/>
              </w:divBdr>
            </w:div>
            <w:div w:id="1994216538">
              <w:marLeft w:val="0"/>
              <w:marRight w:val="0"/>
              <w:marTop w:val="0"/>
              <w:marBottom w:val="0"/>
              <w:divBdr>
                <w:top w:val="none" w:sz="0" w:space="0" w:color="auto"/>
                <w:left w:val="none" w:sz="0" w:space="0" w:color="auto"/>
                <w:bottom w:val="none" w:sz="0" w:space="0" w:color="auto"/>
                <w:right w:val="none" w:sz="0" w:space="0" w:color="auto"/>
              </w:divBdr>
            </w:div>
            <w:div w:id="637496596">
              <w:marLeft w:val="0"/>
              <w:marRight w:val="0"/>
              <w:marTop w:val="0"/>
              <w:marBottom w:val="0"/>
              <w:divBdr>
                <w:top w:val="none" w:sz="0" w:space="0" w:color="auto"/>
                <w:left w:val="none" w:sz="0" w:space="0" w:color="auto"/>
                <w:bottom w:val="none" w:sz="0" w:space="0" w:color="auto"/>
                <w:right w:val="none" w:sz="0" w:space="0" w:color="auto"/>
              </w:divBdr>
            </w:div>
          </w:divsChild>
        </w:div>
        <w:div w:id="1773089352">
          <w:marLeft w:val="0"/>
          <w:marRight w:val="0"/>
          <w:marTop w:val="0"/>
          <w:marBottom w:val="0"/>
          <w:divBdr>
            <w:top w:val="none" w:sz="0" w:space="0" w:color="auto"/>
            <w:left w:val="none" w:sz="0" w:space="0" w:color="auto"/>
            <w:bottom w:val="none" w:sz="0" w:space="0" w:color="auto"/>
            <w:right w:val="none" w:sz="0" w:space="0" w:color="auto"/>
          </w:divBdr>
        </w:div>
        <w:div w:id="2131891982">
          <w:marLeft w:val="0"/>
          <w:marRight w:val="0"/>
          <w:marTop w:val="0"/>
          <w:marBottom w:val="0"/>
          <w:divBdr>
            <w:top w:val="none" w:sz="0" w:space="0" w:color="auto"/>
            <w:left w:val="none" w:sz="0" w:space="0" w:color="auto"/>
            <w:bottom w:val="none" w:sz="0" w:space="0" w:color="auto"/>
            <w:right w:val="none" w:sz="0" w:space="0" w:color="auto"/>
          </w:divBdr>
        </w:div>
        <w:div w:id="314382174">
          <w:marLeft w:val="0"/>
          <w:marRight w:val="0"/>
          <w:marTop w:val="0"/>
          <w:marBottom w:val="0"/>
          <w:divBdr>
            <w:top w:val="none" w:sz="0" w:space="0" w:color="auto"/>
            <w:left w:val="none" w:sz="0" w:space="0" w:color="auto"/>
            <w:bottom w:val="none" w:sz="0" w:space="0" w:color="auto"/>
            <w:right w:val="none" w:sz="0" w:space="0" w:color="auto"/>
          </w:divBdr>
        </w:div>
        <w:div w:id="2076003618">
          <w:marLeft w:val="0"/>
          <w:marRight w:val="0"/>
          <w:marTop w:val="0"/>
          <w:marBottom w:val="0"/>
          <w:divBdr>
            <w:top w:val="none" w:sz="0" w:space="0" w:color="auto"/>
            <w:left w:val="none" w:sz="0" w:space="0" w:color="auto"/>
            <w:bottom w:val="none" w:sz="0" w:space="0" w:color="auto"/>
            <w:right w:val="none" w:sz="0" w:space="0" w:color="auto"/>
          </w:divBdr>
        </w:div>
        <w:div w:id="924189054">
          <w:marLeft w:val="0"/>
          <w:marRight w:val="0"/>
          <w:marTop w:val="0"/>
          <w:marBottom w:val="0"/>
          <w:divBdr>
            <w:top w:val="none" w:sz="0" w:space="0" w:color="auto"/>
            <w:left w:val="none" w:sz="0" w:space="0" w:color="auto"/>
            <w:bottom w:val="none" w:sz="0" w:space="0" w:color="auto"/>
            <w:right w:val="none" w:sz="0" w:space="0" w:color="auto"/>
          </w:divBdr>
        </w:div>
        <w:div w:id="1250040905">
          <w:marLeft w:val="0"/>
          <w:marRight w:val="0"/>
          <w:marTop w:val="0"/>
          <w:marBottom w:val="0"/>
          <w:divBdr>
            <w:top w:val="none" w:sz="0" w:space="0" w:color="auto"/>
            <w:left w:val="none" w:sz="0" w:space="0" w:color="auto"/>
            <w:bottom w:val="none" w:sz="0" w:space="0" w:color="auto"/>
            <w:right w:val="none" w:sz="0" w:space="0" w:color="auto"/>
          </w:divBdr>
        </w:div>
        <w:div w:id="527183767">
          <w:marLeft w:val="0"/>
          <w:marRight w:val="0"/>
          <w:marTop w:val="0"/>
          <w:marBottom w:val="0"/>
          <w:divBdr>
            <w:top w:val="none" w:sz="0" w:space="0" w:color="auto"/>
            <w:left w:val="none" w:sz="0" w:space="0" w:color="auto"/>
            <w:bottom w:val="none" w:sz="0" w:space="0" w:color="auto"/>
            <w:right w:val="none" w:sz="0" w:space="0" w:color="auto"/>
          </w:divBdr>
        </w:div>
        <w:div w:id="1032613134">
          <w:marLeft w:val="0"/>
          <w:marRight w:val="0"/>
          <w:marTop w:val="0"/>
          <w:marBottom w:val="0"/>
          <w:divBdr>
            <w:top w:val="none" w:sz="0" w:space="0" w:color="auto"/>
            <w:left w:val="none" w:sz="0" w:space="0" w:color="auto"/>
            <w:bottom w:val="none" w:sz="0" w:space="0" w:color="auto"/>
            <w:right w:val="none" w:sz="0" w:space="0" w:color="auto"/>
          </w:divBdr>
        </w:div>
        <w:div w:id="1284456471">
          <w:marLeft w:val="0"/>
          <w:marRight w:val="0"/>
          <w:marTop w:val="0"/>
          <w:marBottom w:val="0"/>
          <w:divBdr>
            <w:top w:val="none" w:sz="0" w:space="0" w:color="auto"/>
            <w:left w:val="none" w:sz="0" w:space="0" w:color="auto"/>
            <w:bottom w:val="none" w:sz="0" w:space="0" w:color="auto"/>
            <w:right w:val="none" w:sz="0" w:space="0" w:color="auto"/>
          </w:divBdr>
        </w:div>
        <w:div w:id="1256405416">
          <w:marLeft w:val="0"/>
          <w:marRight w:val="0"/>
          <w:marTop w:val="0"/>
          <w:marBottom w:val="0"/>
          <w:divBdr>
            <w:top w:val="none" w:sz="0" w:space="0" w:color="auto"/>
            <w:left w:val="none" w:sz="0" w:space="0" w:color="auto"/>
            <w:bottom w:val="none" w:sz="0" w:space="0" w:color="auto"/>
            <w:right w:val="none" w:sz="0" w:space="0" w:color="auto"/>
          </w:divBdr>
          <w:divsChild>
            <w:div w:id="1116101773">
              <w:marLeft w:val="0"/>
              <w:marRight w:val="0"/>
              <w:marTop w:val="0"/>
              <w:marBottom w:val="0"/>
              <w:divBdr>
                <w:top w:val="none" w:sz="0" w:space="0" w:color="auto"/>
                <w:left w:val="none" w:sz="0" w:space="0" w:color="auto"/>
                <w:bottom w:val="none" w:sz="0" w:space="0" w:color="auto"/>
                <w:right w:val="none" w:sz="0" w:space="0" w:color="auto"/>
              </w:divBdr>
            </w:div>
            <w:div w:id="1045256194">
              <w:marLeft w:val="0"/>
              <w:marRight w:val="0"/>
              <w:marTop w:val="0"/>
              <w:marBottom w:val="0"/>
              <w:divBdr>
                <w:top w:val="none" w:sz="0" w:space="0" w:color="auto"/>
                <w:left w:val="none" w:sz="0" w:space="0" w:color="auto"/>
                <w:bottom w:val="none" w:sz="0" w:space="0" w:color="auto"/>
                <w:right w:val="none" w:sz="0" w:space="0" w:color="auto"/>
              </w:divBdr>
            </w:div>
            <w:div w:id="1655989472">
              <w:marLeft w:val="0"/>
              <w:marRight w:val="0"/>
              <w:marTop w:val="0"/>
              <w:marBottom w:val="0"/>
              <w:divBdr>
                <w:top w:val="none" w:sz="0" w:space="0" w:color="auto"/>
                <w:left w:val="none" w:sz="0" w:space="0" w:color="auto"/>
                <w:bottom w:val="none" w:sz="0" w:space="0" w:color="auto"/>
                <w:right w:val="none" w:sz="0" w:space="0" w:color="auto"/>
              </w:divBdr>
            </w:div>
            <w:div w:id="340737620">
              <w:marLeft w:val="0"/>
              <w:marRight w:val="0"/>
              <w:marTop w:val="0"/>
              <w:marBottom w:val="0"/>
              <w:divBdr>
                <w:top w:val="none" w:sz="0" w:space="0" w:color="auto"/>
                <w:left w:val="none" w:sz="0" w:space="0" w:color="auto"/>
                <w:bottom w:val="none" w:sz="0" w:space="0" w:color="auto"/>
                <w:right w:val="none" w:sz="0" w:space="0" w:color="auto"/>
              </w:divBdr>
            </w:div>
            <w:div w:id="794369822">
              <w:marLeft w:val="0"/>
              <w:marRight w:val="0"/>
              <w:marTop w:val="0"/>
              <w:marBottom w:val="0"/>
              <w:divBdr>
                <w:top w:val="none" w:sz="0" w:space="0" w:color="auto"/>
                <w:left w:val="none" w:sz="0" w:space="0" w:color="auto"/>
                <w:bottom w:val="none" w:sz="0" w:space="0" w:color="auto"/>
                <w:right w:val="none" w:sz="0" w:space="0" w:color="auto"/>
              </w:divBdr>
            </w:div>
          </w:divsChild>
        </w:div>
        <w:div w:id="1753813614">
          <w:marLeft w:val="0"/>
          <w:marRight w:val="0"/>
          <w:marTop w:val="0"/>
          <w:marBottom w:val="0"/>
          <w:divBdr>
            <w:top w:val="none" w:sz="0" w:space="0" w:color="auto"/>
            <w:left w:val="none" w:sz="0" w:space="0" w:color="auto"/>
            <w:bottom w:val="none" w:sz="0" w:space="0" w:color="auto"/>
            <w:right w:val="none" w:sz="0" w:space="0" w:color="auto"/>
          </w:divBdr>
        </w:div>
        <w:div w:id="428700482">
          <w:marLeft w:val="0"/>
          <w:marRight w:val="0"/>
          <w:marTop w:val="0"/>
          <w:marBottom w:val="0"/>
          <w:divBdr>
            <w:top w:val="none" w:sz="0" w:space="0" w:color="auto"/>
            <w:left w:val="none" w:sz="0" w:space="0" w:color="auto"/>
            <w:bottom w:val="none" w:sz="0" w:space="0" w:color="auto"/>
            <w:right w:val="none" w:sz="0" w:space="0" w:color="auto"/>
          </w:divBdr>
          <w:divsChild>
            <w:div w:id="355083808">
              <w:marLeft w:val="0"/>
              <w:marRight w:val="0"/>
              <w:marTop w:val="0"/>
              <w:marBottom w:val="0"/>
              <w:divBdr>
                <w:top w:val="none" w:sz="0" w:space="0" w:color="auto"/>
                <w:left w:val="none" w:sz="0" w:space="0" w:color="auto"/>
                <w:bottom w:val="none" w:sz="0" w:space="0" w:color="auto"/>
                <w:right w:val="none" w:sz="0" w:space="0" w:color="auto"/>
              </w:divBdr>
            </w:div>
            <w:div w:id="912816959">
              <w:marLeft w:val="0"/>
              <w:marRight w:val="0"/>
              <w:marTop w:val="0"/>
              <w:marBottom w:val="0"/>
              <w:divBdr>
                <w:top w:val="none" w:sz="0" w:space="0" w:color="auto"/>
                <w:left w:val="none" w:sz="0" w:space="0" w:color="auto"/>
                <w:bottom w:val="none" w:sz="0" w:space="0" w:color="auto"/>
                <w:right w:val="none" w:sz="0" w:space="0" w:color="auto"/>
              </w:divBdr>
            </w:div>
            <w:div w:id="1390180501">
              <w:marLeft w:val="0"/>
              <w:marRight w:val="0"/>
              <w:marTop w:val="0"/>
              <w:marBottom w:val="0"/>
              <w:divBdr>
                <w:top w:val="none" w:sz="0" w:space="0" w:color="auto"/>
                <w:left w:val="none" w:sz="0" w:space="0" w:color="auto"/>
                <w:bottom w:val="none" w:sz="0" w:space="0" w:color="auto"/>
                <w:right w:val="none" w:sz="0" w:space="0" w:color="auto"/>
              </w:divBdr>
            </w:div>
            <w:div w:id="603341299">
              <w:marLeft w:val="0"/>
              <w:marRight w:val="0"/>
              <w:marTop w:val="0"/>
              <w:marBottom w:val="0"/>
              <w:divBdr>
                <w:top w:val="none" w:sz="0" w:space="0" w:color="auto"/>
                <w:left w:val="none" w:sz="0" w:space="0" w:color="auto"/>
                <w:bottom w:val="none" w:sz="0" w:space="0" w:color="auto"/>
                <w:right w:val="none" w:sz="0" w:space="0" w:color="auto"/>
              </w:divBdr>
            </w:div>
          </w:divsChild>
        </w:div>
        <w:div w:id="1187910839">
          <w:marLeft w:val="0"/>
          <w:marRight w:val="0"/>
          <w:marTop w:val="0"/>
          <w:marBottom w:val="0"/>
          <w:divBdr>
            <w:top w:val="none" w:sz="0" w:space="0" w:color="auto"/>
            <w:left w:val="none" w:sz="0" w:space="0" w:color="auto"/>
            <w:bottom w:val="none" w:sz="0" w:space="0" w:color="auto"/>
            <w:right w:val="none" w:sz="0" w:space="0" w:color="auto"/>
          </w:divBdr>
        </w:div>
        <w:div w:id="944112132">
          <w:marLeft w:val="0"/>
          <w:marRight w:val="0"/>
          <w:marTop w:val="0"/>
          <w:marBottom w:val="0"/>
          <w:divBdr>
            <w:top w:val="none" w:sz="0" w:space="0" w:color="auto"/>
            <w:left w:val="none" w:sz="0" w:space="0" w:color="auto"/>
            <w:bottom w:val="none" w:sz="0" w:space="0" w:color="auto"/>
            <w:right w:val="none" w:sz="0" w:space="0" w:color="auto"/>
          </w:divBdr>
        </w:div>
        <w:div w:id="1278490661">
          <w:marLeft w:val="0"/>
          <w:marRight w:val="0"/>
          <w:marTop w:val="0"/>
          <w:marBottom w:val="0"/>
          <w:divBdr>
            <w:top w:val="none" w:sz="0" w:space="0" w:color="auto"/>
            <w:left w:val="none" w:sz="0" w:space="0" w:color="auto"/>
            <w:bottom w:val="none" w:sz="0" w:space="0" w:color="auto"/>
            <w:right w:val="none" w:sz="0" w:space="0" w:color="auto"/>
          </w:divBdr>
        </w:div>
        <w:div w:id="2131168870">
          <w:marLeft w:val="0"/>
          <w:marRight w:val="0"/>
          <w:marTop w:val="0"/>
          <w:marBottom w:val="0"/>
          <w:divBdr>
            <w:top w:val="none" w:sz="0" w:space="0" w:color="auto"/>
            <w:left w:val="none" w:sz="0" w:space="0" w:color="auto"/>
            <w:bottom w:val="none" w:sz="0" w:space="0" w:color="auto"/>
            <w:right w:val="none" w:sz="0" w:space="0" w:color="auto"/>
          </w:divBdr>
        </w:div>
        <w:div w:id="1630889798">
          <w:marLeft w:val="0"/>
          <w:marRight w:val="0"/>
          <w:marTop w:val="0"/>
          <w:marBottom w:val="0"/>
          <w:divBdr>
            <w:top w:val="none" w:sz="0" w:space="0" w:color="auto"/>
            <w:left w:val="none" w:sz="0" w:space="0" w:color="auto"/>
            <w:bottom w:val="none" w:sz="0" w:space="0" w:color="auto"/>
            <w:right w:val="none" w:sz="0" w:space="0" w:color="auto"/>
          </w:divBdr>
        </w:div>
        <w:div w:id="546575035">
          <w:marLeft w:val="0"/>
          <w:marRight w:val="0"/>
          <w:marTop w:val="0"/>
          <w:marBottom w:val="0"/>
          <w:divBdr>
            <w:top w:val="none" w:sz="0" w:space="0" w:color="auto"/>
            <w:left w:val="none" w:sz="0" w:space="0" w:color="auto"/>
            <w:bottom w:val="none" w:sz="0" w:space="0" w:color="auto"/>
            <w:right w:val="none" w:sz="0" w:space="0" w:color="auto"/>
          </w:divBdr>
        </w:div>
        <w:div w:id="423844660">
          <w:marLeft w:val="0"/>
          <w:marRight w:val="0"/>
          <w:marTop w:val="0"/>
          <w:marBottom w:val="0"/>
          <w:divBdr>
            <w:top w:val="none" w:sz="0" w:space="0" w:color="auto"/>
            <w:left w:val="none" w:sz="0" w:space="0" w:color="auto"/>
            <w:bottom w:val="none" w:sz="0" w:space="0" w:color="auto"/>
            <w:right w:val="none" w:sz="0" w:space="0" w:color="auto"/>
          </w:divBdr>
        </w:div>
        <w:div w:id="121655944">
          <w:marLeft w:val="0"/>
          <w:marRight w:val="0"/>
          <w:marTop w:val="0"/>
          <w:marBottom w:val="0"/>
          <w:divBdr>
            <w:top w:val="none" w:sz="0" w:space="0" w:color="auto"/>
            <w:left w:val="none" w:sz="0" w:space="0" w:color="auto"/>
            <w:bottom w:val="none" w:sz="0" w:space="0" w:color="auto"/>
            <w:right w:val="none" w:sz="0" w:space="0" w:color="auto"/>
          </w:divBdr>
        </w:div>
        <w:div w:id="531068865">
          <w:marLeft w:val="0"/>
          <w:marRight w:val="0"/>
          <w:marTop w:val="0"/>
          <w:marBottom w:val="0"/>
          <w:divBdr>
            <w:top w:val="none" w:sz="0" w:space="0" w:color="auto"/>
            <w:left w:val="none" w:sz="0" w:space="0" w:color="auto"/>
            <w:bottom w:val="none" w:sz="0" w:space="0" w:color="auto"/>
            <w:right w:val="none" w:sz="0" w:space="0" w:color="auto"/>
          </w:divBdr>
          <w:divsChild>
            <w:div w:id="1289898854">
              <w:marLeft w:val="0"/>
              <w:marRight w:val="0"/>
              <w:marTop w:val="0"/>
              <w:marBottom w:val="0"/>
              <w:divBdr>
                <w:top w:val="none" w:sz="0" w:space="0" w:color="auto"/>
                <w:left w:val="none" w:sz="0" w:space="0" w:color="auto"/>
                <w:bottom w:val="none" w:sz="0" w:space="0" w:color="auto"/>
                <w:right w:val="none" w:sz="0" w:space="0" w:color="auto"/>
              </w:divBdr>
            </w:div>
          </w:divsChild>
        </w:div>
        <w:div w:id="1294285583">
          <w:marLeft w:val="0"/>
          <w:marRight w:val="0"/>
          <w:marTop w:val="0"/>
          <w:marBottom w:val="0"/>
          <w:divBdr>
            <w:top w:val="none" w:sz="0" w:space="0" w:color="auto"/>
            <w:left w:val="none" w:sz="0" w:space="0" w:color="auto"/>
            <w:bottom w:val="none" w:sz="0" w:space="0" w:color="auto"/>
            <w:right w:val="none" w:sz="0" w:space="0" w:color="auto"/>
          </w:divBdr>
        </w:div>
        <w:div w:id="1297490216">
          <w:marLeft w:val="0"/>
          <w:marRight w:val="0"/>
          <w:marTop w:val="0"/>
          <w:marBottom w:val="0"/>
          <w:divBdr>
            <w:top w:val="none" w:sz="0" w:space="0" w:color="auto"/>
            <w:left w:val="none" w:sz="0" w:space="0" w:color="auto"/>
            <w:bottom w:val="none" w:sz="0" w:space="0" w:color="auto"/>
            <w:right w:val="none" w:sz="0" w:space="0" w:color="auto"/>
          </w:divBdr>
        </w:div>
        <w:div w:id="10113020">
          <w:marLeft w:val="0"/>
          <w:marRight w:val="0"/>
          <w:marTop w:val="0"/>
          <w:marBottom w:val="0"/>
          <w:divBdr>
            <w:top w:val="none" w:sz="0" w:space="0" w:color="auto"/>
            <w:left w:val="none" w:sz="0" w:space="0" w:color="auto"/>
            <w:bottom w:val="none" w:sz="0" w:space="0" w:color="auto"/>
            <w:right w:val="none" w:sz="0" w:space="0" w:color="auto"/>
          </w:divBdr>
        </w:div>
        <w:div w:id="88893453">
          <w:marLeft w:val="0"/>
          <w:marRight w:val="0"/>
          <w:marTop w:val="0"/>
          <w:marBottom w:val="0"/>
          <w:divBdr>
            <w:top w:val="none" w:sz="0" w:space="0" w:color="auto"/>
            <w:left w:val="none" w:sz="0" w:space="0" w:color="auto"/>
            <w:bottom w:val="none" w:sz="0" w:space="0" w:color="auto"/>
            <w:right w:val="none" w:sz="0" w:space="0" w:color="auto"/>
          </w:divBdr>
        </w:div>
        <w:div w:id="1338996082">
          <w:marLeft w:val="0"/>
          <w:marRight w:val="0"/>
          <w:marTop w:val="0"/>
          <w:marBottom w:val="0"/>
          <w:divBdr>
            <w:top w:val="none" w:sz="0" w:space="0" w:color="auto"/>
            <w:left w:val="none" w:sz="0" w:space="0" w:color="auto"/>
            <w:bottom w:val="none" w:sz="0" w:space="0" w:color="auto"/>
            <w:right w:val="none" w:sz="0" w:space="0" w:color="auto"/>
          </w:divBdr>
        </w:div>
        <w:div w:id="777875797">
          <w:marLeft w:val="0"/>
          <w:marRight w:val="0"/>
          <w:marTop w:val="0"/>
          <w:marBottom w:val="0"/>
          <w:divBdr>
            <w:top w:val="none" w:sz="0" w:space="0" w:color="auto"/>
            <w:left w:val="none" w:sz="0" w:space="0" w:color="auto"/>
            <w:bottom w:val="none" w:sz="0" w:space="0" w:color="auto"/>
            <w:right w:val="none" w:sz="0" w:space="0" w:color="auto"/>
          </w:divBdr>
        </w:div>
        <w:div w:id="106701039">
          <w:marLeft w:val="0"/>
          <w:marRight w:val="0"/>
          <w:marTop w:val="0"/>
          <w:marBottom w:val="0"/>
          <w:divBdr>
            <w:top w:val="none" w:sz="0" w:space="0" w:color="auto"/>
            <w:left w:val="none" w:sz="0" w:space="0" w:color="auto"/>
            <w:bottom w:val="none" w:sz="0" w:space="0" w:color="auto"/>
            <w:right w:val="none" w:sz="0" w:space="0" w:color="auto"/>
          </w:divBdr>
        </w:div>
        <w:div w:id="212011129">
          <w:marLeft w:val="0"/>
          <w:marRight w:val="0"/>
          <w:marTop w:val="0"/>
          <w:marBottom w:val="0"/>
          <w:divBdr>
            <w:top w:val="none" w:sz="0" w:space="0" w:color="auto"/>
            <w:left w:val="none" w:sz="0" w:space="0" w:color="auto"/>
            <w:bottom w:val="none" w:sz="0" w:space="0" w:color="auto"/>
            <w:right w:val="none" w:sz="0" w:space="0" w:color="auto"/>
          </w:divBdr>
        </w:div>
        <w:div w:id="646476414">
          <w:marLeft w:val="0"/>
          <w:marRight w:val="0"/>
          <w:marTop w:val="0"/>
          <w:marBottom w:val="0"/>
          <w:divBdr>
            <w:top w:val="none" w:sz="0" w:space="0" w:color="auto"/>
            <w:left w:val="none" w:sz="0" w:space="0" w:color="auto"/>
            <w:bottom w:val="none" w:sz="0" w:space="0" w:color="auto"/>
            <w:right w:val="none" w:sz="0" w:space="0" w:color="auto"/>
          </w:divBdr>
        </w:div>
        <w:div w:id="1756244034">
          <w:marLeft w:val="0"/>
          <w:marRight w:val="0"/>
          <w:marTop w:val="0"/>
          <w:marBottom w:val="0"/>
          <w:divBdr>
            <w:top w:val="none" w:sz="0" w:space="0" w:color="auto"/>
            <w:left w:val="none" w:sz="0" w:space="0" w:color="auto"/>
            <w:bottom w:val="none" w:sz="0" w:space="0" w:color="auto"/>
            <w:right w:val="none" w:sz="0" w:space="0" w:color="auto"/>
          </w:divBdr>
        </w:div>
        <w:div w:id="2034528120">
          <w:marLeft w:val="0"/>
          <w:marRight w:val="0"/>
          <w:marTop w:val="0"/>
          <w:marBottom w:val="0"/>
          <w:divBdr>
            <w:top w:val="none" w:sz="0" w:space="0" w:color="auto"/>
            <w:left w:val="none" w:sz="0" w:space="0" w:color="auto"/>
            <w:bottom w:val="none" w:sz="0" w:space="0" w:color="auto"/>
            <w:right w:val="none" w:sz="0" w:space="0" w:color="auto"/>
          </w:divBdr>
        </w:div>
        <w:div w:id="279529110">
          <w:marLeft w:val="0"/>
          <w:marRight w:val="0"/>
          <w:marTop w:val="0"/>
          <w:marBottom w:val="0"/>
          <w:divBdr>
            <w:top w:val="none" w:sz="0" w:space="0" w:color="auto"/>
            <w:left w:val="none" w:sz="0" w:space="0" w:color="auto"/>
            <w:bottom w:val="none" w:sz="0" w:space="0" w:color="auto"/>
            <w:right w:val="none" w:sz="0" w:space="0" w:color="auto"/>
          </w:divBdr>
          <w:divsChild>
            <w:div w:id="151069725">
              <w:marLeft w:val="0"/>
              <w:marRight w:val="0"/>
              <w:marTop w:val="0"/>
              <w:marBottom w:val="0"/>
              <w:divBdr>
                <w:top w:val="none" w:sz="0" w:space="0" w:color="auto"/>
                <w:left w:val="none" w:sz="0" w:space="0" w:color="auto"/>
                <w:bottom w:val="none" w:sz="0" w:space="0" w:color="auto"/>
                <w:right w:val="none" w:sz="0" w:space="0" w:color="auto"/>
              </w:divBdr>
            </w:div>
          </w:divsChild>
        </w:div>
        <w:div w:id="145979610">
          <w:marLeft w:val="0"/>
          <w:marRight w:val="0"/>
          <w:marTop w:val="0"/>
          <w:marBottom w:val="0"/>
          <w:divBdr>
            <w:top w:val="none" w:sz="0" w:space="0" w:color="auto"/>
            <w:left w:val="none" w:sz="0" w:space="0" w:color="auto"/>
            <w:bottom w:val="none" w:sz="0" w:space="0" w:color="auto"/>
            <w:right w:val="none" w:sz="0" w:space="0" w:color="auto"/>
          </w:divBdr>
        </w:div>
        <w:div w:id="2134249950">
          <w:marLeft w:val="0"/>
          <w:marRight w:val="0"/>
          <w:marTop w:val="0"/>
          <w:marBottom w:val="0"/>
          <w:divBdr>
            <w:top w:val="none" w:sz="0" w:space="0" w:color="auto"/>
            <w:left w:val="none" w:sz="0" w:space="0" w:color="auto"/>
            <w:bottom w:val="none" w:sz="0" w:space="0" w:color="auto"/>
            <w:right w:val="none" w:sz="0" w:space="0" w:color="auto"/>
          </w:divBdr>
        </w:div>
        <w:div w:id="280579879">
          <w:marLeft w:val="0"/>
          <w:marRight w:val="0"/>
          <w:marTop w:val="0"/>
          <w:marBottom w:val="0"/>
          <w:divBdr>
            <w:top w:val="none" w:sz="0" w:space="0" w:color="auto"/>
            <w:left w:val="none" w:sz="0" w:space="0" w:color="auto"/>
            <w:bottom w:val="none" w:sz="0" w:space="0" w:color="auto"/>
            <w:right w:val="none" w:sz="0" w:space="0" w:color="auto"/>
          </w:divBdr>
        </w:div>
        <w:div w:id="903640502">
          <w:marLeft w:val="0"/>
          <w:marRight w:val="0"/>
          <w:marTop w:val="0"/>
          <w:marBottom w:val="0"/>
          <w:divBdr>
            <w:top w:val="none" w:sz="0" w:space="0" w:color="auto"/>
            <w:left w:val="none" w:sz="0" w:space="0" w:color="auto"/>
            <w:bottom w:val="none" w:sz="0" w:space="0" w:color="auto"/>
            <w:right w:val="none" w:sz="0" w:space="0" w:color="auto"/>
          </w:divBdr>
        </w:div>
        <w:div w:id="1942758655">
          <w:marLeft w:val="0"/>
          <w:marRight w:val="0"/>
          <w:marTop w:val="0"/>
          <w:marBottom w:val="0"/>
          <w:divBdr>
            <w:top w:val="none" w:sz="0" w:space="0" w:color="auto"/>
            <w:left w:val="none" w:sz="0" w:space="0" w:color="auto"/>
            <w:bottom w:val="none" w:sz="0" w:space="0" w:color="auto"/>
            <w:right w:val="none" w:sz="0" w:space="0" w:color="auto"/>
          </w:divBdr>
        </w:div>
        <w:div w:id="1705406051">
          <w:marLeft w:val="0"/>
          <w:marRight w:val="0"/>
          <w:marTop w:val="0"/>
          <w:marBottom w:val="0"/>
          <w:divBdr>
            <w:top w:val="none" w:sz="0" w:space="0" w:color="auto"/>
            <w:left w:val="none" w:sz="0" w:space="0" w:color="auto"/>
            <w:bottom w:val="none" w:sz="0" w:space="0" w:color="auto"/>
            <w:right w:val="none" w:sz="0" w:space="0" w:color="auto"/>
          </w:divBdr>
        </w:div>
        <w:div w:id="1665236227">
          <w:marLeft w:val="0"/>
          <w:marRight w:val="0"/>
          <w:marTop w:val="0"/>
          <w:marBottom w:val="0"/>
          <w:divBdr>
            <w:top w:val="none" w:sz="0" w:space="0" w:color="auto"/>
            <w:left w:val="none" w:sz="0" w:space="0" w:color="auto"/>
            <w:bottom w:val="none" w:sz="0" w:space="0" w:color="auto"/>
            <w:right w:val="none" w:sz="0" w:space="0" w:color="auto"/>
          </w:divBdr>
        </w:div>
        <w:div w:id="145056559">
          <w:marLeft w:val="0"/>
          <w:marRight w:val="0"/>
          <w:marTop w:val="0"/>
          <w:marBottom w:val="0"/>
          <w:divBdr>
            <w:top w:val="none" w:sz="0" w:space="0" w:color="auto"/>
            <w:left w:val="none" w:sz="0" w:space="0" w:color="auto"/>
            <w:bottom w:val="none" w:sz="0" w:space="0" w:color="auto"/>
            <w:right w:val="none" w:sz="0" w:space="0" w:color="auto"/>
          </w:divBdr>
        </w:div>
        <w:div w:id="864825837">
          <w:marLeft w:val="0"/>
          <w:marRight w:val="0"/>
          <w:marTop w:val="0"/>
          <w:marBottom w:val="0"/>
          <w:divBdr>
            <w:top w:val="none" w:sz="0" w:space="0" w:color="auto"/>
            <w:left w:val="none" w:sz="0" w:space="0" w:color="auto"/>
            <w:bottom w:val="none" w:sz="0" w:space="0" w:color="auto"/>
            <w:right w:val="none" w:sz="0" w:space="0" w:color="auto"/>
          </w:divBdr>
        </w:div>
        <w:div w:id="1865362876">
          <w:marLeft w:val="0"/>
          <w:marRight w:val="0"/>
          <w:marTop w:val="0"/>
          <w:marBottom w:val="0"/>
          <w:divBdr>
            <w:top w:val="none" w:sz="0" w:space="0" w:color="auto"/>
            <w:left w:val="none" w:sz="0" w:space="0" w:color="auto"/>
            <w:bottom w:val="none" w:sz="0" w:space="0" w:color="auto"/>
            <w:right w:val="none" w:sz="0" w:space="0" w:color="auto"/>
          </w:divBdr>
        </w:div>
      </w:divsChild>
    </w:div>
    <w:div w:id="662470129">
      <w:bodyDiv w:val="1"/>
      <w:marLeft w:val="0"/>
      <w:marRight w:val="0"/>
      <w:marTop w:val="0"/>
      <w:marBottom w:val="0"/>
      <w:divBdr>
        <w:top w:val="none" w:sz="0" w:space="0" w:color="auto"/>
        <w:left w:val="none" w:sz="0" w:space="0" w:color="auto"/>
        <w:bottom w:val="none" w:sz="0" w:space="0" w:color="auto"/>
        <w:right w:val="none" w:sz="0" w:space="0" w:color="auto"/>
      </w:divBdr>
      <w:divsChild>
        <w:div w:id="2125151813">
          <w:marLeft w:val="0"/>
          <w:marRight w:val="0"/>
          <w:marTop w:val="0"/>
          <w:marBottom w:val="0"/>
          <w:divBdr>
            <w:top w:val="none" w:sz="0" w:space="0" w:color="auto"/>
            <w:left w:val="none" w:sz="0" w:space="0" w:color="auto"/>
            <w:bottom w:val="none" w:sz="0" w:space="0" w:color="auto"/>
            <w:right w:val="none" w:sz="0" w:space="0" w:color="auto"/>
          </w:divBdr>
        </w:div>
        <w:div w:id="2095127654">
          <w:marLeft w:val="0"/>
          <w:marRight w:val="0"/>
          <w:marTop w:val="0"/>
          <w:marBottom w:val="0"/>
          <w:divBdr>
            <w:top w:val="none" w:sz="0" w:space="0" w:color="auto"/>
            <w:left w:val="none" w:sz="0" w:space="0" w:color="auto"/>
            <w:bottom w:val="none" w:sz="0" w:space="0" w:color="auto"/>
            <w:right w:val="none" w:sz="0" w:space="0" w:color="auto"/>
          </w:divBdr>
        </w:div>
        <w:div w:id="1090544574">
          <w:marLeft w:val="0"/>
          <w:marRight w:val="0"/>
          <w:marTop w:val="0"/>
          <w:marBottom w:val="0"/>
          <w:divBdr>
            <w:top w:val="none" w:sz="0" w:space="0" w:color="auto"/>
            <w:left w:val="none" w:sz="0" w:space="0" w:color="auto"/>
            <w:bottom w:val="none" w:sz="0" w:space="0" w:color="auto"/>
            <w:right w:val="none" w:sz="0" w:space="0" w:color="auto"/>
          </w:divBdr>
          <w:divsChild>
            <w:div w:id="2059355296">
              <w:marLeft w:val="0"/>
              <w:marRight w:val="0"/>
              <w:marTop w:val="0"/>
              <w:marBottom w:val="0"/>
              <w:divBdr>
                <w:top w:val="none" w:sz="0" w:space="0" w:color="auto"/>
                <w:left w:val="none" w:sz="0" w:space="0" w:color="auto"/>
                <w:bottom w:val="none" w:sz="0" w:space="0" w:color="auto"/>
                <w:right w:val="none" w:sz="0" w:space="0" w:color="auto"/>
              </w:divBdr>
              <w:divsChild>
                <w:div w:id="17545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42663">
          <w:marLeft w:val="0"/>
          <w:marRight w:val="0"/>
          <w:marTop w:val="0"/>
          <w:marBottom w:val="0"/>
          <w:divBdr>
            <w:top w:val="none" w:sz="0" w:space="0" w:color="auto"/>
            <w:left w:val="none" w:sz="0" w:space="0" w:color="auto"/>
            <w:bottom w:val="none" w:sz="0" w:space="0" w:color="auto"/>
            <w:right w:val="none" w:sz="0" w:space="0" w:color="auto"/>
          </w:divBdr>
        </w:div>
        <w:div w:id="1014847457">
          <w:marLeft w:val="0"/>
          <w:marRight w:val="0"/>
          <w:marTop w:val="0"/>
          <w:marBottom w:val="0"/>
          <w:divBdr>
            <w:top w:val="none" w:sz="0" w:space="0" w:color="auto"/>
            <w:left w:val="none" w:sz="0" w:space="0" w:color="auto"/>
            <w:bottom w:val="none" w:sz="0" w:space="0" w:color="auto"/>
            <w:right w:val="none" w:sz="0" w:space="0" w:color="auto"/>
          </w:divBdr>
        </w:div>
        <w:div w:id="1697193134">
          <w:marLeft w:val="0"/>
          <w:marRight w:val="0"/>
          <w:marTop w:val="0"/>
          <w:marBottom w:val="0"/>
          <w:divBdr>
            <w:top w:val="none" w:sz="0" w:space="0" w:color="auto"/>
            <w:left w:val="none" w:sz="0" w:space="0" w:color="auto"/>
            <w:bottom w:val="none" w:sz="0" w:space="0" w:color="auto"/>
            <w:right w:val="none" w:sz="0" w:space="0" w:color="auto"/>
          </w:divBdr>
        </w:div>
        <w:div w:id="1269043260">
          <w:marLeft w:val="0"/>
          <w:marRight w:val="0"/>
          <w:marTop w:val="0"/>
          <w:marBottom w:val="0"/>
          <w:divBdr>
            <w:top w:val="none" w:sz="0" w:space="0" w:color="auto"/>
            <w:left w:val="none" w:sz="0" w:space="0" w:color="auto"/>
            <w:bottom w:val="none" w:sz="0" w:space="0" w:color="auto"/>
            <w:right w:val="none" w:sz="0" w:space="0" w:color="auto"/>
          </w:divBdr>
        </w:div>
        <w:div w:id="1409158930">
          <w:marLeft w:val="0"/>
          <w:marRight w:val="0"/>
          <w:marTop w:val="0"/>
          <w:marBottom w:val="0"/>
          <w:divBdr>
            <w:top w:val="none" w:sz="0" w:space="0" w:color="auto"/>
            <w:left w:val="none" w:sz="0" w:space="0" w:color="auto"/>
            <w:bottom w:val="none" w:sz="0" w:space="0" w:color="auto"/>
            <w:right w:val="none" w:sz="0" w:space="0" w:color="auto"/>
          </w:divBdr>
        </w:div>
        <w:div w:id="902713045">
          <w:marLeft w:val="0"/>
          <w:marRight w:val="0"/>
          <w:marTop w:val="0"/>
          <w:marBottom w:val="0"/>
          <w:divBdr>
            <w:top w:val="none" w:sz="0" w:space="0" w:color="auto"/>
            <w:left w:val="none" w:sz="0" w:space="0" w:color="auto"/>
            <w:bottom w:val="none" w:sz="0" w:space="0" w:color="auto"/>
            <w:right w:val="none" w:sz="0" w:space="0" w:color="auto"/>
          </w:divBdr>
        </w:div>
        <w:div w:id="1350257987">
          <w:marLeft w:val="0"/>
          <w:marRight w:val="0"/>
          <w:marTop w:val="0"/>
          <w:marBottom w:val="0"/>
          <w:divBdr>
            <w:top w:val="none" w:sz="0" w:space="0" w:color="auto"/>
            <w:left w:val="none" w:sz="0" w:space="0" w:color="auto"/>
            <w:bottom w:val="none" w:sz="0" w:space="0" w:color="auto"/>
            <w:right w:val="none" w:sz="0" w:space="0" w:color="auto"/>
          </w:divBdr>
        </w:div>
        <w:div w:id="744231071">
          <w:marLeft w:val="0"/>
          <w:marRight w:val="0"/>
          <w:marTop w:val="0"/>
          <w:marBottom w:val="0"/>
          <w:divBdr>
            <w:top w:val="none" w:sz="0" w:space="0" w:color="auto"/>
            <w:left w:val="none" w:sz="0" w:space="0" w:color="auto"/>
            <w:bottom w:val="none" w:sz="0" w:space="0" w:color="auto"/>
            <w:right w:val="none" w:sz="0" w:space="0" w:color="auto"/>
          </w:divBdr>
        </w:div>
        <w:div w:id="595213044">
          <w:marLeft w:val="0"/>
          <w:marRight w:val="0"/>
          <w:marTop w:val="0"/>
          <w:marBottom w:val="0"/>
          <w:divBdr>
            <w:top w:val="none" w:sz="0" w:space="0" w:color="auto"/>
            <w:left w:val="none" w:sz="0" w:space="0" w:color="auto"/>
            <w:bottom w:val="none" w:sz="0" w:space="0" w:color="auto"/>
            <w:right w:val="none" w:sz="0" w:space="0" w:color="auto"/>
          </w:divBdr>
        </w:div>
        <w:div w:id="1300258638">
          <w:marLeft w:val="0"/>
          <w:marRight w:val="0"/>
          <w:marTop w:val="0"/>
          <w:marBottom w:val="0"/>
          <w:divBdr>
            <w:top w:val="none" w:sz="0" w:space="0" w:color="auto"/>
            <w:left w:val="none" w:sz="0" w:space="0" w:color="auto"/>
            <w:bottom w:val="none" w:sz="0" w:space="0" w:color="auto"/>
            <w:right w:val="none" w:sz="0" w:space="0" w:color="auto"/>
          </w:divBdr>
        </w:div>
        <w:div w:id="1775903460">
          <w:marLeft w:val="0"/>
          <w:marRight w:val="0"/>
          <w:marTop w:val="0"/>
          <w:marBottom w:val="0"/>
          <w:divBdr>
            <w:top w:val="none" w:sz="0" w:space="0" w:color="auto"/>
            <w:left w:val="none" w:sz="0" w:space="0" w:color="auto"/>
            <w:bottom w:val="none" w:sz="0" w:space="0" w:color="auto"/>
            <w:right w:val="none" w:sz="0" w:space="0" w:color="auto"/>
          </w:divBdr>
        </w:div>
        <w:div w:id="461657035">
          <w:marLeft w:val="0"/>
          <w:marRight w:val="0"/>
          <w:marTop w:val="0"/>
          <w:marBottom w:val="0"/>
          <w:divBdr>
            <w:top w:val="none" w:sz="0" w:space="0" w:color="auto"/>
            <w:left w:val="none" w:sz="0" w:space="0" w:color="auto"/>
            <w:bottom w:val="none" w:sz="0" w:space="0" w:color="auto"/>
            <w:right w:val="none" w:sz="0" w:space="0" w:color="auto"/>
          </w:divBdr>
        </w:div>
        <w:div w:id="787243447">
          <w:marLeft w:val="0"/>
          <w:marRight w:val="0"/>
          <w:marTop w:val="0"/>
          <w:marBottom w:val="0"/>
          <w:divBdr>
            <w:top w:val="none" w:sz="0" w:space="0" w:color="auto"/>
            <w:left w:val="none" w:sz="0" w:space="0" w:color="auto"/>
            <w:bottom w:val="none" w:sz="0" w:space="0" w:color="auto"/>
            <w:right w:val="none" w:sz="0" w:space="0" w:color="auto"/>
          </w:divBdr>
        </w:div>
        <w:div w:id="1139961603">
          <w:marLeft w:val="0"/>
          <w:marRight w:val="0"/>
          <w:marTop w:val="0"/>
          <w:marBottom w:val="0"/>
          <w:divBdr>
            <w:top w:val="none" w:sz="0" w:space="0" w:color="auto"/>
            <w:left w:val="none" w:sz="0" w:space="0" w:color="auto"/>
            <w:bottom w:val="none" w:sz="0" w:space="0" w:color="auto"/>
            <w:right w:val="none" w:sz="0" w:space="0" w:color="auto"/>
          </w:divBdr>
        </w:div>
        <w:div w:id="1916432625">
          <w:marLeft w:val="0"/>
          <w:marRight w:val="0"/>
          <w:marTop w:val="0"/>
          <w:marBottom w:val="0"/>
          <w:divBdr>
            <w:top w:val="none" w:sz="0" w:space="0" w:color="auto"/>
            <w:left w:val="none" w:sz="0" w:space="0" w:color="auto"/>
            <w:bottom w:val="none" w:sz="0" w:space="0" w:color="auto"/>
            <w:right w:val="none" w:sz="0" w:space="0" w:color="auto"/>
          </w:divBdr>
        </w:div>
        <w:div w:id="66458382">
          <w:marLeft w:val="0"/>
          <w:marRight w:val="0"/>
          <w:marTop w:val="0"/>
          <w:marBottom w:val="0"/>
          <w:divBdr>
            <w:top w:val="none" w:sz="0" w:space="0" w:color="auto"/>
            <w:left w:val="none" w:sz="0" w:space="0" w:color="auto"/>
            <w:bottom w:val="none" w:sz="0" w:space="0" w:color="auto"/>
            <w:right w:val="none" w:sz="0" w:space="0" w:color="auto"/>
          </w:divBdr>
        </w:div>
        <w:div w:id="344792405">
          <w:marLeft w:val="0"/>
          <w:marRight w:val="0"/>
          <w:marTop w:val="0"/>
          <w:marBottom w:val="0"/>
          <w:divBdr>
            <w:top w:val="none" w:sz="0" w:space="0" w:color="auto"/>
            <w:left w:val="none" w:sz="0" w:space="0" w:color="auto"/>
            <w:bottom w:val="none" w:sz="0" w:space="0" w:color="auto"/>
            <w:right w:val="none" w:sz="0" w:space="0" w:color="auto"/>
          </w:divBdr>
        </w:div>
        <w:div w:id="1438672315">
          <w:marLeft w:val="0"/>
          <w:marRight w:val="0"/>
          <w:marTop w:val="0"/>
          <w:marBottom w:val="0"/>
          <w:divBdr>
            <w:top w:val="none" w:sz="0" w:space="0" w:color="auto"/>
            <w:left w:val="none" w:sz="0" w:space="0" w:color="auto"/>
            <w:bottom w:val="none" w:sz="0" w:space="0" w:color="auto"/>
            <w:right w:val="none" w:sz="0" w:space="0" w:color="auto"/>
          </w:divBdr>
        </w:div>
        <w:div w:id="1323896171">
          <w:marLeft w:val="0"/>
          <w:marRight w:val="0"/>
          <w:marTop w:val="0"/>
          <w:marBottom w:val="0"/>
          <w:divBdr>
            <w:top w:val="none" w:sz="0" w:space="0" w:color="auto"/>
            <w:left w:val="none" w:sz="0" w:space="0" w:color="auto"/>
            <w:bottom w:val="none" w:sz="0" w:space="0" w:color="auto"/>
            <w:right w:val="none" w:sz="0" w:space="0" w:color="auto"/>
          </w:divBdr>
        </w:div>
        <w:div w:id="1307394580">
          <w:marLeft w:val="0"/>
          <w:marRight w:val="0"/>
          <w:marTop w:val="0"/>
          <w:marBottom w:val="0"/>
          <w:divBdr>
            <w:top w:val="none" w:sz="0" w:space="0" w:color="auto"/>
            <w:left w:val="none" w:sz="0" w:space="0" w:color="auto"/>
            <w:bottom w:val="none" w:sz="0" w:space="0" w:color="auto"/>
            <w:right w:val="none" w:sz="0" w:space="0" w:color="auto"/>
          </w:divBdr>
        </w:div>
        <w:div w:id="628781417">
          <w:marLeft w:val="0"/>
          <w:marRight w:val="0"/>
          <w:marTop w:val="0"/>
          <w:marBottom w:val="0"/>
          <w:divBdr>
            <w:top w:val="none" w:sz="0" w:space="0" w:color="auto"/>
            <w:left w:val="none" w:sz="0" w:space="0" w:color="auto"/>
            <w:bottom w:val="none" w:sz="0" w:space="0" w:color="auto"/>
            <w:right w:val="none" w:sz="0" w:space="0" w:color="auto"/>
          </w:divBdr>
        </w:div>
        <w:div w:id="1928032812">
          <w:marLeft w:val="0"/>
          <w:marRight w:val="0"/>
          <w:marTop w:val="0"/>
          <w:marBottom w:val="0"/>
          <w:divBdr>
            <w:top w:val="none" w:sz="0" w:space="0" w:color="auto"/>
            <w:left w:val="none" w:sz="0" w:space="0" w:color="auto"/>
            <w:bottom w:val="none" w:sz="0" w:space="0" w:color="auto"/>
            <w:right w:val="none" w:sz="0" w:space="0" w:color="auto"/>
          </w:divBdr>
        </w:div>
        <w:div w:id="515313109">
          <w:marLeft w:val="0"/>
          <w:marRight w:val="0"/>
          <w:marTop w:val="0"/>
          <w:marBottom w:val="0"/>
          <w:divBdr>
            <w:top w:val="none" w:sz="0" w:space="0" w:color="auto"/>
            <w:left w:val="none" w:sz="0" w:space="0" w:color="auto"/>
            <w:bottom w:val="none" w:sz="0" w:space="0" w:color="auto"/>
            <w:right w:val="none" w:sz="0" w:space="0" w:color="auto"/>
          </w:divBdr>
        </w:div>
        <w:div w:id="730739111">
          <w:marLeft w:val="0"/>
          <w:marRight w:val="0"/>
          <w:marTop w:val="0"/>
          <w:marBottom w:val="0"/>
          <w:divBdr>
            <w:top w:val="none" w:sz="0" w:space="0" w:color="auto"/>
            <w:left w:val="none" w:sz="0" w:space="0" w:color="auto"/>
            <w:bottom w:val="none" w:sz="0" w:space="0" w:color="auto"/>
            <w:right w:val="none" w:sz="0" w:space="0" w:color="auto"/>
          </w:divBdr>
        </w:div>
        <w:div w:id="1820000356">
          <w:marLeft w:val="0"/>
          <w:marRight w:val="0"/>
          <w:marTop w:val="0"/>
          <w:marBottom w:val="0"/>
          <w:divBdr>
            <w:top w:val="none" w:sz="0" w:space="0" w:color="auto"/>
            <w:left w:val="none" w:sz="0" w:space="0" w:color="auto"/>
            <w:bottom w:val="none" w:sz="0" w:space="0" w:color="auto"/>
            <w:right w:val="none" w:sz="0" w:space="0" w:color="auto"/>
          </w:divBdr>
        </w:div>
        <w:div w:id="2117600917">
          <w:marLeft w:val="0"/>
          <w:marRight w:val="0"/>
          <w:marTop w:val="0"/>
          <w:marBottom w:val="0"/>
          <w:divBdr>
            <w:top w:val="none" w:sz="0" w:space="0" w:color="auto"/>
            <w:left w:val="none" w:sz="0" w:space="0" w:color="auto"/>
            <w:bottom w:val="none" w:sz="0" w:space="0" w:color="auto"/>
            <w:right w:val="none" w:sz="0" w:space="0" w:color="auto"/>
          </w:divBdr>
        </w:div>
        <w:div w:id="371072947">
          <w:marLeft w:val="0"/>
          <w:marRight w:val="0"/>
          <w:marTop w:val="0"/>
          <w:marBottom w:val="0"/>
          <w:divBdr>
            <w:top w:val="none" w:sz="0" w:space="0" w:color="auto"/>
            <w:left w:val="none" w:sz="0" w:space="0" w:color="auto"/>
            <w:bottom w:val="none" w:sz="0" w:space="0" w:color="auto"/>
            <w:right w:val="none" w:sz="0" w:space="0" w:color="auto"/>
          </w:divBdr>
        </w:div>
        <w:div w:id="574818848">
          <w:marLeft w:val="0"/>
          <w:marRight w:val="0"/>
          <w:marTop w:val="0"/>
          <w:marBottom w:val="0"/>
          <w:divBdr>
            <w:top w:val="none" w:sz="0" w:space="0" w:color="auto"/>
            <w:left w:val="none" w:sz="0" w:space="0" w:color="auto"/>
            <w:bottom w:val="none" w:sz="0" w:space="0" w:color="auto"/>
            <w:right w:val="none" w:sz="0" w:space="0" w:color="auto"/>
          </w:divBdr>
        </w:div>
        <w:div w:id="1861898029">
          <w:marLeft w:val="0"/>
          <w:marRight w:val="0"/>
          <w:marTop w:val="0"/>
          <w:marBottom w:val="0"/>
          <w:divBdr>
            <w:top w:val="none" w:sz="0" w:space="0" w:color="auto"/>
            <w:left w:val="none" w:sz="0" w:space="0" w:color="auto"/>
            <w:bottom w:val="none" w:sz="0" w:space="0" w:color="auto"/>
            <w:right w:val="none" w:sz="0" w:space="0" w:color="auto"/>
          </w:divBdr>
        </w:div>
        <w:div w:id="193882519">
          <w:marLeft w:val="0"/>
          <w:marRight w:val="0"/>
          <w:marTop w:val="0"/>
          <w:marBottom w:val="0"/>
          <w:divBdr>
            <w:top w:val="none" w:sz="0" w:space="0" w:color="auto"/>
            <w:left w:val="none" w:sz="0" w:space="0" w:color="auto"/>
            <w:bottom w:val="none" w:sz="0" w:space="0" w:color="auto"/>
            <w:right w:val="none" w:sz="0" w:space="0" w:color="auto"/>
          </w:divBdr>
        </w:div>
        <w:div w:id="1670863080">
          <w:marLeft w:val="0"/>
          <w:marRight w:val="0"/>
          <w:marTop w:val="0"/>
          <w:marBottom w:val="0"/>
          <w:divBdr>
            <w:top w:val="none" w:sz="0" w:space="0" w:color="auto"/>
            <w:left w:val="none" w:sz="0" w:space="0" w:color="auto"/>
            <w:bottom w:val="none" w:sz="0" w:space="0" w:color="auto"/>
            <w:right w:val="none" w:sz="0" w:space="0" w:color="auto"/>
          </w:divBdr>
        </w:div>
        <w:div w:id="255216878">
          <w:marLeft w:val="0"/>
          <w:marRight w:val="0"/>
          <w:marTop w:val="0"/>
          <w:marBottom w:val="0"/>
          <w:divBdr>
            <w:top w:val="none" w:sz="0" w:space="0" w:color="auto"/>
            <w:left w:val="none" w:sz="0" w:space="0" w:color="auto"/>
            <w:bottom w:val="none" w:sz="0" w:space="0" w:color="auto"/>
            <w:right w:val="none" w:sz="0" w:space="0" w:color="auto"/>
          </w:divBdr>
          <w:divsChild>
            <w:div w:id="1397237398">
              <w:marLeft w:val="0"/>
              <w:marRight w:val="0"/>
              <w:marTop w:val="0"/>
              <w:marBottom w:val="0"/>
              <w:divBdr>
                <w:top w:val="none" w:sz="0" w:space="0" w:color="auto"/>
                <w:left w:val="none" w:sz="0" w:space="0" w:color="auto"/>
                <w:bottom w:val="none" w:sz="0" w:space="0" w:color="auto"/>
                <w:right w:val="none" w:sz="0" w:space="0" w:color="auto"/>
              </w:divBdr>
            </w:div>
            <w:div w:id="1530490107">
              <w:marLeft w:val="0"/>
              <w:marRight w:val="0"/>
              <w:marTop w:val="0"/>
              <w:marBottom w:val="0"/>
              <w:divBdr>
                <w:top w:val="none" w:sz="0" w:space="0" w:color="auto"/>
                <w:left w:val="none" w:sz="0" w:space="0" w:color="auto"/>
                <w:bottom w:val="none" w:sz="0" w:space="0" w:color="auto"/>
                <w:right w:val="none" w:sz="0" w:space="0" w:color="auto"/>
              </w:divBdr>
            </w:div>
          </w:divsChild>
        </w:div>
        <w:div w:id="1715151830">
          <w:marLeft w:val="0"/>
          <w:marRight w:val="0"/>
          <w:marTop w:val="0"/>
          <w:marBottom w:val="0"/>
          <w:divBdr>
            <w:top w:val="none" w:sz="0" w:space="0" w:color="auto"/>
            <w:left w:val="none" w:sz="0" w:space="0" w:color="auto"/>
            <w:bottom w:val="none" w:sz="0" w:space="0" w:color="auto"/>
            <w:right w:val="none" w:sz="0" w:space="0" w:color="auto"/>
          </w:divBdr>
        </w:div>
        <w:div w:id="1767534778">
          <w:marLeft w:val="0"/>
          <w:marRight w:val="0"/>
          <w:marTop w:val="0"/>
          <w:marBottom w:val="0"/>
          <w:divBdr>
            <w:top w:val="none" w:sz="0" w:space="0" w:color="auto"/>
            <w:left w:val="none" w:sz="0" w:space="0" w:color="auto"/>
            <w:bottom w:val="none" w:sz="0" w:space="0" w:color="auto"/>
            <w:right w:val="none" w:sz="0" w:space="0" w:color="auto"/>
          </w:divBdr>
        </w:div>
        <w:div w:id="752314816">
          <w:marLeft w:val="0"/>
          <w:marRight w:val="0"/>
          <w:marTop w:val="0"/>
          <w:marBottom w:val="0"/>
          <w:divBdr>
            <w:top w:val="none" w:sz="0" w:space="0" w:color="auto"/>
            <w:left w:val="none" w:sz="0" w:space="0" w:color="auto"/>
            <w:bottom w:val="none" w:sz="0" w:space="0" w:color="auto"/>
            <w:right w:val="none" w:sz="0" w:space="0" w:color="auto"/>
          </w:divBdr>
        </w:div>
        <w:div w:id="532764754">
          <w:marLeft w:val="0"/>
          <w:marRight w:val="0"/>
          <w:marTop w:val="0"/>
          <w:marBottom w:val="0"/>
          <w:divBdr>
            <w:top w:val="none" w:sz="0" w:space="0" w:color="auto"/>
            <w:left w:val="none" w:sz="0" w:space="0" w:color="auto"/>
            <w:bottom w:val="none" w:sz="0" w:space="0" w:color="auto"/>
            <w:right w:val="none" w:sz="0" w:space="0" w:color="auto"/>
          </w:divBdr>
        </w:div>
        <w:div w:id="1935942913">
          <w:marLeft w:val="0"/>
          <w:marRight w:val="0"/>
          <w:marTop w:val="0"/>
          <w:marBottom w:val="0"/>
          <w:divBdr>
            <w:top w:val="none" w:sz="0" w:space="0" w:color="auto"/>
            <w:left w:val="none" w:sz="0" w:space="0" w:color="auto"/>
            <w:bottom w:val="none" w:sz="0" w:space="0" w:color="auto"/>
            <w:right w:val="none" w:sz="0" w:space="0" w:color="auto"/>
          </w:divBdr>
        </w:div>
        <w:div w:id="935484764">
          <w:marLeft w:val="0"/>
          <w:marRight w:val="0"/>
          <w:marTop w:val="0"/>
          <w:marBottom w:val="0"/>
          <w:divBdr>
            <w:top w:val="none" w:sz="0" w:space="0" w:color="auto"/>
            <w:left w:val="none" w:sz="0" w:space="0" w:color="auto"/>
            <w:bottom w:val="none" w:sz="0" w:space="0" w:color="auto"/>
            <w:right w:val="none" w:sz="0" w:space="0" w:color="auto"/>
          </w:divBdr>
        </w:div>
        <w:div w:id="1132476896">
          <w:marLeft w:val="0"/>
          <w:marRight w:val="0"/>
          <w:marTop w:val="0"/>
          <w:marBottom w:val="0"/>
          <w:divBdr>
            <w:top w:val="none" w:sz="0" w:space="0" w:color="auto"/>
            <w:left w:val="none" w:sz="0" w:space="0" w:color="auto"/>
            <w:bottom w:val="none" w:sz="0" w:space="0" w:color="auto"/>
            <w:right w:val="none" w:sz="0" w:space="0" w:color="auto"/>
          </w:divBdr>
        </w:div>
        <w:div w:id="1528907751">
          <w:marLeft w:val="0"/>
          <w:marRight w:val="0"/>
          <w:marTop w:val="0"/>
          <w:marBottom w:val="0"/>
          <w:divBdr>
            <w:top w:val="none" w:sz="0" w:space="0" w:color="auto"/>
            <w:left w:val="none" w:sz="0" w:space="0" w:color="auto"/>
            <w:bottom w:val="none" w:sz="0" w:space="0" w:color="auto"/>
            <w:right w:val="none" w:sz="0" w:space="0" w:color="auto"/>
          </w:divBdr>
        </w:div>
        <w:div w:id="30494487">
          <w:marLeft w:val="0"/>
          <w:marRight w:val="0"/>
          <w:marTop w:val="0"/>
          <w:marBottom w:val="0"/>
          <w:divBdr>
            <w:top w:val="none" w:sz="0" w:space="0" w:color="auto"/>
            <w:left w:val="none" w:sz="0" w:space="0" w:color="auto"/>
            <w:bottom w:val="none" w:sz="0" w:space="0" w:color="auto"/>
            <w:right w:val="none" w:sz="0" w:space="0" w:color="auto"/>
          </w:divBdr>
        </w:div>
        <w:div w:id="1203908405">
          <w:marLeft w:val="0"/>
          <w:marRight w:val="0"/>
          <w:marTop w:val="0"/>
          <w:marBottom w:val="0"/>
          <w:divBdr>
            <w:top w:val="none" w:sz="0" w:space="0" w:color="auto"/>
            <w:left w:val="none" w:sz="0" w:space="0" w:color="auto"/>
            <w:bottom w:val="none" w:sz="0" w:space="0" w:color="auto"/>
            <w:right w:val="none" w:sz="0" w:space="0" w:color="auto"/>
          </w:divBdr>
          <w:divsChild>
            <w:div w:id="1181049109">
              <w:marLeft w:val="0"/>
              <w:marRight w:val="0"/>
              <w:marTop w:val="0"/>
              <w:marBottom w:val="0"/>
              <w:divBdr>
                <w:top w:val="none" w:sz="0" w:space="0" w:color="auto"/>
                <w:left w:val="none" w:sz="0" w:space="0" w:color="auto"/>
                <w:bottom w:val="none" w:sz="0" w:space="0" w:color="auto"/>
                <w:right w:val="none" w:sz="0" w:space="0" w:color="auto"/>
              </w:divBdr>
            </w:div>
            <w:div w:id="2013332892">
              <w:marLeft w:val="0"/>
              <w:marRight w:val="0"/>
              <w:marTop w:val="0"/>
              <w:marBottom w:val="0"/>
              <w:divBdr>
                <w:top w:val="none" w:sz="0" w:space="0" w:color="auto"/>
                <w:left w:val="none" w:sz="0" w:space="0" w:color="auto"/>
                <w:bottom w:val="none" w:sz="0" w:space="0" w:color="auto"/>
                <w:right w:val="none" w:sz="0" w:space="0" w:color="auto"/>
              </w:divBdr>
            </w:div>
          </w:divsChild>
        </w:div>
        <w:div w:id="456222189">
          <w:marLeft w:val="0"/>
          <w:marRight w:val="0"/>
          <w:marTop w:val="0"/>
          <w:marBottom w:val="0"/>
          <w:divBdr>
            <w:top w:val="none" w:sz="0" w:space="0" w:color="auto"/>
            <w:left w:val="none" w:sz="0" w:space="0" w:color="auto"/>
            <w:bottom w:val="none" w:sz="0" w:space="0" w:color="auto"/>
            <w:right w:val="none" w:sz="0" w:space="0" w:color="auto"/>
          </w:divBdr>
        </w:div>
        <w:div w:id="1481652361">
          <w:marLeft w:val="0"/>
          <w:marRight w:val="0"/>
          <w:marTop w:val="0"/>
          <w:marBottom w:val="0"/>
          <w:divBdr>
            <w:top w:val="none" w:sz="0" w:space="0" w:color="auto"/>
            <w:left w:val="none" w:sz="0" w:space="0" w:color="auto"/>
            <w:bottom w:val="none" w:sz="0" w:space="0" w:color="auto"/>
            <w:right w:val="none" w:sz="0" w:space="0" w:color="auto"/>
          </w:divBdr>
        </w:div>
        <w:div w:id="2037384906">
          <w:marLeft w:val="0"/>
          <w:marRight w:val="0"/>
          <w:marTop w:val="0"/>
          <w:marBottom w:val="0"/>
          <w:divBdr>
            <w:top w:val="none" w:sz="0" w:space="0" w:color="auto"/>
            <w:left w:val="none" w:sz="0" w:space="0" w:color="auto"/>
            <w:bottom w:val="none" w:sz="0" w:space="0" w:color="auto"/>
            <w:right w:val="none" w:sz="0" w:space="0" w:color="auto"/>
          </w:divBdr>
        </w:div>
        <w:div w:id="109201296">
          <w:marLeft w:val="0"/>
          <w:marRight w:val="0"/>
          <w:marTop w:val="0"/>
          <w:marBottom w:val="0"/>
          <w:divBdr>
            <w:top w:val="none" w:sz="0" w:space="0" w:color="auto"/>
            <w:left w:val="none" w:sz="0" w:space="0" w:color="auto"/>
            <w:bottom w:val="none" w:sz="0" w:space="0" w:color="auto"/>
            <w:right w:val="none" w:sz="0" w:space="0" w:color="auto"/>
          </w:divBdr>
        </w:div>
        <w:div w:id="233322211">
          <w:marLeft w:val="0"/>
          <w:marRight w:val="0"/>
          <w:marTop w:val="0"/>
          <w:marBottom w:val="0"/>
          <w:divBdr>
            <w:top w:val="none" w:sz="0" w:space="0" w:color="auto"/>
            <w:left w:val="none" w:sz="0" w:space="0" w:color="auto"/>
            <w:bottom w:val="none" w:sz="0" w:space="0" w:color="auto"/>
            <w:right w:val="none" w:sz="0" w:space="0" w:color="auto"/>
          </w:divBdr>
        </w:div>
        <w:div w:id="924992282">
          <w:marLeft w:val="0"/>
          <w:marRight w:val="0"/>
          <w:marTop w:val="0"/>
          <w:marBottom w:val="0"/>
          <w:divBdr>
            <w:top w:val="none" w:sz="0" w:space="0" w:color="auto"/>
            <w:left w:val="none" w:sz="0" w:space="0" w:color="auto"/>
            <w:bottom w:val="none" w:sz="0" w:space="0" w:color="auto"/>
            <w:right w:val="none" w:sz="0" w:space="0" w:color="auto"/>
          </w:divBdr>
        </w:div>
        <w:div w:id="1762599415">
          <w:marLeft w:val="0"/>
          <w:marRight w:val="0"/>
          <w:marTop w:val="0"/>
          <w:marBottom w:val="0"/>
          <w:divBdr>
            <w:top w:val="none" w:sz="0" w:space="0" w:color="auto"/>
            <w:left w:val="none" w:sz="0" w:space="0" w:color="auto"/>
            <w:bottom w:val="none" w:sz="0" w:space="0" w:color="auto"/>
            <w:right w:val="none" w:sz="0" w:space="0" w:color="auto"/>
          </w:divBdr>
        </w:div>
        <w:div w:id="618800384">
          <w:marLeft w:val="0"/>
          <w:marRight w:val="0"/>
          <w:marTop w:val="0"/>
          <w:marBottom w:val="0"/>
          <w:divBdr>
            <w:top w:val="none" w:sz="0" w:space="0" w:color="auto"/>
            <w:left w:val="none" w:sz="0" w:space="0" w:color="auto"/>
            <w:bottom w:val="none" w:sz="0" w:space="0" w:color="auto"/>
            <w:right w:val="none" w:sz="0" w:space="0" w:color="auto"/>
          </w:divBdr>
        </w:div>
        <w:div w:id="183439668">
          <w:marLeft w:val="0"/>
          <w:marRight w:val="0"/>
          <w:marTop w:val="0"/>
          <w:marBottom w:val="0"/>
          <w:divBdr>
            <w:top w:val="none" w:sz="0" w:space="0" w:color="auto"/>
            <w:left w:val="none" w:sz="0" w:space="0" w:color="auto"/>
            <w:bottom w:val="none" w:sz="0" w:space="0" w:color="auto"/>
            <w:right w:val="none" w:sz="0" w:space="0" w:color="auto"/>
          </w:divBdr>
        </w:div>
        <w:div w:id="219829362">
          <w:marLeft w:val="0"/>
          <w:marRight w:val="0"/>
          <w:marTop w:val="0"/>
          <w:marBottom w:val="0"/>
          <w:divBdr>
            <w:top w:val="none" w:sz="0" w:space="0" w:color="auto"/>
            <w:left w:val="none" w:sz="0" w:space="0" w:color="auto"/>
            <w:bottom w:val="none" w:sz="0" w:space="0" w:color="auto"/>
            <w:right w:val="none" w:sz="0" w:space="0" w:color="auto"/>
          </w:divBdr>
        </w:div>
        <w:div w:id="1049719895">
          <w:marLeft w:val="0"/>
          <w:marRight w:val="0"/>
          <w:marTop w:val="0"/>
          <w:marBottom w:val="0"/>
          <w:divBdr>
            <w:top w:val="none" w:sz="0" w:space="0" w:color="auto"/>
            <w:left w:val="none" w:sz="0" w:space="0" w:color="auto"/>
            <w:bottom w:val="none" w:sz="0" w:space="0" w:color="auto"/>
            <w:right w:val="none" w:sz="0" w:space="0" w:color="auto"/>
          </w:divBdr>
        </w:div>
        <w:div w:id="1432317697">
          <w:marLeft w:val="0"/>
          <w:marRight w:val="0"/>
          <w:marTop w:val="0"/>
          <w:marBottom w:val="0"/>
          <w:divBdr>
            <w:top w:val="none" w:sz="0" w:space="0" w:color="auto"/>
            <w:left w:val="none" w:sz="0" w:space="0" w:color="auto"/>
            <w:bottom w:val="none" w:sz="0" w:space="0" w:color="auto"/>
            <w:right w:val="none" w:sz="0" w:space="0" w:color="auto"/>
          </w:divBdr>
        </w:div>
        <w:div w:id="374044210">
          <w:marLeft w:val="0"/>
          <w:marRight w:val="0"/>
          <w:marTop w:val="0"/>
          <w:marBottom w:val="0"/>
          <w:divBdr>
            <w:top w:val="none" w:sz="0" w:space="0" w:color="auto"/>
            <w:left w:val="none" w:sz="0" w:space="0" w:color="auto"/>
            <w:bottom w:val="none" w:sz="0" w:space="0" w:color="auto"/>
            <w:right w:val="none" w:sz="0" w:space="0" w:color="auto"/>
          </w:divBdr>
        </w:div>
        <w:div w:id="2064130538">
          <w:marLeft w:val="0"/>
          <w:marRight w:val="0"/>
          <w:marTop w:val="0"/>
          <w:marBottom w:val="0"/>
          <w:divBdr>
            <w:top w:val="none" w:sz="0" w:space="0" w:color="auto"/>
            <w:left w:val="none" w:sz="0" w:space="0" w:color="auto"/>
            <w:bottom w:val="none" w:sz="0" w:space="0" w:color="auto"/>
            <w:right w:val="none" w:sz="0" w:space="0" w:color="auto"/>
          </w:divBdr>
        </w:div>
        <w:div w:id="224416365">
          <w:marLeft w:val="0"/>
          <w:marRight w:val="0"/>
          <w:marTop w:val="0"/>
          <w:marBottom w:val="0"/>
          <w:divBdr>
            <w:top w:val="none" w:sz="0" w:space="0" w:color="auto"/>
            <w:left w:val="none" w:sz="0" w:space="0" w:color="auto"/>
            <w:bottom w:val="none" w:sz="0" w:space="0" w:color="auto"/>
            <w:right w:val="none" w:sz="0" w:space="0" w:color="auto"/>
          </w:divBdr>
        </w:div>
        <w:div w:id="1308514435">
          <w:marLeft w:val="0"/>
          <w:marRight w:val="0"/>
          <w:marTop w:val="0"/>
          <w:marBottom w:val="0"/>
          <w:divBdr>
            <w:top w:val="none" w:sz="0" w:space="0" w:color="auto"/>
            <w:left w:val="none" w:sz="0" w:space="0" w:color="auto"/>
            <w:bottom w:val="none" w:sz="0" w:space="0" w:color="auto"/>
            <w:right w:val="none" w:sz="0" w:space="0" w:color="auto"/>
          </w:divBdr>
        </w:div>
        <w:div w:id="809829413">
          <w:marLeft w:val="0"/>
          <w:marRight w:val="0"/>
          <w:marTop w:val="0"/>
          <w:marBottom w:val="0"/>
          <w:divBdr>
            <w:top w:val="none" w:sz="0" w:space="0" w:color="auto"/>
            <w:left w:val="none" w:sz="0" w:space="0" w:color="auto"/>
            <w:bottom w:val="none" w:sz="0" w:space="0" w:color="auto"/>
            <w:right w:val="none" w:sz="0" w:space="0" w:color="auto"/>
          </w:divBdr>
        </w:div>
        <w:div w:id="425615072">
          <w:marLeft w:val="0"/>
          <w:marRight w:val="0"/>
          <w:marTop w:val="0"/>
          <w:marBottom w:val="0"/>
          <w:divBdr>
            <w:top w:val="none" w:sz="0" w:space="0" w:color="auto"/>
            <w:left w:val="none" w:sz="0" w:space="0" w:color="auto"/>
            <w:bottom w:val="none" w:sz="0" w:space="0" w:color="auto"/>
            <w:right w:val="none" w:sz="0" w:space="0" w:color="auto"/>
          </w:divBdr>
        </w:div>
        <w:div w:id="1279482478">
          <w:marLeft w:val="0"/>
          <w:marRight w:val="0"/>
          <w:marTop w:val="0"/>
          <w:marBottom w:val="0"/>
          <w:divBdr>
            <w:top w:val="none" w:sz="0" w:space="0" w:color="auto"/>
            <w:left w:val="none" w:sz="0" w:space="0" w:color="auto"/>
            <w:bottom w:val="none" w:sz="0" w:space="0" w:color="auto"/>
            <w:right w:val="none" w:sz="0" w:space="0" w:color="auto"/>
          </w:divBdr>
        </w:div>
        <w:div w:id="1293712595">
          <w:marLeft w:val="0"/>
          <w:marRight w:val="0"/>
          <w:marTop w:val="0"/>
          <w:marBottom w:val="0"/>
          <w:divBdr>
            <w:top w:val="none" w:sz="0" w:space="0" w:color="auto"/>
            <w:left w:val="none" w:sz="0" w:space="0" w:color="auto"/>
            <w:bottom w:val="none" w:sz="0" w:space="0" w:color="auto"/>
            <w:right w:val="none" w:sz="0" w:space="0" w:color="auto"/>
          </w:divBdr>
        </w:div>
        <w:div w:id="1386373958">
          <w:marLeft w:val="0"/>
          <w:marRight w:val="0"/>
          <w:marTop w:val="0"/>
          <w:marBottom w:val="0"/>
          <w:divBdr>
            <w:top w:val="none" w:sz="0" w:space="0" w:color="auto"/>
            <w:left w:val="none" w:sz="0" w:space="0" w:color="auto"/>
            <w:bottom w:val="none" w:sz="0" w:space="0" w:color="auto"/>
            <w:right w:val="none" w:sz="0" w:space="0" w:color="auto"/>
          </w:divBdr>
        </w:div>
        <w:div w:id="631325904">
          <w:marLeft w:val="0"/>
          <w:marRight w:val="0"/>
          <w:marTop w:val="0"/>
          <w:marBottom w:val="0"/>
          <w:divBdr>
            <w:top w:val="none" w:sz="0" w:space="0" w:color="auto"/>
            <w:left w:val="none" w:sz="0" w:space="0" w:color="auto"/>
            <w:bottom w:val="none" w:sz="0" w:space="0" w:color="auto"/>
            <w:right w:val="none" w:sz="0" w:space="0" w:color="auto"/>
          </w:divBdr>
        </w:div>
        <w:div w:id="1897665038">
          <w:marLeft w:val="0"/>
          <w:marRight w:val="0"/>
          <w:marTop w:val="0"/>
          <w:marBottom w:val="0"/>
          <w:divBdr>
            <w:top w:val="none" w:sz="0" w:space="0" w:color="auto"/>
            <w:left w:val="none" w:sz="0" w:space="0" w:color="auto"/>
            <w:bottom w:val="none" w:sz="0" w:space="0" w:color="auto"/>
            <w:right w:val="none" w:sz="0" w:space="0" w:color="auto"/>
          </w:divBdr>
        </w:div>
        <w:div w:id="928270859">
          <w:marLeft w:val="0"/>
          <w:marRight w:val="0"/>
          <w:marTop w:val="0"/>
          <w:marBottom w:val="0"/>
          <w:divBdr>
            <w:top w:val="none" w:sz="0" w:space="0" w:color="auto"/>
            <w:left w:val="none" w:sz="0" w:space="0" w:color="auto"/>
            <w:bottom w:val="none" w:sz="0" w:space="0" w:color="auto"/>
            <w:right w:val="none" w:sz="0" w:space="0" w:color="auto"/>
          </w:divBdr>
        </w:div>
        <w:div w:id="392698678">
          <w:marLeft w:val="0"/>
          <w:marRight w:val="0"/>
          <w:marTop w:val="0"/>
          <w:marBottom w:val="0"/>
          <w:divBdr>
            <w:top w:val="none" w:sz="0" w:space="0" w:color="auto"/>
            <w:left w:val="none" w:sz="0" w:space="0" w:color="auto"/>
            <w:bottom w:val="none" w:sz="0" w:space="0" w:color="auto"/>
            <w:right w:val="none" w:sz="0" w:space="0" w:color="auto"/>
          </w:divBdr>
        </w:div>
        <w:div w:id="116144709">
          <w:marLeft w:val="0"/>
          <w:marRight w:val="0"/>
          <w:marTop w:val="0"/>
          <w:marBottom w:val="0"/>
          <w:divBdr>
            <w:top w:val="none" w:sz="0" w:space="0" w:color="auto"/>
            <w:left w:val="none" w:sz="0" w:space="0" w:color="auto"/>
            <w:bottom w:val="none" w:sz="0" w:space="0" w:color="auto"/>
            <w:right w:val="none" w:sz="0" w:space="0" w:color="auto"/>
          </w:divBdr>
        </w:div>
        <w:div w:id="2070112151">
          <w:marLeft w:val="0"/>
          <w:marRight w:val="0"/>
          <w:marTop w:val="0"/>
          <w:marBottom w:val="0"/>
          <w:divBdr>
            <w:top w:val="none" w:sz="0" w:space="0" w:color="auto"/>
            <w:left w:val="none" w:sz="0" w:space="0" w:color="auto"/>
            <w:bottom w:val="none" w:sz="0" w:space="0" w:color="auto"/>
            <w:right w:val="none" w:sz="0" w:space="0" w:color="auto"/>
          </w:divBdr>
        </w:div>
        <w:div w:id="808591986">
          <w:marLeft w:val="0"/>
          <w:marRight w:val="0"/>
          <w:marTop w:val="0"/>
          <w:marBottom w:val="0"/>
          <w:divBdr>
            <w:top w:val="none" w:sz="0" w:space="0" w:color="auto"/>
            <w:left w:val="none" w:sz="0" w:space="0" w:color="auto"/>
            <w:bottom w:val="none" w:sz="0" w:space="0" w:color="auto"/>
            <w:right w:val="none" w:sz="0" w:space="0" w:color="auto"/>
          </w:divBdr>
        </w:div>
        <w:div w:id="214707405">
          <w:marLeft w:val="0"/>
          <w:marRight w:val="0"/>
          <w:marTop w:val="0"/>
          <w:marBottom w:val="0"/>
          <w:divBdr>
            <w:top w:val="none" w:sz="0" w:space="0" w:color="auto"/>
            <w:left w:val="none" w:sz="0" w:space="0" w:color="auto"/>
            <w:bottom w:val="none" w:sz="0" w:space="0" w:color="auto"/>
            <w:right w:val="none" w:sz="0" w:space="0" w:color="auto"/>
          </w:divBdr>
        </w:div>
        <w:div w:id="1553037359">
          <w:marLeft w:val="0"/>
          <w:marRight w:val="0"/>
          <w:marTop w:val="0"/>
          <w:marBottom w:val="0"/>
          <w:divBdr>
            <w:top w:val="none" w:sz="0" w:space="0" w:color="auto"/>
            <w:left w:val="none" w:sz="0" w:space="0" w:color="auto"/>
            <w:bottom w:val="none" w:sz="0" w:space="0" w:color="auto"/>
            <w:right w:val="none" w:sz="0" w:space="0" w:color="auto"/>
          </w:divBdr>
        </w:div>
        <w:div w:id="1405486956">
          <w:marLeft w:val="0"/>
          <w:marRight w:val="0"/>
          <w:marTop w:val="0"/>
          <w:marBottom w:val="0"/>
          <w:divBdr>
            <w:top w:val="none" w:sz="0" w:space="0" w:color="auto"/>
            <w:left w:val="none" w:sz="0" w:space="0" w:color="auto"/>
            <w:bottom w:val="none" w:sz="0" w:space="0" w:color="auto"/>
            <w:right w:val="none" w:sz="0" w:space="0" w:color="auto"/>
          </w:divBdr>
        </w:div>
        <w:div w:id="949748608">
          <w:marLeft w:val="0"/>
          <w:marRight w:val="0"/>
          <w:marTop w:val="0"/>
          <w:marBottom w:val="0"/>
          <w:divBdr>
            <w:top w:val="none" w:sz="0" w:space="0" w:color="auto"/>
            <w:left w:val="none" w:sz="0" w:space="0" w:color="auto"/>
            <w:bottom w:val="none" w:sz="0" w:space="0" w:color="auto"/>
            <w:right w:val="none" w:sz="0" w:space="0" w:color="auto"/>
          </w:divBdr>
        </w:div>
        <w:div w:id="1214318543">
          <w:marLeft w:val="0"/>
          <w:marRight w:val="0"/>
          <w:marTop w:val="0"/>
          <w:marBottom w:val="0"/>
          <w:divBdr>
            <w:top w:val="none" w:sz="0" w:space="0" w:color="auto"/>
            <w:left w:val="none" w:sz="0" w:space="0" w:color="auto"/>
            <w:bottom w:val="none" w:sz="0" w:space="0" w:color="auto"/>
            <w:right w:val="none" w:sz="0" w:space="0" w:color="auto"/>
          </w:divBdr>
        </w:div>
        <w:div w:id="416097910">
          <w:marLeft w:val="0"/>
          <w:marRight w:val="0"/>
          <w:marTop w:val="0"/>
          <w:marBottom w:val="0"/>
          <w:divBdr>
            <w:top w:val="none" w:sz="0" w:space="0" w:color="auto"/>
            <w:left w:val="none" w:sz="0" w:space="0" w:color="auto"/>
            <w:bottom w:val="none" w:sz="0" w:space="0" w:color="auto"/>
            <w:right w:val="none" w:sz="0" w:space="0" w:color="auto"/>
          </w:divBdr>
        </w:div>
        <w:div w:id="498931903">
          <w:marLeft w:val="0"/>
          <w:marRight w:val="0"/>
          <w:marTop w:val="0"/>
          <w:marBottom w:val="0"/>
          <w:divBdr>
            <w:top w:val="none" w:sz="0" w:space="0" w:color="auto"/>
            <w:left w:val="none" w:sz="0" w:space="0" w:color="auto"/>
            <w:bottom w:val="none" w:sz="0" w:space="0" w:color="auto"/>
            <w:right w:val="none" w:sz="0" w:space="0" w:color="auto"/>
          </w:divBdr>
        </w:div>
        <w:div w:id="1902868072">
          <w:marLeft w:val="0"/>
          <w:marRight w:val="0"/>
          <w:marTop w:val="0"/>
          <w:marBottom w:val="0"/>
          <w:divBdr>
            <w:top w:val="none" w:sz="0" w:space="0" w:color="auto"/>
            <w:left w:val="none" w:sz="0" w:space="0" w:color="auto"/>
            <w:bottom w:val="none" w:sz="0" w:space="0" w:color="auto"/>
            <w:right w:val="none" w:sz="0" w:space="0" w:color="auto"/>
          </w:divBdr>
        </w:div>
        <w:div w:id="471826405">
          <w:marLeft w:val="0"/>
          <w:marRight w:val="0"/>
          <w:marTop w:val="0"/>
          <w:marBottom w:val="0"/>
          <w:divBdr>
            <w:top w:val="none" w:sz="0" w:space="0" w:color="auto"/>
            <w:left w:val="none" w:sz="0" w:space="0" w:color="auto"/>
            <w:bottom w:val="none" w:sz="0" w:space="0" w:color="auto"/>
            <w:right w:val="none" w:sz="0" w:space="0" w:color="auto"/>
          </w:divBdr>
        </w:div>
        <w:div w:id="832337130">
          <w:marLeft w:val="0"/>
          <w:marRight w:val="0"/>
          <w:marTop w:val="0"/>
          <w:marBottom w:val="0"/>
          <w:divBdr>
            <w:top w:val="none" w:sz="0" w:space="0" w:color="auto"/>
            <w:left w:val="none" w:sz="0" w:space="0" w:color="auto"/>
            <w:bottom w:val="none" w:sz="0" w:space="0" w:color="auto"/>
            <w:right w:val="none" w:sz="0" w:space="0" w:color="auto"/>
          </w:divBdr>
        </w:div>
        <w:div w:id="1628470693">
          <w:marLeft w:val="0"/>
          <w:marRight w:val="0"/>
          <w:marTop w:val="0"/>
          <w:marBottom w:val="0"/>
          <w:divBdr>
            <w:top w:val="none" w:sz="0" w:space="0" w:color="auto"/>
            <w:left w:val="none" w:sz="0" w:space="0" w:color="auto"/>
            <w:bottom w:val="none" w:sz="0" w:space="0" w:color="auto"/>
            <w:right w:val="none" w:sz="0" w:space="0" w:color="auto"/>
          </w:divBdr>
        </w:div>
        <w:div w:id="1456682115">
          <w:marLeft w:val="0"/>
          <w:marRight w:val="0"/>
          <w:marTop w:val="0"/>
          <w:marBottom w:val="0"/>
          <w:divBdr>
            <w:top w:val="none" w:sz="0" w:space="0" w:color="auto"/>
            <w:left w:val="none" w:sz="0" w:space="0" w:color="auto"/>
            <w:bottom w:val="none" w:sz="0" w:space="0" w:color="auto"/>
            <w:right w:val="none" w:sz="0" w:space="0" w:color="auto"/>
          </w:divBdr>
          <w:divsChild>
            <w:div w:id="1111628385">
              <w:marLeft w:val="0"/>
              <w:marRight w:val="0"/>
              <w:marTop w:val="0"/>
              <w:marBottom w:val="0"/>
              <w:divBdr>
                <w:top w:val="none" w:sz="0" w:space="0" w:color="auto"/>
                <w:left w:val="none" w:sz="0" w:space="0" w:color="auto"/>
                <w:bottom w:val="none" w:sz="0" w:space="0" w:color="auto"/>
                <w:right w:val="none" w:sz="0" w:space="0" w:color="auto"/>
              </w:divBdr>
            </w:div>
            <w:div w:id="20739664">
              <w:marLeft w:val="0"/>
              <w:marRight w:val="0"/>
              <w:marTop w:val="0"/>
              <w:marBottom w:val="0"/>
              <w:divBdr>
                <w:top w:val="none" w:sz="0" w:space="0" w:color="auto"/>
                <w:left w:val="none" w:sz="0" w:space="0" w:color="auto"/>
                <w:bottom w:val="none" w:sz="0" w:space="0" w:color="auto"/>
                <w:right w:val="none" w:sz="0" w:space="0" w:color="auto"/>
              </w:divBdr>
            </w:div>
            <w:div w:id="47609349">
              <w:marLeft w:val="0"/>
              <w:marRight w:val="0"/>
              <w:marTop w:val="0"/>
              <w:marBottom w:val="0"/>
              <w:divBdr>
                <w:top w:val="none" w:sz="0" w:space="0" w:color="auto"/>
                <w:left w:val="none" w:sz="0" w:space="0" w:color="auto"/>
                <w:bottom w:val="none" w:sz="0" w:space="0" w:color="auto"/>
                <w:right w:val="none" w:sz="0" w:space="0" w:color="auto"/>
              </w:divBdr>
            </w:div>
          </w:divsChild>
        </w:div>
        <w:div w:id="666060829">
          <w:marLeft w:val="0"/>
          <w:marRight w:val="0"/>
          <w:marTop w:val="0"/>
          <w:marBottom w:val="0"/>
          <w:divBdr>
            <w:top w:val="none" w:sz="0" w:space="0" w:color="auto"/>
            <w:left w:val="none" w:sz="0" w:space="0" w:color="auto"/>
            <w:bottom w:val="none" w:sz="0" w:space="0" w:color="auto"/>
            <w:right w:val="none" w:sz="0" w:space="0" w:color="auto"/>
          </w:divBdr>
        </w:div>
        <w:div w:id="300769971">
          <w:marLeft w:val="0"/>
          <w:marRight w:val="0"/>
          <w:marTop w:val="0"/>
          <w:marBottom w:val="0"/>
          <w:divBdr>
            <w:top w:val="none" w:sz="0" w:space="0" w:color="auto"/>
            <w:left w:val="none" w:sz="0" w:space="0" w:color="auto"/>
            <w:bottom w:val="none" w:sz="0" w:space="0" w:color="auto"/>
            <w:right w:val="none" w:sz="0" w:space="0" w:color="auto"/>
          </w:divBdr>
        </w:div>
        <w:div w:id="45226997">
          <w:marLeft w:val="0"/>
          <w:marRight w:val="0"/>
          <w:marTop w:val="0"/>
          <w:marBottom w:val="0"/>
          <w:divBdr>
            <w:top w:val="none" w:sz="0" w:space="0" w:color="auto"/>
            <w:left w:val="none" w:sz="0" w:space="0" w:color="auto"/>
            <w:bottom w:val="none" w:sz="0" w:space="0" w:color="auto"/>
            <w:right w:val="none" w:sz="0" w:space="0" w:color="auto"/>
          </w:divBdr>
        </w:div>
        <w:div w:id="219101915">
          <w:marLeft w:val="0"/>
          <w:marRight w:val="0"/>
          <w:marTop w:val="0"/>
          <w:marBottom w:val="0"/>
          <w:divBdr>
            <w:top w:val="none" w:sz="0" w:space="0" w:color="auto"/>
            <w:left w:val="none" w:sz="0" w:space="0" w:color="auto"/>
            <w:bottom w:val="none" w:sz="0" w:space="0" w:color="auto"/>
            <w:right w:val="none" w:sz="0" w:space="0" w:color="auto"/>
          </w:divBdr>
        </w:div>
        <w:div w:id="1916285437">
          <w:marLeft w:val="0"/>
          <w:marRight w:val="0"/>
          <w:marTop w:val="0"/>
          <w:marBottom w:val="0"/>
          <w:divBdr>
            <w:top w:val="none" w:sz="0" w:space="0" w:color="auto"/>
            <w:left w:val="none" w:sz="0" w:space="0" w:color="auto"/>
            <w:bottom w:val="none" w:sz="0" w:space="0" w:color="auto"/>
            <w:right w:val="none" w:sz="0" w:space="0" w:color="auto"/>
          </w:divBdr>
        </w:div>
        <w:div w:id="1903323038">
          <w:marLeft w:val="0"/>
          <w:marRight w:val="0"/>
          <w:marTop w:val="0"/>
          <w:marBottom w:val="0"/>
          <w:divBdr>
            <w:top w:val="none" w:sz="0" w:space="0" w:color="auto"/>
            <w:left w:val="none" w:sz="0" w:space="0" w:color="auto"/>
            <w:bottom w:val="none" w:sz="0" w:space="0" w:color="auto"/>
            <w:right w:val="none" w:sz="0" w:space="0" w:color="auto"/>
          </w:divBdr>
          <w:divsChild>
            <w:div w:id="1023701493">
              <w:marLeft w:val="0"/>
              <w:marRight w:val="0"/>
              <w:marTop w:val="0"/>
              <w:marBottom w:val="0"/>
              <w:divBdr>
                <w:top w:val="none" w:sz="0" w:space="0" w:color="auto"/>
                <w:left w:val="none" w:sz="0" w:space="0" w:color="auto"/>
                <w:bottom w:val="none" w:sz="0" w:space="0" w:color="auto"/>
                <w:right w:val="none" w:sz="0" w:space="0" w:color="auto"/>
              </w:divBdr>
            </w:div>
          </w:divsChild>
        </w:div>
        <w:div w:id="1172525030">
          <w:marLeft w:val="0"/>
          <w:marRight w:val="0"/>
          <w:marTop w:val="0"/>
          <w:marBottom w:val="0"/>
          <w:divBdr>
            <w:top w:val="none" w:sz="0" w:space="0" w:color="auto"/>
            <w:left w:val="none" w:sz="0" w:space="0" w:color="auto"/>
            <w:bottom w:val="none" w:sz="0" w:space="0" w:color="auto"/>
            <w:right w:val="none" w:sz="0" w:space="0" w:color="auto"/>
          </w:divBdr>
        </w:div>
        <w:div w:id="1330595702">
          <w:marLeft w:val="0"/>
          <w:marRight w:val="0"/>
          <w:marTop w:val="0"/>
          <w:marBottom w:val="0"/>
          <w:divBdr>
            <w:top w:val="none" w:sz="0" w:space="0" w:color="auto"/>
            <w:left w:val="none" w:sz="0" w:space="0" w:color="auto"/>
            <w:bottom w:val="none" w:sz="0" w:space="0" w:color="auto"/>
            <w:right w:val="none" w:sz="0" w:space="0" w:color="auto"/>
          </w:divBdr>
        </w:div>
        <w:div w:id="466044251">
          <w:marLeft w:val="0"/>
          <w:marRight w:val="0"/>
          <w:marTop w:val="0"/>
          <w:marBottom w:val="0"/>
          <w:divBdr>
            <w:top w:val="none" w:sz="0" w:space="0" w:color="auto"/>
            <w:left w:val="none" w:sz="0" w:space="0" w:color="auto"/>
            <w:bottom w:val="none" w:sz="0" w:space="0" w:color="auto"/>
            <w:right w:val="none" w:sz="0" w:space="0" w:color="auto"/>
          </w:divBdr>
        </w:div>
        <w:div w:id="1075979495">
          <w:marLeft w:val="0"/>
          <w:marRight w:val="0"/>
          <w:marTop w:val="0"/>
          <w:marBottom w:val="0"/>
          <w:divBdr>
            <w:top w:val="none" w:sz="0" w:space="0" w:color="auto"/>
            <w:left w:val="none" w:sz="0" w:space="0" w:color="auto"/>
            <w:bottom w:val="none" w:sz="0" w:space="0" w:color="auto"/>
            <w:right w:val="none" w:sz="0" w:space="0" w:color="auto"/>
          </w:divBdr>
        </w:div>
        <w:div w:id="1195995312">
          <w:marLeft w:val="0"/>
          <w:marRight w:val="0"/>
          <w:marTop w:val="0"/>
          <w:marBottom w:val="0"/>
          <w:divBdr>
            <w:top w:val="none" w:sz="0" w:space="0" w:color="auto"/>
            <w:left w:val="none" w:sz="0" w:space="0" w:color="auto"/>
            <w:bottom w:val="none" w:sz="0" w:space="0" w:color="auto"/>
            <w:right w:val="none" w:sz="0" w:space="0" w:color="auto"/>
          </w:divBdr>
        </w:div>
        <w:div w:id="1050035659">
          <w:marLeft w:val="0"/>
          <w:marRight w:val="0"/>
          <w:marTop w:val="0"/>
          <w:marBottom w:val="0"/>
          <w:divBdr>
            <w:top w:val="none" w:sz="0" w:space="0" w:color="auto"/>
            <w:left w:val="none" w:sz="0" w:space="0" w:color="auto"/>
            <w:bottom w:val="none" w:sz="0" w:space="0" w:color="auto"/>
            <w:right w:val="none" w:sz="0" w:space="0" w:color="auto"/>
          </w:divBdr>
        </w:div>
        <w:div w:id="330910665">
          <w:marLeft w:val="0"/>
          <w:marRight w:val="0"/>
          <w:marTop w:val="0"/>
          <w:marBottom w:val="0"/>
          <w:divBdr>
            <w:top w:val="none" w:sz="0" w:space="0" w:color="auto"/>
            <w:left w:val="none" w:sz="0" w:space="0" w:color="auto"/>
            <w:bottom w:val="none" w:sz="0" w:space="0" w:color="auto"/>
            <w:right w:val="none" w:sz="0" w:space="0" w:color="auto"/>
          </w:divBdr>
        </w:div>
        <w:div w:id="274486184">
          <w:marLeft w:val="0"/>
          <w:marRight w:val="0"/>
          <w:marTop w:val="0"/>
          <w:marBottom w:val="0"/>
          <w:divBdr>
            <w:top w:val="none" w:sz="0" w:space="0" w:color="auto"/>
            <w:left w:val="none" w:sz="0" w:space="0" w:color="auto"/>
            <w:bottom w:val="none" w:sz="0" w:space="0" w:color="auto"/>
            <w:right w:val="none" w:sz="0" w:space="0" w:color="auto"/>
          </w:divBdr>
          <w:divsChild>
            <w:div w:id="1842888665">
              <w:marLeft w:val="0"/>
              <w:marRight w:val="0"/>
              <w:marTop w:val="0"/>
              <w:marBottom w:val="0"/>
              <w:divBdr>
                <w:top w:val="none" w:sz="0" w:space="0" w:color="auto"/>
                <w:left w:val="none" w:sz="0" w:space="0" w:color="auto"/>
                <w:bottom w:val="none" w:sz="0" w:space="0" w:color="auto"/>
                <w:right w:val="none" w:sz="0" w:space="0" w:color="auto"/>
              </w:divBdr>
            </w:div>
            <w:div w:id="343751651">
              <w:marLeft w:val="0"/>
              <w:marRight w:val="0"/>
              <w:marTop w:val="0"/>
              <w:marBottom w:val="0"/>
              <w:divBdr>
                <w:top w:val="none" w:sz="0" w:space="0" w:color="auto"/>
                <w:left w:val="none" w:sz="0" w:space="0" w:color="auto"/>
                <w:bottom w:val="none" w:sz="0" w:space="0" w:color="auto"/>
                <w:right w:val="none" w:sz="0" w:space="0" w:color="auto"/>
              </w:divBdr>
            </w:div>
          </w:divsChild>
        </w:div>
        <w:div w:id="2050260876">
          <w:marLeft w:val="0"/>
          <w:marRight w:val="0"/>
          <w:marTop w:val="0"/>
          <w:marBottom w:val="0"/>
          <w:divBdr>
            <w:top w:val="none" w:sz="0" w:space="0" w:color="auto"/>
            <w:left w:val="none" w:sz="0" w:space="0" w:color="auto"/>
            <w:bottom w:val="none" w:sz="0" w:space="0" w:color="auto"/>
            <w:right w:val="none" w:sz="0" w:space="0" w:color="auto"/>
          </w:divBdr>
        </w:div>
        <w:div w:id="1587105329">
          <w:marLeft w:val="0"/>
          <w:marRight w:val="0"/>
          <w:marTop w:val="0"/>
          <w:marBottom w:val="0"/>
          <w:divBdr>
            <w:top w:val="none" w:sz="0" w:space="0" w:color="auto"/>
            <w:left w:val="none" w:sz="0" w:space="0" w:color="auto"/>
            <w:bottom w:val="none" w:sz="0" w:space="0" w:color="auto"/>
            <w:right w:val="none" w:sz="0" w:space="0" w:color="auto"/>
          </w:divBdr>
        </w:div>
        <w:div w:id="1087386380">
          <w:marLeft w:val="0"/>
          <w:marRight w:val="0"/>
          <w:marTop w:val="0"/>
          <w:marBottom w:val="0"/>
          <w:divBdr>
            <w:top w:val="none" w:sz="0" w:space="0" w:color="auto"/>
            <w:left w:val="none" w:sz="0" w:space="0" w:color="auto"/>
            <w:bottom w:val="none" w:sz="0" w:space="0" w:color="auto"/>
            <w:right w:val="none" w:sz="0" w:space="0" w:color="auto"/>
          </w:divBdr>
        </w:div>
        <w:div w:id="1747528777">
          <w:marLeft w:val="0"/>
          <w:marRight w:val="0"/>
          <w:marTop w:val="0"/>
          <w:marBottom w:val="0"/>
          <w:divBdr>
            <w:top w:val="none" w:sz="0" w:space="0" w:color="auto"/>
            <w:left w:val="none" w:sz="0" w:space="0" w:color="auto"/>
            <w:bottom w:val="none" w:sz="0" w:space="0" w:color="auto"/>
            <w:right w:val="none" w:sz="0" w:space="0" w:color="auto"/>
          </w:divBdr>
        </w:div>
        <w:div w:id="2137286990">
          <w:marLeft w:val="0"/>
          <w:marRight w:val="0"/>
          <w:marTop w:val="0"/>
          <w:marBottom w:val="0"/>
          <w:divBdr>
            <w:top w:val="none" w:sz="0" w:space="0" w:color="auto"/>
            <w:left w:val="none" w:sz="0" w:space="0" w:color="auto"/>
            <w:bottom w:val="none" w:sz="0" w:space="0" w:color="auto"/>
            <w:right w:val="none" w:sz="0" w:space="0" w:color="auto"/>
          </w:divBdr>
          <w:divsChild>
            <w:div w:id="1917518090">
              <w:marLeft w:val="0"/>
              <w:marRight w:val="0"/>
              <w:marTop w:val="0"/>
              <w:marBottom w:val="0"/>
              <w:divBdr>
                <w:top w:val="none" w:sz="0" w:space="0" w:color="auto"/>
                <w:left w:val="none" w:sz="0" w:space="0" w:color="auto"/>
                <w:bottom w:val="none" w:sz="0" w:space="0" w:color="auto"/>
                <w:right w:val="none" w:sz="0" w:space="0" w:color="auto"/>
              </w:divBdr>
            </w:div>
            <w:div w:id="1950968869">
              <w:marLeft w:val="0"/>
              <w:marRight w:val="0"/>
              <w:marTop w:val="0"/>
              <w:marBottom w:val="0"/>
              <w:divBdr>
                <w:top w:val="none" w:sz="0" w:space="0" w:color="auto"/>
                <w:left w:val="none" w:sz="0" w:space="0" w:color="auto"/>
                <w:bottom w:val="none" w:sz="0" w:space="0" w:color="auto"/>
                <w:right w:val="none" w:sz="0" w:space="0" w:color="auto"/>
              </w:divBdr>
            </w:div>
          </w:divsChild>
        </w:div>
        <w:div w:id="2103337722">
          <w:marLeft w:val="0"/>
          <w:marRight w:val="0"/>
          <w:marTop w:val="0"/>
          <w:marBottom w:val="0"/>
          <w:divBdr>
            <w:top w:val="none" w:sz="0" w:space="0" w:color="auto"/>
            <w:left w:val="none" w:sz="0" w:space="0" w:color="auto"/>
            <w:bottom w:val="none" w:sz="0" w:space="0" w:color="auto"/>
            <w:right w:val="none" w:sz="0" w:space="0" w:color="auto"/>
          </w:divBdr>
        </w:div>
        <w:div w:id="1126044765">
          <w:marLeft w:val="0"/>
          <w:marRight w:val="0"/>
          <w:marTop w:val="0"/>
          <w:marBottom w:val="0"/>
          <w:divBdr>
            <w:top w:val="none" w:sz="0" w:space="0" w:color="auto"/>
            <w:left w:val="none" w:sz="0" w:space="0" w:color="auto"/>
            <w:bottom w:val="none" w:sz="0" w:space="0" w:color="auto"/>
            <w:right w:val="none" w:sz="0" w:space="0" w:color="auto"/>
          </w:divBdr>
        </w:div>
        <w:div w:id="1400782065">
          <w:marLeft w:val="0"/>
          <w:marRight w:val="0"/>
          <w:marTop w:val="0"/>
          <w:marBottom w:val="0"/>
          <w:divBdr>
            <w:top w:val="none" w:sz="0" w:space="0" w:color="auto"/>
            <w:left w:val="none" w:sz="0" w:space="0" w:color="auto"/>
            <w:bottom w:val="none" w:sz="0" w:space="0" w:color="auto"/>
            <w:right w:val="none" w:sz="0" w:space="0" w:color="auto"/>
          </w:divBdr>
        </w:div>
        <w:div w:id="300116201">
          <w:marLeft w:val="0"/>
          <w:marRight w:val="0"/>
          <w:marTop w:val="0"/>
          <w:marBottom w:val="0"/>
          <w:divBdr>
            <w:top w:val="none" w:sz="0" w:space="0" w:color="auto"/>
            <w:left w:val="none" w:sz="0" w:space="0" w:color="auto"/>
            <w:bottom w:val="none" w:sz="0" w:space="0" w:color="auto"/>
            <w:right w:val="none" w:sz="0" w:space="0" w:color="auto"/>
          </w:divBdr>
        </w:div>
        <w:div w:id="1448432356">
          <w:marLeft w:val="0"/>
          <w:marRight w:val="0"/>
          <w:marTop w:val="0"/>
          <w:marBottom w:val="0"/>
          <w:divBdr>
            <w:top w:val="none" w:sz="0" w:space="0" w:color="auto"/>
            <w:left w:val="none" w:sz="0" w:space="0" w:color="auto"/>
            <w:bottom w:val="none" w:sz="0" w:space="0" w:color="auto"/>
            <w:right w:val="none" w:sz="0" w:space="0" w:color="auto"/>
          </w:divBdr>
        </w:div>
        <w:div w:id="1821194661">
          <w:marLeft w:val="0"/>
          <w:marRight w:val="0"/>
          <w:marTop w:val="0"/>
          <w:marBottom w:val="0"/>
          <w:divBdr>
            <w:top w:val="none" w:sz="0" w:space="0" w:color="auto"/>
            <w:left w:val="none" w:sz="0" w:space="0" w:color="auto"/>
            <w:bottom w:val="none" w:sz="0" w:space="0" w:color="auto"/>
            <w:right w:val="none" w:sz="0" w:space="0" w:color="auto"/>
          </w:divBdr>
          <w:divsChild>
            <w:div w:id="552497784">
              <w:marLeft w:val="0"/>
              <w:marRight w:val="0"/>
              <w:marTop w:val="0"/>
              <w:marBottom w:val="0"/>
              <w:divBdr>
                <w:top w:val="none" w:sz="0" w:space="0" w:color="auto"/>
                <w:left w:val="none" w:sz="0" w:space="0" w:color="auto"/>
                <w:bottom w:val="none" w:sz="0" w:space="0" w:color="auto"/>
                <w:right w:val="none" w:sz="0" w:space="0" w:color="auto"/>
              </w:divBdr>
            </w:div>
            <w:div w:id="371421308">
              <w:marLeft w:val="0"/>
              <w:marRight w:val="0"/>
              <w:marTop w:val="0"/>
              <w:marBottom w:val="0"/>
              <w:divBdr>
                <w:top w:val="none" w:sz="0" w:space="0" w:color="auto"/>
                <w:left w:val="none" w:sz="0" w:space="0" w:color="auto"/>
                <w:bottom w:val="none" w:sz="0" w:space="0" w:color="auto"/>
                <w:right w:val="none" w:sz="0" w:space="0" w:color="auto"/>
              </w:divBdr>
            </w:div>
          </w:divsChild>
        </w:div>
        <w:div w:id="2040737740">
          <w:marLeft w:val="0"/>
          <w:marRight w:val="0"/>
          <w:marTop w:val="0"/>
          <w:marBottom w:val="0"/>
          <w:divBdr>
            <w:top w:val="none" w:sz="0" w:space="0" w:color="auto"/>
            <w:left w:val="none" w:sz="0" w:space="0" w:color="auto"/>
            <w:bottom w:val="none" w:sz="0" w:space="0" w:color="auto"/>
            <w:right w:val="none" w:sz="0" w:space="0" w:color="auto"/>
          </w:divBdr>
        </w:div>
        <w:div w:id="1129082244">
          <w:marLeft w:val="0"/>
          <w:marRight w:val="0"/>
          <w:marTop w:val="0"/>
          <w:marBottom w:val="0"/>
          <w:divBdr>
            <w:top w:val="none" w:sz="0" w:space="0" w:color="auto"/>
            <w:left w:val="none" w:sz="0" w:space="0" w:color="auto"/>
            <w:bottom w:val="none" w:sz="0" w:space="0" w:color="auto"/>
            <w:right w:val="none" w:sz="0" w:space="0" w:color="auto"/>
          </w:divBdr>
        </w:div>
        <w:div w:id="2122383758">
          <w:marLeft w:val="0"/>
          <w:marRight w:val="0"/>
          <w:marTop w:val="0"/>
          <w:marBottom w:val="0"/>
          <w:divBdr>
            <w:top w:val="none" w:sz="0" w:space="0" w:color="auto"/>
            <w:left w:val="none" w:sz="0" w:space="0" w:color="auto"/>
            <w:bottom w:val="none" w:sz="0" w:space="0" w:color="auto"/>
            <w:right w:val="none" w:sz="0" w:space="0" w:color="auto"/>
          </w:divBdr>
        </w:div>
        <w:div w:id="953748194">
          <w:marLeft w:val="0"/>
          <w:marRight w:val="0"/>
          <w:marTop w:val="0"/>
          <w:marBottom w:val="0"/>
          <w:divBdr>
            <w:top w:val="none" w:sz="0" w:space="0" w:color="auto"/>
            <w:left w:val="none" w:sz="0" w:space="0" w:color="auto"/>
            <w:bottom w:val="none" w:sz="0" w:space="0" w:color="auto"/>
            <w:right w:val="none" w:sz="0" w:space="0" w:color="auto"/>
          </w:divBdr>
        </w:div>
        <w:div w:id="319042746">
          <w:marLeft w:val="0"/>
          <w:marRight w:val="0"/>
          <w:marTop w:val="0"/>
          <w:marBottom w:val="0"/>
          <w:divBdr>
            <w:top w:val="none" w:sz="0" w:space="0" w:color="auto"/>
            <w:left w:val="none" w:sz="0" w:space="0" w:color="auto"/>
            <w:bottom w:val="none" w:sz="0" w:space="0" w:color="auto"/>
            <w:right w:val="none" w:sz="0" w:space="0" w:color="auto"/>
          </w:divBdr>
        </w:div>
        <w:div w:id="1330870689">
          <w:marLeft w:val="0"/>
          <w:marRight w:val="0"/>
          <w:marTop w:val="0"/>
          <w:marBottom w:val="0"/>
          <w:divBdr>
            <w:top w:val="none" w:sz="0" w:space="0" w:color="auto"/>
            <w:left w:val="none" w:sz="0" w:space="0" w:color="auto"/>
            <w:bottom w:val="none" w:sz="0" w:space="0" w:color="auto"/>
            <w:right w:val="none" w:sz="0" w:space="0" w:color="auto"/>
          </w:divBdr>
        </w:div>
        <w:div w:id="1175919389">
          <w:marLeft w:val="0"/>
          <w:marRight w:val="0"/>
          <w:marTop w:val="0"/>
          <w:marBottom w:val="0"/>
          <w:divBdr>
            <w:top w:val="none" w:sz="0" w:space="0" w:color="auto"/>
            <w:left w:val="none" w:sz="0" w:space="0" w:color="auto"/>
            <w:bottom w:val="none" w:sz="0" w:space="0" w:color="auto"/>
            <w:right w:val="none" w:sz="0" w:space="0" w:color="auto"/>
          </w:divBdr>
        </w:div>
        <w:div w:id="1840264937">
          <w:marLeft w:val="0"/>
          <w:marRight w:val="0"/>
          <w:marTop w:val="0"/>
          <w:marBottom w:val="0"/>
          <w:divBdr>
            <w:top w:val="none" w:sz="0" w:space="0" w:color="auto"/>
            <w:left w:val="none" w:sz="0" w:space="0" w:color="auto"/>
            <w:bottom w:val="none" w:sz="0" w:space="0" w:color="auto"/>
            <w:right w:val="none" w:sz="0" w:space="0" w:color="auto"/>
          </w:divBdr>
          <w:divsChild>
            <w:div w:id="631400070">
              <w:marLeft w:val="0"/>
              <w:marRight w:val="0"/>
              <w:marTop w:val="0"/>
              <w:marBottom w:val="0"/>
              <w:divBdr>
                <w:top w:val="none" w:sz="0" w:space="0" w:color="auto"/>
                <w:left w:val="none" w:sz="0" w:space="0" w:color="auto"/>
                <w:bottom w:val="none" w:sz="0" w:space="0" w:color="auto"/>
                <w:right w:val="none" w:sz="0" w:space="0" w:color="auto"/>
              </w:divBdr>
            </w:div>
            <w:div w:id="992105592">
              <w:marLeft w:val="0"/>
              <w:marRight w:val="0"/>
              <w:marTop w:val="0"/>
              <w:marBottom w:val="0"/>
              <w:divBdr>
                <w:top w:val="none" w:sz="0" w:space="0" w:color="auto"/>
                <w:left w:val="none" w:sz="0" w:space="0" w:color="auto"/>
                <w:bottom w:val="none" w:sz="0" w:space="0" w:color="auto"/>
                <w:right w:val="none" w:sz="0" w:space="0" w:color="auto"/>
              </w:divBdr>
            </w:div>
            <w:div w:id="461309206">
              <w:marLeft w:val="0"/>
              <w:marRight w:val="0"/>
              <w:marTop w:val="0"/>
              <w:marBottom w:val="0"/>
              <w:divBdr>
                <w:top w:val="none" w:sz="0" w:space="0" w:color="auto"/>
                <w:left w:val="none" w:sz="0" w:space="0" w:color="auto"/>
                <w:bottom w:val="none" w:sz="0" w:space="0" w:color="auto"/>
                <w:right w:val="none" w:sz="0" w:space="0" w:color="auto"/>
              </w:divBdr>
            </w:div>
            <w:div w:id="374352351">
              <w:marLeft w:val="0"/>
              <w:marRight w:val="0"/>
              <w:marTop w:val="0"/>
              <w:marBottom w:val="0"/>
              <w:divBdr>
                <w:top w:val="none" w:sz="0" w:space="0" w:color="auto"/>
                <w:left w:val="none" w:sz="0" w:space="0" w:color="auto"/>
                <w:bottom w:val="none" w:sz="0" w:space="0" w:color="auto"/>
                <w:right w:val="none" w:sz="0" w:space="0" w:color="auto"/>
              </w:divBdr>
            </w:div>
          </w:divsChild>
        </w:div>
        <w:div w:id="790516079">
          <w:marLeft w:val="0"/>
          <w:marRight w:val="0"/>
          <w:marTop w:val="0"/>
          <w:marBottom w:val="0"/>
          <w:divBdr>
            <w:top w:val="none" w:sz="0" w:space="0" w:color="auto"/>
            <w:left w:val="none" w:sz="0" w:space="0" w:color="auto"/>
            <w:bottom w:val="none" w:sz="0" w:space="0" w:color="auto"/>
            <w:right w:val="none" w:sz="0" w:space="0" w:color="auto"/>
          </w:divBdr>
        </w:div>
        <w:div w:id="653752836">
          <w:marLeft w:val="0"/>
          <w:marRight w:val="0"/>
          <w:marTop w:val="0"/>
          <w:marBottom w:val="0"/>
          <w:divBdr>
            <w:top w:val="none" w:sz="0" w:space="0" w:color="auto"/>
            <w:left w:val="none" w:sz="0" w:space="0" w:color="auto"/>
            <w:bottom w:val="none" w:sz="0" w:space="0" w:color="auto"/>
            <w:right w:val="none" w:sz="0" w:space="0" w:color="auto"/>
          </w:divBdr>
        </w:div>
        <w:div w:id="309481148">
          <w:marLeft w:val="0"/>
          <w:marRight w:val="0"/>
          <w:marTop w:val="0"/>
          <w:marBottom w:val="0"/>
          <w:divBdr>
            <w:top w:val="none" w:sz="0" w:space="0" w:color="auto"/>
            <w:left w:val="none" w:sz="0" w:space="0" w:color="auto"/>
            <w:bottom w:val="none" w:sz="0" w:space="0" w:color="auto"/>
            <w:right w:val="none" w:sz="0" w:space="0" w:color="auto"/>
          </w:divBdr>
        </w:div>
        <w:div w:id="867839580">
          <w:marLeft w:val="0"/>
          <w:marRight w:val="0"/>
          <w:marTop w:val="0"/>
          <w:marBottom w:val="0"/>
          <w:divBdr>
            <w:top w:val="none" w:sz="0" w:space="0" w:color="auto"/>
            <w:left w:val="none" w:sz="0" w:space="0" w:color="auto"/>
            <w:bottom w:val="none" w:sz="0" w:space="0" w:color="auto"/>
            <w:right w:val="none" w:sz="0" w:space="0" w:color="auto"/>
          </w:divBdr>
        </w:div>
        <w:div w:id="281886536">
          <w:marLeft w:val="0"/>
          <w:marRight w:val="0"/>
          <w:marTop w:val="0"/>
          <w:marBottom w:val="0"/>
          <w:divBdr>
            <w:top w:val="none" w:sz="0" w:space="0" w:color="auto"/>
            <w:left w:val="none" w:sz="0" w:space="0" w:color="auto"/>
            <w:bottom w:val="none" w:sz="0" w:space="0" w:color="auto"/>
            <w:right w:val="none" w:sz="0" w:space="0" w:color="auto"/>
          </w:divBdr>
        </w:div>
        <w:div w:id="1245797169">
          <w:marLeft w:val="0"/>
          <w:marRight w:val="0"/>
          <w:marTop w:val="0"/>
          <w:marBottom w:val="0"/>
          <w:divBdr>
            <w:top w:val="none" w:sz="0" w:space="0" w:color="auto"/>
            <w:left w:val="none" w:sz="0" w:space="0" w:color="auto"/>
            <w:bottom w:val="none" w:sz="0" w:space="0" w:color="auto"/>
            <w:right w:val="none" w:sz="0" w:space="0" w:color="auto"/>
          </w:divBdr>
        </w:div>
        <w:div w:id="419058152">
          <w:marLeft w:val="0"/>
          <w:marRight w:val="0"/>
          <w:marTop w:val="0"/>
          <w:marBottom w:val="0"/>
          <w:divBdr>
            <w:top w:val="none" w:sz="0" w:space="0" w:color="auto"/>
            <w:left w:val="none" w:sz="0" w:space="0" w:color="auto"/>
            <w:bottom w:val="none" w:sz="0" w:space="0" w:color="auto"/>
            <w:right w:val="none" w:sz="0" w:space="0" w:color="auto"/>
          </w:divBdr>
        </w:div>
        <w:div w:id="1270354931">
          <w:marLeft w:val="0"/>
          <w:marRight w:val="0"/>
          <w:marTop w:val="0"/>
          <w:marBottom w:val="0"/>
          <w:divBdr>
            <w:top w:val="none" w:sz="0" w:space="0" w:color="auto"/>
            <w:left w:val="none" w:sz="0" w:space="0" w:color="auto"/>
            <w:bottom w:val="none" w:sz="0" w:space="0" w:color="auto"/>
            <w:right w:val="none" w:sz="0" w:space="0" w:color="auto"/>
          </w:divBdr>
        </w:div>
        <w:div w:id="571695046">
          <w:marLeft w:val="0"/>
          <w:marRight w:val="0"/>
          <w:marTop w:val="0"/>
          <w:marBottom w:val="0"/>
          <w:divBdr>
            <w:top w:val="none" w:sz="0" w:space="0" w:color="auto"/>
            <w:left w:val="none" w:sz="0" w:space="0" w:color="auto"/>
            <w:bottom w:val="none" w:sz="0" w:space="0" w:color="auto"/>
            <w:right w:val="none" w:sz="0" w:space="0" w:color="auto"/>
          </w:divBdr>
          <w:divsChild>
            <w:div w:id="1310358467">
              <w:marLeft w:val="0"/>
              <w:marRight w:val="0"/>
              <w:marTop w:val="0"/>
              <w:marBottom w:val="0"/>
              <w:divBdr>
                <w:top w:val="none" w:sz="0" w:space="0" w:color="auto"/>
                <w:left w:val="none" w:sz="0" w:space="0" w:color="auto"/>
                <w:bottom w:val="none" w:sz="0" w:space="0" w:color="auto"/>
                <w:right w:val="none" w:sz="0" w:space="0" w:color="auto"/>
              </w:divBdr>
            </w:div>
          </w:divsChild>
        </w:div>
        <w:div w:id="1283271772">
          <w:marLeft w:val="0"/>
          <w:marRight w:val="0"/>
          <w:marTop w:val="0"/>
          <w:marBottom w:val="0"/>
          <w:divBdr>
            <w:top w:val="none" w:sz="0" w:space="0" w:color="auto"/>
            <w:left w:val="none" w:sz="0" w:space="0" w:color="auto"/>
            <w:bottom w:val="none" w:sz="0" w:space="0" w:color="auto"/>
            <w:right w:val="none" w:sz="0" w:space="0" w:color="auto"/>
          </w:divBdr>
        </w:div>
        <w:div w:id="1325014884">
          <w:marLeft w:val="0"/>
          <w:marRight w:val="0"/>
          <w:marTop w:val="0"/>
          <w:marBottom w:val="0"/>
          <w:divBdr>
            <w:top w:val="none" w:sz="0" w:space="0" w:color="auto"/>
            <w:left w:val="none" w:sz="0" w:space="0" w:color="auto"/>
            <w:bottom w:val="none" w:sz="0" w:space="0" w:color="auto"/>
            <w:right w:val="none" w:sz="0" w:space="0" w:color="auto"/>
          </w:divBdr>
        </w:div>
        <w:div w:id="1659767778">
          <w:marLeft w:val="0"/>
          <w:marRight w:val="0"/>
          <w:marTop w:val="0"/>
          <w:marBottom w:val="0"/>
          <w:divBdr>
            <w:top w:val="none" w:sz="0" w:space="0" w:color="auto"/>
            <w:left w:val="none" w:sz="0" w:space="0" w:color="auto"/>
            <w:bottom w:val="none" w:sz="0" w:space="0" w:color="auto"/>
            <w:right w:val="none" w:sz="0" w:space="0" w:color="auto"/>
          </w:divBdr>
        </w:div>
        <w:div w:id="1718354356">
          <w:marLeft w:val="0"/>
          <w:marRight w:val="0"/>
          <w:marTop w:val="0"/>
          <w:marBottom w:val="0"/>
          <w:divBdr>
            <w:top w:val="none" w:sz="0" w:space="0" w:color="auto"/>
            <w:left w:val="none" w:sz="0" w:space="0" w:color="auto"/>
            <w:bottom w:val="none" w:sz="0" w:space="0" w:color="auto"/>
            <w:right w:val="none" w:sz="0" w:space="0" w:color="auto"/>
          </w:divBdr>
        </w:div>
        <w:div w:id="1849901774">
          <w:marLeft w:val="0"/>
          <w:marRight w:val="0"/>
          <w:marTop w:val="0"/>
          <w:marBottom w:val="0"/>
          <w:divBdr>
            <w:top w:val="none" w:sz="0" w:space="0" w:color="auto"/>
            <w:left w:val="none" w:sz="0" w:space="0" w:color="auto"/>
            <w:bottom w:val="none" w:sz="0" w:space="0" w:color="auto"/>
            <w:right w:val="none" w:sz="0" w:space="0" w:color="auto"/>
          </w:divBdr>
        </w:div>
        <w:div w:id="70124580">
          <w:marLeft w:val="0"/>
          <w:marRight w:val="0"/>
          <w:marTop w:val="0"/>
          <w:marBottom w:val="0"/>
          <w:divBdr>
            <w:top w:val="none" w:sz="0" w:space="0" w:color="auto"/>
            <w:left w:val="none" w:sz="0" w:space="0" w:color="auto"/>
            <w:bottom w:val="none" w:sz="0" w:space="0" w:color="auto"/>
            <w:right w:val="none" w:sz="0" w:space="0" w:color="auto"/>
          </w:divBdr>
        </w:div>
        <w:div w:id="1787044174">
          <w:marLeft w:val="0"/>
          <w:marRight w:val="0"/>
          <w:marTop w:val="0"/>
          <w:marBottom w:val="0"/>
          <w:divBdr>
            <w:top w:val="none" w:sz="0" w:space="0" w:color="auto"/>
            <w:left w:val="none" w:sz="0" w:space="0" w:color="auto"/>
            <w:bottom w:val="none" w:sz="0" w:space="0" w:color="auto"/>
            <w:right w:val="none" w:sz="0" w:space="0" w:color="auto"/>
          </w:divBdr>
        </w:div>
        <w:div w:id="779645345">
          <w:marLeft w:val="0"/>
          <w:marRight w:val="0"/>
          <w:marTop w:val="0"/>
          <w:marBottom w:val="0"/>
          <w:divBdr>
            <w:top w:val="none" w:sz="0" w:space="0" w:color="auto"/>
            <w:left w:val="none" w:sz="0" w:space="0" w:color="auto"/>
            <w:bottom w:val="none" w:sz="0" w:space="0" w:color="auto"/>
            <w:right w:val="none" w:sz="0" w:space="0" w:color="auto"/>
          </w:divBdr>
        </w:div>
        <w:div w:id="1492256746">
          <w:marLeft w:val="0"/>
          <w:marRight w:val="0"/>
          <w:marTop w:val="0"/>
          <w:marBottom w:val="0"/>
          <w:divBdr>
            <w:top w:val="none" w:sz="0" w:space="0" w:color="auto"/>
            <w:left w:val="none" w:sz="0" w:space="0" w:color="auto"/>
            <w:bottom w:val="none" w:sz="0" w:space="0" w:color="auto"/>
            <w:right w:val="none" w:sz="0" w:space="0" w:color="auto"/>
          </w:divBdr>
        </w:div>
        <w:div w:id="589433229">
          <w:marLeft w:val="0"/>
          <w:marRight w:val="0"/>
          <w:marTop w:val="0"/>
          <w:marBottom w:val="0"/>
          <w:divBdr>
            <w:top w:val="none" w:sz="0" w:space="0" w:color="auto"/>
            <w:left w:val="none" w:sz="0" w:space="0" w:color="auto"/>
            <w:bottom w:val="none" w:sz="0" w:space="0" w:color="auto"/>
            <w:right w:val="none" w:sz="0" w:space="0" w:color="auto"/>
          </w:divBdr>
        </w:div>
        <w:div w:id="2097089647">
          <w:marLeft w:val="0"/>
          <w:marRight w:val="0"/>
          <w:marTop w:val="0"/>
          <w:marBottom w:val="0"/>
          <w:divBdr>
            <w:top w:val="none" w:sz="0" w:space="0" w:color="auto"/>
            <w:left w:val="none" w:sz="0" w:space="0" w:color="auto"/>
            <w:bottom w:val="none" w:sz="0" w:space="0" w:color="auto"/>
            <w:right w:val="none" w:sz="0" w:space="0" w:color="auto"/>
          </w:divBdr>
        </w:div>
        <w:div w:id="168062029">
          <w:marLeft w:val="0"/>
          <w:marRight w:val="0"/>
          <w:marTop w:val="0"/>
          <w:marBottom w:val="0"/>
          <w:divBdr>
            <w:top w:val="none" w:sz="0" w:space="0" w:color="auto"/>
            <w:left w:val="none" w:sz="0" w:space="0" w:color="auto"/>
            <w:bottom w:val="none" w:sz="0" w:space="0" w:color="auto"/>
            <w:right w:val="none" w:sz="0" w:space="0" w:color="auto"/>
          </w:divBdr>
        </w:div>
        <w:div w:id="1625036565">
          <w:marLeft w:val="0"/>
          <w:marRight w:val="0"/>
          <w:marTop w:val="0"/>
          <w:marBottom w:val="0"/>
          <w:divBdr>
            <w:top w:val="none" w:sz="0" w:space="0" w:color="auto"/>
            <w:left w:val="none" w:sz="0" w:space="0" w:color="auto"/>
            <w:bottom w:val="none" w:sz="0" w:space="0" w:color="auto"/>
            <w:right w:val="none" w:sz="0" w:space="0" w:color="auto"/>
          </w:divBdr>
        </w:div>
        <w:div w:id="451749401">
          <w:marLeft w:val="0"/>
          <w:marRight w:val="0"/>
          <w:marTop w:val="0"/>
          <w:marBottom w:val="0"/>
          <w:divBdr>
            <w:top w:val="none" w:sz="0" w:space="0" w:color="auto"/>
            <w:left w:val="none" w:sz="0" w:space="0" w:color="auto"/>
            <w:bottom w:val="none" w:sz="0" w:space="0" w:color="auto"/>
            <w:right w:val="none" w:sz="0" w:space="0" w:color="auto"/>
          </w:divBdr>
        </w:div>
        <w:div w:id="295186538">
          <w:marLeft w:val="0"/>
          <w:marRight w:val="0"/>
          <w:marTop w:val="0"/>
          <w:marBottom w:val="0"/>
          <w:divBdr>
            <w:top w:val="none" w:sz="0" w:space="0" w:color="auto"/>
            <w:left w:val="none" w:sz="0" w:space="0" w:color="auto"/>
            <w:bottom w:val="none" w:sz="0" w:space="0" w:color="auto"/>
            <w:right w:val="none" w:sz="0" w:space="0" w:color="auto"/>
          </w:divBdr>
        </w:div>
        <w:div w:id="1509634216">
          <w:marLeft w:val="0"/>
          <w:marRight w:val="0"/>
          <w:marTop w:val="0"/>
          <w:marBottom w:val="0"/>
          <w:divBdr>
            <w:top w:val="none" w:sz="0" w:space="0" w:color="auto"/>
            <w:left w:val="none" w:sz="0" w:space="0" w:color="auto"/>
            <w:bottom w:val="none" w:sz="0" w:space="0" w:color="auto"/>
            <w:right w:val="none" w:sz="0" w:space="0" w:color="auto"/>
          </w:divBdr>
        </w:div>
        <w:div w:id="833225087">
          <w:marLeft w:val="0"/>
          <w:marRight w:val="0"/>
          <w:marTop w:val="0"/>
          <w:marBottom w:val="0"/>
          <w:divBdr>
            <w:top w:val="none" w:sz="0" w:space="0" w:color="auto"/>
            <w:left w:val="none" w:sz="0" w:space="0" w:color="auto"/>
            <w:bottom w:val="none" w:sz="0" w:space="0" w:color="auto"/>
            <w:right w:val="none" w:sz="0" w:space="0" w:color="auto"/>
          </w:divBdr>
        </w:div>
        <w:div w:id="2068529945">
          <w:marLeft w:val="0"/>
          <w:marRight w:val="0"/>
          <w:marTop w:val="0"/>
          <w:marBottom w:val="0"/>
          <w:divBdr>
            <w:top w:val="none" w:sz="0" w:space="0" w:color="auto"/>
            <w:left w:val="none" w:sz="0" w:space="0" w:color="auto"/>
            <w:bottom w:val="none" w:sz="0" w:space="0" w:color="auto"/>
            <w:right w:val="none" w:sz="0" w:space="0" w:color="auto"/>
          </w:divBdr>
        </w:div>
        <w:div w:id="965545652">
          <w:marLeft w:val="0"/>
          <w:marRight w:val="0"/>
          <w:marTop w:val="0"/>
          <w:marBottom w:val="0"/>
          <w:divBdr>
            <w:top w:val="none" w:sz="0" w:space="0" w:color="auto"/>
            <w:left w:val="none" w:sz="0" w:space="0" w:color="auto"/>
            <w:bottom w:val="none" w:sz="0" w:space="0" w:color="auto"/>
            <w:right w:val="none" w:sz="0" w:space="0" w:color="auto"/>
          </w:divBdr>
        </w:div>
        <w:div w:id="563299675">
          <w:marLeft w:val="0"/>
          <w:marRight w:val="0"/>
          <w:marTop w:val="0"/>
          <w:marBottom w:val="0"/>
          <w:divBdr>
            <w:top w:val="none" w:sz="0" w:space="0" w:color="auto"/>
            <w:left w:val="none" w:sz="0" w:space="0" w:color="auto"/>
            <w:bottom w:val="none" w:sz="0" w:space="0" w:color="auto"/>
            <w:right w:val="none" w:sz="0" w:space="0" w:color="auto"/>
          </w:divBdr>
        </w:div>
        <w:div w:id="1112867102">
          <w:marLeft w:val="0"/>
          <w:marRight w:val="0"/>
          <w:marTop w:val="0"/>
          <w:marBottom w:val="0"/>
          <w:divBdr>
            <w:top w:val="none" w:sz="0" w:space="0" w:color="auto"/>
            <w:left w:val="none" w:sz="0" w:space="0" w:color="auto"/>
            <w:bottom w:val="none" w:sz="0" w:space="0" w:color="auto"/>
            <w:right w:val="none" w:sz="0" w:space="0" w:color="auto"/>
          </w:divBdr>
        </w:div>
        <w:div w:id="1815754248">
          <w:marLeft w:val="0"/>
          <w:marRight w:val="0"/>
          <w:marTop w:val="0"/>
          <w:marBottom w:val="0"/>
          <w:divBdr>
            <w:top w:val="none" w:sz="0" w:space="0" w:color="auto"/>
            <w:left w:val="none" w:sz="0" w:space="0" w:color="auto"/>
            <w:bottom w:val="none" w:sz="0" w:space="0" w:color="auto"/>
            <w:right w:val="none" w:sz="0" w:space="0" w:color="auto"/>
          </w:divBdr>
        </w:div>
        <w:div w:id="1588809181">
          <w:marLeft w:val="0"/>
          <w:marRight w:val="0"/>
          <w:marTop w:val="0"/>
          <w:marBottom w:val="0"/>
          <w:divBdr>
            <w:top w:val="none" w:sz="0" w:space="0" w:color="auto"/>
            <w:left w:val="none" w:sz="0" w:space="0" w:color="auto"/>
            <w:bottom w:val="none" w:sz="0" w:space="0" w:color="auto"/>
            <w:right w:val="none" w:sz="0" w:space="0" w:color="auto"/>
          </w:divBdr>
        </w:div>
        <w:div w:id="710109194">
          <w:marLeft w:val="0"/>
          <w:marRight w:val="0"/>
          <w:marTop w:val="0"/>
          <w:marBottom w:val="0"/>
          <w:divBdr>
            <w:top w:val="none" w:sz="0" w:space="0" w:color="auto"/>
            <w:left w:val="none" w:sz="0" w:space="0" w:color="auto"/>
            <w:bottom w:val="none" w:sz="0" w:space="0" w:color="auto"/>
            <w:right w:val="none" w:sz="0" w:space="0" w:color="auto"/>
          </w:divBdr>
        </w:div>
        <w:div w:id="1605306603">
          <w:marLeft w:val="0"/>
          <w:marRight w:val="0"/>
          <w:marTop w:val="0"/>
          <w:marBottom w:val="0"/>
          <w:divBdr>
            <w:top w:val="none" w:sz="0" w:space="0" w:color="auto"/>
            <w:left w:val="none" w:sz="0" w:space="0" w:color="auto"/>
            <w:bottom w:val="none" w:sz="0" w:space="0" w:color="auto"/>
            <w:right w:val="none" w:sz="0" w:space="0" w:color="auto"/>
          </w:divBdr>
        </w:div>
        <w:div w:id="471482453">
          <w:marLeft w:val="0"/>
          <w:marRight w:val="0"/>
          <w:marTop w:val="0"/>
          <w:marBottom w:val="0"/>
          <w:divBdr>
            <w:top w:val="none" w:sz="0" w:space="0" w:color="auto"/>
            <w:left w:val="none" w:sz="0" w:space="0" w:color="auto"/>
            <w:bottom w:val="none" w:sz="0" w:space="0" w:color="auto"/>
            <w:right w:val="none" w:sz="0" w:space="0" w:color="auto"/>
          </w:divBdr>
        </w:div>
        <w:div w:id="334577354">
          <w:marLeft w:val="0"/>
          <w:marRight w:val="0"/>
          <w:marTop w:val="0"/>
          <w:marBottom w:val="0"/>
          <w:divBdr>
            <w:top w:val="none" w:sz="0" w:space="0" w:color="auto"/>
            <w:left w:val="none" w:sz="0" w:space="0" w:color="auto"/>
            <w:bottom w:val="none" w:sz="0" w:space="0" w:color="auto"/>
            <w:right w:val="none" w:sz="0" w:space="0" w:color="auto"/>
          </w:divBdr>
        </w:div>
        <w:div w:id="1847787886">
          <w:marLeft w:val="0"/>
          <w:marRight w:val="0"/>
          <w:marTop w:val="0"/>
          <w:marBottom w:val="0"/>
          <w:divBdr>
            <w:top w:val="none" w:sz="0" w:space="0" w:color="auto"/>
            <w:left w:val="none" w:sz="0" w:space="0" w:color="auto"/>
            <w:bottom w:val="none" w:sz="0" w:space="0" w:color="auto"/>
            <w:right w:val="none" w:sz="0" w:space="0" w:color="auto"/>
          </w:divBdr>
        </w:div>
        <w:div w:id="1441603164">
          <w:marLeft w:val="0"/>
          <w:marRight w:val="0"/>
          <w:marTop w:val="0"/>
          <w:marBottom w:val="0"/>
          <w:divBdr>
            <w:top w:val="none" w:sz="0" w:space="0" w:color="auto"/>
            <w:left w:val="none" w:sz="0" w:space="0" w:color="auto"/>
            <w:bottom w:val="none" w:sz="0" w:space="0" w:color="auto"/>
            <w:right w:val="none" w:sz="0" w:space="0" w:color="auto"/>
          </w:divBdr>
        </w:div>
        <w:div w:id="1165508854">
          <w:marLeft w:val="0"/>
          <w:marRight w:val="0"/>
          <w:marTop w:val="0"/>
          <w:marBottom w:val="0"/>
          <w:divBdr>
            <w:top w:val="none" w:sz="0" w:space="0" w:color="auto"/>
            <w:left w:val="none" w:sz="0" w:space="0" w:color="auto"/>
            <w:bottom w:val="none" w:sz="0" w:space="0" w:color="auto"/>
            <w:right w:val="none" w:sz="0" w:space="0" w:color="auto"/>
          </w:divBdr>
        </w:div>
        <w:div w:id="1010138958">
          <w:marLeft w:val="0"/>
          <w:marRight w:val="0"/>
          <w:marTop w:val="0"/>
          <w:marBottom w:val="0"/>
          <w:divBdr>
            <w:top w:val="none" w:sz="0" w:space="0" w:color="auto"/>
            <w:left w:val="none" w:sz="0" w:space="0" w:color="auto"/>
            <w:bottom w:val="none" w:sz="0" w:space="0" w:color="auto"/>
            <w:right w:val="none" w:sz="0" w:space="0" w:color="auto"/>
          </w:divBdr>
        </w:div>
        <w:div w:id="2094692585">
          <w:marLeft w:val="0"/>
          <w:marRight w:val="0"/>
          <w:marTop w:val="0"/>
          <w:marBottom w:val="0"/>
          <w:divBdr>
            <w:top w:val="none" w:sz="0" w:space="0" w:color="auto"/>
            <w:left w:val="none" w:sz="0" w:space="0" w:color="auto"/>
            <w:bottom w:val="none" w:sz="0" w:space="0" w:color="auto"/>
            <w:right w:val="none" w:sz="0" w:space="0" w:color="auto"/>
          </w:divBdr>
          <w:divsChild>
            <w:div w:id="1863325390">
              <w:marLeft w:val="0"/>
              <w:marRight w:val="0"/>
              <w:marTop w:val="0"/>
              <w:marBottom w:val="0"/>
              <w:divBdr>
                <w:top w:val="none" w:sz="0" w:space="0" w:color="auto"/>
                <w:left w:val="none" w:sz="0" w:space="0" w:color="auto"/>
                <w:bottom w:val="none" w:sz="0" w:space="0" w:color="auto"/>
                <w:right w:val="none" w:sz="0" w:space="0" w:color="auto"/>
              </w:divBdr>
            </w:div>
          </w:divsChild>
        </w:div>
        <w:div w:id="905722915">
          <w:marLeft w:val="0"/>
          <w:marRight w:val="0"/>
          <w:marTop w:val="0"/>
          <w:marBottom w:val="0"/>
          <w:divBdr>
            <w:top w:val="none" w:sz="0" w:space="0" w:color="auto"/>
            <w:left w:val="none" w:sz="0" w:space="0" w:color="auto"/>
            <w:bottom w:val="none" w:sz="0" w:space="0" w:color="auto"/>
            <w:right w:val="none" w:sz="0" w:space="0" w:color="auto"/>
          </w:divBdr>
        </w:div>
        <w:div w:id="691687722">
          <w:marLeft w:val="0"/>
          <w:marRight w:val="0"/>
          <w:marTop w:val="0"/>
          <w:marBottom w:val="0"/>
          <w:divBdr>
            <w:top w:val="none" w:sz="0" w:space="0" w:color="auto"/>
            <w:left w:val="none" w:sz="0" w:space="0" w:color="auto"/>
            <w:bottom w:val="none" w:sz="0" w:space="0" w:color="auto"/>
            <w:right w:val="none" w:sz="0" w:space="0" w:color="auto"/>
          </w:divBdr>
        </w:div>
        <w:div w:id="1439063592">
          <w:marLeft w:val="0"/>
          <w:marRight w:val="0"/>
          <w:marTop w:val="0"/>
          <w:marBottom w:val="0"/>
          <w:divBdr>
            <w:top w:val="none" w:sz="0" w:space="0" w:color="auto"/>
            <w:left w:val="none" w:sz="0" w:space="0" w:color="auto"/>
            <w:bottom w:val="none" w:sz="0" w:space="0" w:color="auto"/>
            <w:right w:val="none" w:sz="0" w:space="0" w:color="auto"/>
          </w:divBdr>
        </w:div>
        <w:div w:id="1032878570">
          <w:marLeft w:val="0"/>
          <w:marRight w:val="0"/>
          <w:marTop w:val="0"/>
          <w:marBottom w:val="0"/>
          <w:divBdr>
            <w:top w:val="none" w:sz="0" w:space="0" w:color="auto"/>
            <w:left w:val="none" w:sz="0" w:space="0" w:color="auto"/>
            <w:bottom w:val="none" w:sz="0" w:space="0" w:color="auto"/>
            <w:right w:val="none" w:sz="0" w:space="0" w:color="auto"/>
          </w:divBdr>
        </w:div>
        <w:div w:id="598369684">
          <w:marLeft w:val="0"/>
          <w:marRight w:val="0"/>
          <w:marTop w:val="0"/>
          <w:marBottom w:val="0"/>
          <w:divBdr>
            <w:top w:val="none" w:sz="0" w:space="0" w:color="auto"/>
            <w:left w:val="none" w:sz="0" w:space="0" w:color="auto"/>
            <w:bottom w:val="none" w:sz="0" w:space="0" w:color="auto"/>
            <w:right w:val="none" w:sz="0" w:space="0" w:color="auto"/>
          </w:divBdr>
        </w:div>
        <w:div w:id="275644936">
          <w:marLeft w:val="0"/>
          <w:marRight w:val="0"/>
          <w:marTop w:val="0"/>
          <w:marBottom w:val="0"/>
          <w:divBdr>
            <w:top w:val="none" w:sz="0" w:space="0" w:color="auto"/>
            <w:left w:val="none" w:sz="0" w:space="0" w:color="auto"/>
            <w:bottom w:val="none" w:sz="0" w:space="0" w:color="auto"/>
            <w:right w:val="none" w:sz="0" w:space="0" w:color="auto"/>
          </w:divBdr>
        </w:div>
        <w:div w:id="1760907972">
          <w:marLeft w:val="0"/>
          <w:marRight w:val="0"/>
          <w:marTop w:val="0"/>
          <w:marBottom w:val="0"/>
          <w:divBdr>
            <w:top w:val="none" w:sz="0" w:space="0" w:color="auto"/>
            <w:left w:val="none" w:sz="0" w:space="0" w:color="auto"/>
            <w:bottom w:val="none" w:sz="0" w:space="0" w:color="auto"/>
            <w:right w:val="none" w:sz="0" w:space="0" w:color="auto"/>
          </w:divBdr>
          <w:divsChild>
            <w:div w:id="2110618185">
              <w:marLeft w:val="0"/>
              <w:marRight w:val="0"/>
              <w:marTop w:val="0"/>
              <w:marBottom w:val="0"/>
              <w:divBdr>
                <w:top w:val="none" w:sz="0" w:space="0" w:color="auto"/>
                <w:left w:val="none" w:sz="0" w:space="0" w:color="auto"/>
                <w:bottom w:val="none" w:sz="0" w:space="0" w:color="auto"/>
                <w:right w:val="none" w:sz="0" w:space="0" w:color="auto"/>
              </w:divBdr>
            </w:div>
          </w:divsChild>
        </w:div>
        <w:div w:id="1167792206">
          <w:marLeft w:val="0"/>
          <w:marRight w:val="0"/>
          <w:marTop w:val="0"/>
          <w:marBottom w:val="0"/>
          <w:divBdr>
            <w:top w:val="none" w:sz="0" w:space="0" w:color="auto"/>
            <w:left w:val="none" w:sz="0" w:space="0" w:color="auto"/>
            <w:bottom w:val="none" w:sz="0" w:space="0" w:color="auto"/>
            <w:right w:val="none" w:sz="0" w:space="0" w:color="auto"/>
          </w:divBdr>
        </w:div>
        <w:div w:id="1912348216">
          <w:marLeft w:val="0"/>
          <w:marRight w:val="0"/>
          <w:marTop w:val="0"/>
          <w:marBottom w:val="0"/>
          <w:divBdr>
            <w:top w:val="none" w:sz="0" w:space="0" w:color="auto"/>
            <w:left w:val="none" w:sz="0" w:space="0" w:color="auto"/>
            <w:bottom w:val="none" w:sz="0" w:space="0" w:color="auto"/>
            <w:right w:val="none" w:sz="0" w:space="0" w:color="auto"/>
          </w:divBdr>
        </w:div>
        <w:div w:id="1552765439">
          <w:marLeft w:val="0"/>
          <w:marRight w:val="0"/>
          <w:marTop w:val="0"/>
          <w:marBottom w:val="0"/>
          <w:divBdr>
            <w:top w:val="none" w:sz="0" w:space="0" w:color="auto"/>
            <w:left w:val="none" w:sz="0" w:space="0" w:color="auto"/>
            <w:bottom w:val="none" w:sz="0" w:space="0" w:color="auto"/>
            <w:right w:val="none" w:sz="0" w:space="0" w:color="auto"/>
          </w:divBdr>
        </w:div>
        <w:div w:id="1141195843">
          <w:marLeft w:val="0"/>
          <w:marRight w:val="0"/>
          <w:marTop w:val="0"/>
          <w:marBottom w:val="0"/>
          <w:divBdr>
            <w:top w:val="none" w:sz="0" w:space="0" w:color="auto"/>
            <w:left w:val="none" w:sz="0" w:space="0" w:color="auto"/>
            <w:bottom w:val="none" w:sz="0" w:space="0" w:color="auto"/>
            <w:right w:val="none" w:sz="0" w:space="0" w:color="auto"/>
          </w:divBdr>
        </w:div>
        <w:div w:id="1323974306">
          <w:marLeft w:val="0"/>
          <w:marRight w:val="0"/>
          <w:marTop w:val="0"/>
          <w:marBottom w:val="0"/>
          <w:divBdr>
            <w:top w:val="none" w:sz="0" w:space="0" w:color="auto"/>
            <w:left w:val="none" w:sz="0" w:space="0" w:color="auto"/>
            <w:bottom w:val="none" w:sz="0" w:space="0" w:color="auto"/>
            <w:right w:val="none" w:sz="0" w:space="0" w:color="auto"/>
          </w:divBdr>
        </w:div>
        <w:div w:id="1908564539">
          <w:marLeft w:val="0"/>
          <w:marRight w:val="0"/>
          <w:marTop w:val="0"/>
          <w:marBottom w:val="0"/>
          <w:divBdr>
            <w:top w:val="none" w:sz="0" w:space="0" w:color="auto"/>
            <w:left w:val="none" w:sz="0" w:space="0" w:color="auto"/>
            <w:bottom w:val="none" w:sz="0" w:space="0" w:color="auto"/>
            <w:right w:val="none" w:sz="0" w:space="0" w:color="auto"/>
          </w:divBdr>
        </w:div>
        <w:div w:id="299774537">
          <w:marLeft w:val="0"/>
          <w:marRight w:val="0"/>
          <w:marTop w:val="0"/>
          <w:marBottom w:val="0"/>
          <w:divBdr>
            <w:top w:val="none" w:sz="0" w:space="0" w:color="auto"/>
            <w:left w:val="none" w:sz="0" w:space="0" w:color="auto"/>
            <w:bottom w:val="none" w:sz="0" w:space="0" w:color="auto"/>
            <w:right w:val="none" w:sz="0" w:space="0" w:color="auto"/>
          </w:divBdr>
        </w:div>
        <w:div w:id="898906176">
          <w:marLeft w:val="0"/>
          <w:marRight w:val="0"/>
          <w:marTop w:val="0"/>
          <w:marBottom w:val="0"/>
          <w:divBdr>
            <w:top w:val="none" w:sz="0" w:space="0" w:color="auto"/>
            <w:left w:val="none" w:sz="0" w:space="0" w:color="auto"/>
            <w:bottom w:val="none" w:sz="0" w:space="0" w:color="auto"/>
            <w:right w:val="none" w:sz="0" w:space="0" w:color="auto"/>
          </w:divBdr>
        </w:div>
        <w:div w:id="379868159">
          <w:marLeft w:val="0"/>
          <w:marRight w:val="0"/>
          <w:marTop w:val="0"/>
          <w:marBottom w:val="0"/>
          <w:divBdr>
            <w:top w:val="none" w:sz="0" w:space="0" w:color="auto"/>
            <w:left w:val="none" w:sz="0" w:space="0" w:color="auto"/>
            <w:bottom w:val="none" w:sz="0" w:space="0" w:color="auto"/>
            <w:right w:val="none" w:sz="0" w:space="0" w:color="auto"/>
          </w:divBdr>
        </w:div>
        <w:div w:id="149180794">
          <w:marLeft w:val="0"/>
          <w:marRight w:val="0"/>
          <w:marTop w:val="0"/>
          <w:marBottom w:val="0"/>
          <w:divBdr>
            <w:top w:val="none" w:sz="0" w:space="0" w:color="auto"/>
            <w:left w:val="none" w:sz="0" w:space="0" w:color="auto"/>
            <w:bottom w:val="none" w:sz="0" w:space="0" w:color="auto"/>
            <w:right w:val="none" w:sz="0" w:space="0" w:color="auto"/>
          </w:divBdr>
        </w:div>
        <w:div w:id="1562446964">
          <w:marLeft w:val="0"/>
          <w:marRight w:val="0"/>
          <w:marTop w:val="0"/>
          <w:marBottom w:val="0"/>
          <w:divBdr>
            <w:top w:val="none" w:sz="0" w:space="0" w:color="auto"/>
            <w:left w:val="none" w:sz="0" w:space="0" w:color="auto"/>
            <w:bottom w:val="none" w:sz="0" w:space="0" w:color="auto"/>
            <w:right w:val="none" w:sz="0" w:space="0" w:color="auto"/>
          </w:divBdr>
        </w:div>
        <w:div w:id="1215778060">
          <w:marLeft w:val="0"/>
          <w:marRight w:val="0"/>
          <w:marTop w:val="0"/>
          <w:marBottom w:val="0"/>
          <w:divBdr>
            <w:top w:val="none" w:sz="0" w:space="0" w:color="auto"/>
            <w:left w:val="none" w:sz="0" w:space="0" w:color="auto"/>
            <w:bottom w:val="none" w:sz="0" w:space="0" w:color="auto"/>
            <w:right w:val="none" w:sz="0" w:space="0" w:color="auto"/>
          </w:divBdr>
        </w:div>
        <w:div w:id="1746684620">
          <w:marLeft w:val="0"/>
          <w:marRight w:val="0"/>
          <w:marTop w:val="0"/>
          <w:marBottom w:val="0"/>
          <w:divBdr>
            <w:top w:val="none" w:sz="0" w:space="0" w:color="auto"/>
            <w:left w:val="none" w:sz="0" w:space="0" w:color="auto"/>
            <w:bottom w:val="none" w:sz="0" w:space="0" w:color="auto"/>
            <w:right w:val="none" w:sz="0" w:space="0" w:color="auto"/>
          </w:divBdr>
        </w:div>
        <w:div w:id="425347495">
          <w:marLeft w:val="0"/>
          <w:marRight w:val="0"/>
          <w:marTop w:val="0"/>
          <w:marBottom w:val="0"/>
          <w:divBdr>
            <w:top w:val="none" w:sz="0" w:space="0" w:color="auto"/>
            <w:left w:val="none" w:sz="0" w:space="0" w:color="auto"/>
            <w:bottom w:val="none" w:sz="0" w:space="0" w:color="auto"/>
            <w:right w:val="none" w:sz="0" w:space="0" w:color="auto"/>
          </w:divBdr>
        </w:div>
        <w:div w:id="611324814">
          <w:marLeft w:val="0"/>
          <w:marRight w:val="0"/>
          <w:marTop w:val="0"/>
          <w:marBottom w:val="0"/>
          <w:divBdr>
            <w:top w:val="none" w:sz="0" w:space="0" w:color="auto"/>
            <w:left w:val="none" w:sz="0" w:space="0" w:color="auto"/>
            <w:bottom w:val="none" w:sz="0" w:space="0" w:color="auto"/>
            <w:right w:val="none" w:sz="0" w:space="0" w:color="auto"/>
          </w:divBdr>
        </w:div>
        <w:div w:id="1134103948">
          <w:marLeft w:val="0"/>
          <w:marRight w:val="0"/>
          <w:marTop w:val="0"/>
          <w:marBottom w:val="0"/>
          <w:divBdr>
            <w:top w:val="none" w:sz="0" w:space="0" w:color="auto"/>
            <w:left w:val="none" w:sz="0" w:space="0" w:color="auto"/>
            <w:bottom w:val="none" w:sz="0" w:space="0" w:color="auto"/>
            <w:right w:val="none" w:sz="0" w:space="0" w:color="auto"/>
          </w:divBdr>
        </w:div>
        <w:div w:id="815923371">
          <w:marLeft w:val="0"/>
          <w:marRight w:val="0"/>
          <w:marTop w:val="0"/>
          <w:marBottom w:val="0"/>
          <w:divBdr>
            <w:top w:val="none" w:sz="0" w:space="0" w:color="auto"/>
            <w:left w:val="none" w:sz="0" w:space="0" w:color="auto"/>
            <w:bottom w:val="none" w:sz="0" w:space="0" w:color="auto"/>
            <w:right w:val="none" w:sz="0" w:space="0" w:color="auto"/>
          </w:divBdr>
          <w:divsChild>
            <w:div w:id="1189025805">
              <w:marLeft w:val="0"/>
              <w:marRight w:val="0"/>
              <w:marTop w:val="0"/>
              <w:marBottom w:val="0"/>
              <w:divBdr>
                <w:top w:val="none" w:sz="0" w:space="0" w:color="auto"/>
                <w:left w:val="none" w:sz="0" w:space="0" w:color="auto"/>
                <w:bottom w:val="none" w:sz="0" w:space="0" w:color="auto"/>
                <w:right w:val="none" w:sz="0" w:space="0" w:color="auto"/>
              </w:divBdr>
              <w:divsChild>
                <w:div w:id="80002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953129">
          <w:marLeft w:val="0"/>
          <w:marRight w:val="0"/>
          <w:marTop w:val="0"/>
          <w:marBottom w:val="0"/>
          <w:divBdr>
            <w:top w:val="none" w:sz="0" w:space="0" w:color="auto"/>
            <w:left w:val="none" w:sz="0" w:space="0" w:color="auto"/>
            <w:bottom w:val="none" w:sz="0" w:space="0" w:color="auto"/>
            <w:right w:val="none" w:sz="0" w:space="0" w:color="auto"/>
          </w:divBdr>
        </w:div>
        <w:div w:id="379550553">
          <w:marLeft w:val="0"/>
          <w:marRight w:val="0"/>
          <w:marTop w:val="0"/>
          <w:marBottom w:val="0"/>
          <w:divBdr>
            <w:top w:val="none" w:sz="0" w:space="0" w:color="auto"/>
            <w:left w:val="none" w:sz="0" w:space="0" w:color="auto"/>
            <w:bottom w:val="none" w:sz="0" w:space="0" w:color="auto"/>
            <w:right w:val="none" w:sz="0" w:space="0" w:color="auto"/>
          </w:divBdr>
        </w:div>
        <w:div w:id="909536768">
          <w:marLeft w:val="0"/>
          <w:marRight w:val="0"/>
          <w:marTop w:val="0"/>
          <w:marBottom w:val="0"/>
          <w:divBdr>
            <w:top w:val="none" w:sz="0" w:space="0" w:color="auto"/>
            <w:left w:val="none" w:sz="0" w:space="0" w:color="auto"/>
            <w:bottom w:val="none" w:sz="0" w:space="0" w:color="auto"/>
            <w:right w:val="none" w:sz="0" w:space="0" w:color="auto"/>
          </w:divBdr>
        </w:div>
        <w:div w:id="523519191">
          <w:marLeft w:val="0"/>
          <w:marRight w:val="0"/>
          <w:marTop w:val="0"/>
          <w:marBottom w:val="0"/>
          <w:divBdr>
            <w:top w:val="none" w:sz="0" w:space="0" w:color="auto"/>
            <w:left w:val="none" w:sz="0" w:space="0" w:color="auto"/>
            <w:bottom w:val="none" w:sz="0" w:space="0" w:color="auto"/>
            <w:right w:val="none" w:sz="0" w:space="0" w:color="auto"/>
          </w:divBdr>
        </w:div>
        <w:div w:id="88936061">
          <w:marLeft w:val="0"/>
          <w:marRight w:val="0"/>
          <w:marTop w:val="0"/>
          <w:marBottom w:val="0"/>
          <w:divBdr>
            <w:top w:val="none" w:sz="0" w:space="0" w:color="auto"/>
            <w:left w:val="none" w:sz="0" w:space="0" w:color="auto"/>
            <w:bottom w:val="none" w:sz="0" w:space="0" w:color="auto"/>
            <w:right w:val="none" w:sz="0" w:space="0" w:color="auto"/>
          </w:divBdr>
        </w:div>
        <w:div w:id="1809934994">
          <w:marLeft w:val="0"/>
          <w:marRight w:val="0"/>
          <w:marTop w:val="0"/>
          <w:marBottom w:val="0"/>
          <w:divBdr>
            <w:top w:val="none" w:sz="0" w:space="0" w:color="auto"/>
            <w:left w:val="none" w:sz="0" w:space="0" w:color="auto"/>
            <w:bottom w:val="none" w:sz="0" w:space="0" w:color="auto"/>
            <w:right w:val="none" w:sz="0" w:space="0" w:color="auto"/>
          </w:divBdr>
        </w:div>
        <w:div w:id="358244109">
          <w:marLeft w:val="0"/>
          <w:marRight w:val="0"/>
          <w:marTop w:val="0"/>
          <w:marBottom w:val="0"/>
          <w:divBdr>
            <w:top w:val="none" w:sz="0" w:space="0" w:color="auto"/>
            <w:left w:val="none" w:sz="0" w:space="0" w:color="auto"/>
            <w:bottom w:val="none" w:sz="0" w:space="0" w:color="auto"/>
            <w:right w:val="none" w:sz="0" w:space="0" w:color="auto"/>
          </w:divBdr>
        </w:div>
        <w:div w:id="659389123">
          <w:marLeft w:val="0"/>
          <w:marRight w:val="0"/>
          <w:marTop w:val="0"/>
          <w:marBottom w:val="0"/>
          <w:divBdr>
            <w:top w:val="none" w:sz="0" w:space="0" w:color="auto"/>
            <w:left w:val="none" w:sz="0" w:space="0" w:color="auto"/>
            <w:bottom w:val="none" w:sz="0" w:space="0" w:color="auto"/>
            <w:right w:val="none" w:sz="0" w:space="0" w:color="auto"/>
          </w:divBdr>
        </w:div>
        <w:div w:id="1037893841">
          <w:marLeft w:val="0"/>
          <w:marRight w:val="0"/>
          <w:marTop w:val="0"/>
          <w:marBottom w:val="0"/>
          <w:divBdr>
            <w:top w:val="none" w:sz="0" w:space="0" w:color="auto"/>
            <w:left w:val="none" w:sz="0" w:space="0" w:color="auto"/>
            <w:bottom w:val="none" w:sz="0" w:space="0" w:color="auto"/>
            <w:right w:val="none" w:sz="0" w:space="0" w:color="auto"/>
          </w:divBdr>
        </w:div>
        <w:div w:id="1383360604">
          <w:marLeft w:val="0"/>
          <w:marRight w:val="0"/>
          <w:marTop w:val="0"/>
          <w:marBottom w:val="0"/>
          <w:divBdr>
            <w:top w:val="none" w:sz="0" w:space="0" w:color="auto"/>
            <w:left w:val="none" w:sz="0" w:space="0" w:color="auto"/>
            <w:bottom w:val="none" w:sz="0" w:space="0" w:color="auto"/>
            <w:right w:val="none" w:sz="0" w:space="0" w:color="auto"/>
          </w:divBdr>
        </w:div>
        <w:div w:id="909459239">
          <w:marLeft w:val="0"/>
          <w:marRight w:val="0"/>
          <w:marTop w:val="0"/>
          <w:marBottom w:val="0"/>
          <w:divBdr>
            <w:top w:val="none" w:sz="0" w:space="0" w:color="auto"/>
            <w:left w:val="none" w:sz="0" w:space="0" w:color="auto"/>
            <w:bottom w:val="none" w:sz="0" w:space="0" w:color="auto"/>
            <w:right w:val="none" w:sz="0" w:space="0" w:color="auto"/>
          </w:divBdr>
        </w:div>
        <w:div w:id="1282109817">
          <w:marLeft w:val="0"/>
          <w:marRight w:val="0"/>
          <w:marTop w:val="0"/>
          <w:marBottom w:val="0"/>
          <w:divBdr>
            <w:top w:val="none" w:sz="0" w:space="0" w:color="auto"/>
            <w:left w:val="none" w:sz="0" w:space="0" w:color="auto"/>
            <w:bottom w:val="none" w:sz="0" w:space="0" w:color="auto"/>
            <w:right w:val="none" w:sz="0" w:space="0" w:color="auto"/>
          </w:divBdr>
        </w:div>
        <w:div w:id="1180971390">
          <w:marLeft w:val="0"/>
          <w:marRight w:val="0"/>
          <w:marTop w:val="0"/>
          <w:marBottom w:val="0"/>
          <w:divBdr>
            <w:top w:val="none" w:sz="0" w:space="0" w:color="auto"/>
            <w:left w:val="none" w:sz="0" w:space="0" w:color="auto"/>
            <w:bottom w:val="none" w:sz="0" w:space="0" w:color="auto"/>
            <w:right w:val="none" w:sz="0" w:space="0" w:color="auto"/>
          </w:divBdr>
        </w:div>
        <w:div w:id="1013413175">
          <w:marLeft w:val="0"/>
          <w:marRight w:val="0"/>
          <w:marTop w:val="0"/>
          <w:marBottom w:val="0"/>
          <w:divBdr>
            <w:top w:val="none" w:sz="0" w:space="0" w:color="auto"/>
            <w:left w:val="none" w:sz="0" w:space="0" w:color="auto"/>
            <w:bottom w:val="none" w:sz="0" w:space="0" w:color="auto"/>
            <w:right w:val="none" w:sz="0" w:space="0" w:color="auto"/>
          </w:divBdr>
        </w:div>
        <w:div w:id="1912304709">
          <w:marLeft w:val="0"/>
          <w:marRight w:val="0"/>
          <w:marTop w:val="0"/>
          <w:marBottom w:val="0"/>
          <w:divBdr>
            <w:top w:val="none" w:sz="0" w:space="0" w:color="auto"/>
            <w:left w:val="none" w:sz="0" w:space="0" w:color="auto"/>
            <w:bottom w:val="none" w:sz="0" w:space="0" w:color="auto"/>
            <w:right w:val="none" w:sz="0" w:space="0" w:color="auto"/>
          </w:divBdr>
        </w:div>
        <w:div w:id="400056581">
          <w:marLeft w:val="0"/>
          <w:marRight w:val="0"/>
          <w:marTop w:val="0"/>
          <w:marBottom w:val="0"/>
          <w:divBdr>
            <w:top w:val="none" w:sz="0" w:space="0" w:color="auto"/>
            <w:left w:val="none" w:sz="0" w:space="0" w:color="auto"/>
            <w:bottom w:val="none" w:sz="0" w:space="0" w:color="auto"/>
            <w:right w:val="none" w:sz="0" w:space="0" w:color="auto"/>
          </w:divBdr>
        </w:div>
        <w:div w:id="503935812">
          <w:marLeft w:val="0"/>
          <w:marRight w:val="0"/>
          <w:marTop w:val="0"/>
          <w:marBottom w:val="0"/>
          <w:divBdr>
            <w:top w:val="none" w:sz="0" w:space="0" w:color="auto"/>
            <w:left w:val="none" w:sz="0" w:space="0" w:color="auto"/>
            <w:bottom w:val="none" w:sz="0" w:space="0" w:color="auto"/>
            <w:right w:val="none" w:sz="0" w:space="0" w:color="auto"/>
          </w:divBdr>
        </w:div>
        <w:div w:id="487677435">
          <w:marLeft w:val="0"/>
          <w:marRight w:val="0"/>
          <w:marTop w:val="0"/>
          <w:marBottom w:val="0"/>
          <w:divBdr>
            <w:top w:val="none" w:sz="0" w:space="0" w:color="auto"/>
            <w:left w:val="none" w:sz="0" w:space="0" w:color="auto"/>
            <w:bottom w:val="none" w:sz="0" w:space="0" w:color="auto"/>
            <w:right w:val="none" w:sz="0" w:space="0" w:color="auto"/>
          </w:divBdr>
        </w:div>
        <w:div w:id="2040544974">
          <w:marLeft w:val="0"/>
          <w:marRight w:val="0"/>
          <w:marTop w:val="0"/>
          <w:marBottom w:val="0"/>
          <w:divBdr>
            <w:top w:val="none" w:sz="0" w:space="0" w:color="auto"/>
            <w:left w:val="none" w:sz="0" w:space="0" w:color="auto"/>
            <w:bottom w:val="none" w:sz="0" w:space="0" w:color="auto"/>
            <w:right w:val="none" w:sz="0" w:space="0" w:color="auto"/>
          </w:divBdr>
        </w:div>
        <w:div w:id="68162842">
          <w:marLeft w:val="0"/>
          <w:marRight w:val="0"/>
          <w:marTop w:val="0"/>
          <w:marBottom w:val="0"/>
          <w:divBdr>
            <w:top w:val="none" w:sz="0" w:space="0" w:color="auto"/>
            <w:left w:val="none" w:sz="0" w:space="0" w:color="auto"/>
            <w:bottom w:val="none" w:sz="0" w:space="0" w:color="auto"/>
            <w:right w:val="none" w:sz="0" w:space="0" w:color="auto"/>
          </w:divBdr>
        </w:div>
        <w:div w:id="126558599">
          <w:marLeft w:val="0"/>
          <w:marRight w:val="0"/>
          <w:marTop w:val="0"/>
          <w:marBottom w:val="0"/>
          <w:divBdr>
            <w:top w:val="none" w:sz="0" w:space="0" w:color="auto"/>
            <w:left w:val="none" w:sz="0" w:space="0" w:color="auto"/>
            <w:bottom w:val="none" w:sz="0" w:space="0" w:color="auto"/>
            <w:right w:val="none" w:sz="0" w:space="0" w:color="auto"/>
          </w:divBdr>
        </w:div>
        <w:div w:id="989939707">
          <w:marLeft w:val="0"/>
          <w:marRight w:val="0"/>
          <w:marTop w:val="0"/>
          <w:marBottom w:val="0"/>
          <w:divBdr>
            <w:top w:val="none" w:sz="0" w:space="0" w:color="auto"/>
            <w:left w:val="none" w:sz="0" w:space="0" w:color="auto"/>
            <w:bottom w:val="none" w:sz="0" w:space="0" w:color="auto"/>
            <w:right w:val="none" w:sz="0" w:space="0" w:color="auto"/>
          </w:divBdr>
        </w:div>
        <w:div w:id="386078197">
          <w:marLeft w:val="0"/>
          <w:marRight w:val="0"/>
          <w:marTop w:val="0"/>
          <w:marBottom w:val="0"/>
          <w:divBdr>
            <w:top w:val="none" w:sz="0" w:space="0" w:color="auto"/>
            <w:left w:val="none" w:sz="0" w:space="0" w:color="auto"/>
            <w:bottom w:val="none" w:sz="0" w:space="0" w:color="auto"/>
            <w:right w:val="none" w:sz="0" w:space="0" w:color="auto"/>
          </w:divBdr>
        </w:div>
        <w:div w:id="1532691739">
          <w:marLeft w:val="0"/>
          <w:marRight w:val="0"/>
          <w:marTop w:val="0"/>
          <w:marBottom w:val="0"/>
          <w:divBdr>
            <w:top w:val="none" w:sz="0" w:space="0" w:color="auto"/>
            <w:left w:val="none" w:sz="0" w:space="0" w:color="auto"/>
            <w:bottom w:val="none" w:sz="0" w:space="0" w:color="auto"/>
            <w:right w:val="none" w:sz="0" w:space="0" w:color="auto"/>
          </w:divBdr>
        </w:div>
        <w:div w:id="1983268634">
          <w:marLeft w:val="0"/>
          <w:marRight w:val="0"/>
          <w:marTop w:val="0"/>
          <w:marBottom w:val="0"/>
          <w:divBdr>
            <w:top w:val="none" w:sz="0" w:space="0" w:color="auto"/>
            <w:left w:val="none" w:sz="0" w:space="0" w:color="auto"/>
            <w:bottom w:val="none" w:sz="0" w:space="0" w:color="auto"/>
            <w:right w:val="none" w:sz="0" w:space="0" w:color="auto"/>
          </w:divBdr>
        </w:div>
        <w:div w:id="1610089592">
          <w:marLeft w:val="0"/>
          <w:marRight w:val="0"/>
          <w:marTop w:val="0"/>
          <w:marBottom w:val="0"/>
          <w:divBdr>
            <w:top w:val="none" w:sz="0" w:space="0" w:color="auto"/>
            <w:left w:val="none" w:sz="0" w:space="0" w:color="auto"/>
            <w:bottom w:val="none" w:sz="0" w:space="0" w:color="auto"/>
            <w:right w:val="none" w:sz="0" w:space="0" w:color="auto"/>
          </w:divBdr>
        </w:div>
        <w:div w:id="1976831069">
          <w:marLeft w:val="0"/>
          <w:marRight w:val="0"/>
          <w:marTop w:val="0"/>
          <w:marBottom w:val="0"/>
          <w:divBdr>
            <w:top w:val="none" w:sz="0" w:space="0" w:color="auto"/>
            <w:left w:val="none" w:sz="0" w:space="0" w:color="auto"/>
            <w:bottom w:val="none" w:sz="0" w:space="0" w:color="auto"/>
            <w:right w:val="none" w:sz="0" w:space="0" w:color="auto"/>
          </w:divBdr>
        </w:div>
        <w:div w:id="1560509801">
          <w:marLeft w:val="0"/>
          <w:marRight w:val="0"/>
          <w:marTop w:val="0"/>
          <w:marBottom w:val="0"/>
          <w:divBdr>
            <w:top w:val="none" w:sz="0" w:space="0" w:color="auto"/>
            <w:left w:val="none" w:sz="0" w:space="0" w:color="auto"/>
            <w:bottom w:val="none" w:sz="0" w:space="0" w:color="auto"/>
            <w:right w:val="none" w:sz="0" w:space="0" w:color="auto"/>
          </w:divBdr>
        </w:div>
        <w:div w:id="1572039234">
          <w:marLeft w:val="0"/>
          <w:marRight w:val="0"/>
          <w:marTop w:val="0"/>
          <w:marBottom w:val="0"/>
          <w:divBdr>
            <w:top w:val="none" w:sz="0" w:space="0" w:color="auto"/>
            <w:left w:val="none" w:sz="0" w:space="0" w:color="auto"/>
            <w:bottom w:val="none" w:sz="0" w:space="0" w:color="auto"/>
            <w:right w:val="none" w:sz="0" w:space="0" w:color="auto"/>
          </w:divBdr>
        </w:div>
        <w:div w:id="414863753">
          <w:marLeft w:val="0"/>
          <w:marRight w:val="0"/>
          <w:marTop w:val="0"/>
          <w:marBottom w:val="0"/>
          <w:divBdr>
            <w:top w:val="none" w:sz="0" w:space="0" w:color="auto"/>
            <w:left w:val="none" w:sz="0" w:space="0" w:color="auto"/>
            <w:bottom w:val="none" w:sz="0" w:space="0" w:color="auto"/>
            <w:right w:val="none" w:sz="0" w:space="0" w:color="auto"/>
          </w:divBdr>
        </w:div>
        <w:div w:id="576482941">
          <w:marLeft w:val="0"/>
          <w:marRight w:val="0"/>
          <w:marTop w:val="0"/>
          <w:marBottom w:val="0"/>
          <w:divBdr>
            <w:top w:val="none" w:sz="0" w:space="0" w:color="auto"/>
            <w:left w:val="none" w:sz="0" w:space="0" w:color="auto"/>
            <w:bottom w:val="none" w:sz="0" w:space="0" w:color="auto"/>
            <w:right w:val="none" w:sz="0" w:space="0" w:color="auto"/>
          </w:divBdr>
        </w:div>
        <w:div w:id="1606963843">
          <w:marLeft w:val="0"/>
          <w:marRight w:val="0"/>
          <w:marTop w:val="0"/>
          <w:marBottom w:val="0"/>
          <w:divBdr>
            <w:top w:val="none" w:sz="0" w:space="0" w:color="auto"/>
            <w:left w:val="none" w:sz="0" w:space="0" w:color="auto"/>
            <w:bottom w:val="none" w:sz="0" w:space="0" w:color="auto"/>
            <w:right w:val="none" w:sz="0" w:space="0" w:color="auto"/>
          </w:divBdr>
        </w:div>
        <w:div w:id="448856472">
          <w:marLeft w:val="0"/>
          <w:marRight w:val="0"/>
          <w:marTop w:val="0"/>
          <w:marBottom w:val="0"/>
          <w:divBdr>
            <w:top w:val="none" w:sz="0" w:space="0" w:color="auto"/>
            <w:left w:val="none" w:sz="0" w:space="0" w:color="auto"/>
            <w:bottom w:val="none" w:sz="0" w:space="0" w:color="auto"/>
            <w:right w:val="none" w:sz="0" w:space="0" w:color="auto"/>
          </w:divBdr>
        </w:div>
        <w:div w:id="552273606">
          <w:marLeft w:val="0"/>
          <w:marRight w:val="0"/>
          <w:marTop w:val="0"/>
          <w:marBottom w:val="0"/>
          <w:divBdr>
            <w:top w:val="none" w:sz="0" w:space="0" w:color="auto"/>
            <w:left w:val="none" w:sz="0" w:space="0" w:color="auto"/>
            <w:bottom w:val="none" w:sz="0" w:space="0" w:color="auto"/>
            <w:right w:val="none" w:sz="0" w:space="0" w:color="auto"/>
          </w:divBdr>
        </w:div>
        <w:div w:id="1676760455">
          <w:marLeft w:val="0"/>
          <w:marRight w:val="0"/>
          <w:marTop w:val="0"/>
          <w:marBottom w:val="0"/>
          <w:divBdr>
            <w:top w:val="none" w:sz="0" w:space="0" w:color="auto"/>
            <w:left w:val="none" w:sz="0" w:space="0" w:color="auto"/>
            <w:bottom w:val="none" w:sz="0" w:space="0" w:color="auto"/>
            <w:right w:val="none" w:sz="0" w:space="0" w:color="auto"/>
          </w:divBdr>
        </w:div>
        <w:div w:id="1333332113">
          <w:marLeft w:val="0"/>
          <w:marRight w:val="0"/>
          <w:marTop w:val="0"/>
          <w:marBottom w:val="0"/>
          <w:divBdr>
            <w:top w:val="none" w:sz="0" w:space="0" w:color="auto"/>
            <w:left w:val="none" w:sz="0" w:space="0" w:color="auto"/>
            <w:bottom w:val="none" w:sz="0" w:space="0" w:color="auto"/>
            <w:right w:val="none" w:sz="0" w:space="0" w:color="auto"/>
          </w:divBdr>
        </w:div>
        <w:div w:id="518349377">
          <w:marLeft w:val="0"/>
          <w:marRight w:val="0"/>
          <w:marTop w:val="0"/>
          <w:marBottom w:val="0"/>
          <w:divBdr>
            <w:top w:val="none" w:sz="0" w:space="0" w:color="auto"/>
            <w:left w:val="none" w:sz="0" w:space="0" w:color="auto"/>
            <w:bottom w:val="none" w:sz="0" w:space="0" w:color="auto"/>
            <w:right w:val="none" w:sz="0" w:space="0" w:color="auto"/>
          </w:divBdr>
        </w:div>
        <w:div w:id="129248100">
          <w:marLeft w:val="0"/>
          <w:marRight w:val="0"/>
          <w:marTop w:val="0"/>
          <w:marBottom w:val="0"/>
          <w:divBdr>
            <w:top w:val="none" w:sz="0" w:space="0" w:color="auto"/>
            <w:left w:val="none" w:sz="0" w:space="0" w:color="auto"/>
            <w:bottom w:val="none" w:sz="0" w:space="0" w:color="auto"/>
            <w:right w:val="none" w:sz="0" w:space="0" w:color="auto"/>
          </w:divBdr>
        </w:div>
        <w:div w:id="905532729">
          <w:marLeft w:val="0"/>
          <w:marRight w:val="0"/>
          <w:marTop w:val="0"/>
          <w:marBottom w:val="0"/>
          <w:divBdr>
            <w:top w:val="none" w:sz="0" w:space="0" w:color="auto"/>
            <w:left w:val="none" w:sz="0" w:space="0" w:color="auto"/>
            <w:bottom w:val="none" w:sz="0" w:space="0" w:color="auto"/>
            <w:right w:val="none" w:sz="0" w:space="0" w:color="auto"/>
          </w:divBdr>
        </w:div>
        <w:div w:id="216087001">
          <w:marLeft w:val="0"/>
          <w:marRight w:val="0"/>
          <w:marTop w:val="0"/>
          <w:marBottom w:val="0"/>
          <w:divBdr>
            <w:top w:val="none" w:sz="0" w:space="0" w:color="auto"/>
            <w:left w:val="none" w:sz="0" w:space="0" w:color="auto"/>
            <w:bottom w:val="none" w:sz="0" w:space="0" w:color="auto"/>
            <w:right w:val="none" w:sz="0" w:space="0" w:color="auto"/>
          </w:divBdr>
        </w:div>
        <w:div w:id="1492059631">
          <w:marLeft w:val="0"/>
          <w:marRight w:val="0"/>
          <w:marTop w:val="0"/>
          <w:marBottom w:val="0"/>
          <w:divBdr>
            <w:top w:val="none" w:sz="0" w:space="0" w:color="auto"/>
            <w:left w:val="none" w:sz="0" w:space="0" w:color="auto"/>
            <w:bottom w:val="none" w:sz="0" w:space="0" w:color="auto"/>
            <w:right w:val="none" w:sz="0" w:space="0" w:color="auto"/>
          </w:divBdr>
        </w:div>
        <w:div w:id="762843228">
          <w:marLeft w:val="0"/>
          <w:marRight w:val="0"/>
          <w:marTop w:val="0"/>
          <w:marBottom w:val="0"/>
          <w:divBdr>
            <w:top w:val="none" w:sz="0" w:space="0" w:color="auto"/>
            <w:left w:val="none" w:sz="0" w:space="0" w:color="auto"/>
            <w:bottom w:val="none" w:sz="0" w:space="0" w:color="auto"/>
            <w:right w:val="none" w:sz="0" w:space="0" w:color="auto"/>
          </w:divBdr>
        </w:div>
        <w:div w:id="617487253">
          <w:marLeft w:val="0"/>
          <w:marRight w:val="0"/>
          <w:marTop w:val="0"/>
          <w:marBottom w:val="0"/>
          <w:divBdr>
            <w:top w:val="none" w:sz="0" w:space="0" w:color="auto"/>
            <w:left w:val="none" w:sz="0" w:space="0" w:color="auto"/>
            <w:bottom w:val="none" w:sz="0" w:space="0" w:color="auto"/>
            <w:right w:val="none" w:sz="0" w:space="0" w:color="auto"/>
          </w:divBdr>
        </w:div>
        <w:div w:id="939526195">
          <w:marLeft w:val="0"/>
          <w:marRight w:val="0"/>
          <w:marTop w:val="0"/>
          <w:marBottom w:val="0"/>
          <w:divBdr>
            <w:top w:val="none" w:sz="0" w:space="0" w:color="auto"/>
            <w:left w:val="none" w:sz="0" w:space="0" w:color="auto"/>
            <w:bottom w:val="none" w:sz="0" w:space="0" w:color="auto"/>
            <w:right w:val="none" w:sz="0" w:space="0" w:color="auto"/>
          </w:divBdr>
        </w:div>
        <w:div w:id="542332758">
          <w:marLeft w:val="0"/>
          <w:marRight w:val="0"/>
          <w:marTop w:val="0"/>
          <w:marBottom w:val="0"/>
          <w:divBdr>
            <w:top w:val="none" w:sz="0" w:space="0" w:color="auto"/>
            <w:left w:val="none" w:sz="0" w:space="0" w:color="auto"/>
            <w:bottom w:val="none" w:sz="0" w:space="0" w:color="auto"/>
            <w:right w:val="none" w:sz="0" w:space="0" w:color="auto"/>
          </w:divBdr>
        </w:div>
        <w:div w:id="537353047">
          <w:marLeft w:val="0"/>
          <w:marRight w:val="0"/>
          <w:marTop w:val="0"/>
          <w:marBottom w:val="0"/>
          <w:divBdr>
            <w:top w:val="none" w:sz="0" w:space="0" w:color="auto"/>
            <w:left w:val="none" w:sz="0" w:space="0" w:color="auto"/>
            <w:bottom w:val="none" w:sz="0" w:space="0" w:color="auto"/>
            <w:right w:val="none" w:sz="0" w:space="0" w:color="auto"/>
          </w:divBdr>
        </w:div>
        <w:div w:id="1016922962">
          <w:marLeft w:val="0"/>
          <w:marRight w:val="0"/>
          <w:marTop w:val="0"/>
          <w:marBottom w:val="0"/>
          <w:divBdr>
            <w:top w:val="none" w:sz="0" w:space="0" w:color="auto"/>
            <w:left w:val="none" w:sz="0" w:space="0" w:color="auto"/>
            <w:bottom w:val="none" w:sz="0" w:space="0" w:color="auto"/>
            <w:right w:val="none" w:sz="0" w:space="0" w:color="auto"/>
          </w:divBdr>
        </w:div>
        <w:div w:id="1965189698">
          <w:marLeft w:val="0"/>
          <w:marRight w:val="0"/>
          <w:marTop w:val="0"/>
          <w:marBottom w:val="0"/>
          <w:divBdr>
            <w:top w:val="none" w:sz="0" w:space="0" w:color="auto"/>
            <w:left w:val="none" w:sz="0" w:space="0" w:color="auto"/>
            <w:bottom w:val="none" w:sz="0" w:space="0" w:color="auto"/>
            <w:right w:val="none" w:sz="0" w:space="0" w:color="auto"/>
          </w:divBdr>
        </w:div>
        <w:div w:id="241720335">
          <w:marLeft w:val="0"/>
          <w:marRight w:val="0"/>
          <w:marTop w:val="0"/>
          <w:marBottom w:val="0"/>
          <w:divBdr>
            <w:top w:val="none" w:sz="0" w:space="0" w:color="auto"/>
            <w:left w:val="none" w:sz="0" w:space="0" w:color="auto"/>
            <w:bottom w:val="none" w:sz="0" w:space="0" w:color="auto"/>
            <w:right w:val="none" w:sz="0" w:space="0" w:color="auto"/>
          </w:divBdr>
        </w:div>
        <w:div w:id="1262491223">
          <w:marLeft w:val="0"/>
          <w:marRight w:val="0"/>
          <w:marTop w:val="0"/>
          <w:marBottom w:val="0"/>
          <w:divBdr>
            <w:top w:val="none" w:sz="0" w:space="0" w:color="auto"/>
            <w:left w:val="none" w:sz="0" w:space="0" w:color="auto"/>
            <w:bottom w:val="none" w:sz="0" w:space="0" w:color="auto"/>
            <w:right w:val="none" w:sz="0" w:space="0" w:color="auto"/>
          </w:divBdr>
        </w:div>
        <w:div w:id="2136094109">
          <w:marLeft w:val="0"/>
          <w:marRight w:val="0"/>
          <w:marTop w:val="0"/>
          <w:marBottom w:val="0"/>
          <w:divBdr>
            <w:top w:val="none" w:sz="0" w:space="0" w:color="auto"/>
            <w:left w:val="none" w:sz="0" w:space="0" w:color="auto"/>
            <w:bottom w:val="none" w:sz="0" w:space="0" w:color="auto"/>
            <w:right w:val="none" w:sz="0" w:space="0" w:color="auto"/>
          </w:divBdr>
          <w:divsChild>
            <w:div w:id="508175185">
              <w:marLeft w:val="0"/>
              <w:marRight w:val="0"/>
              <w:marTop w:val="0"/>
              <w:marBottom w:val="0"/>
              <w:divBdr>
                <w:top w:val="none" w:sz="0" w:space="0" w:color="auto"/>
                <w:left w:val="none" w:sz="0" w:space="0" w:color="auto"/>
                <w:bottom w:val="none" w:sz="0" w:space="0" w:color="auto"/>
                <w:right w:val="none" w:sz="0" w:space="0" w:color="auto"/>
              </w:divBdr>
            </w:div>
            <w:div w:id="2140417611">
              <w:marLeft w:val="0"/>
              <w:marRight w:val="0"/>
              <w:marTop w:val="0"/>
              <w:marBottom w:val="0"/>
              <w:divBdr>
                <w:top w:val="none" w:sz="0" w:space="0" w:color="auto"/>
                <w:left w:val="none" w:sz="0" w:space="0" w:color="auto"/>
                <w:bottom w:val="none" w:sz="0" w:space="0" w:color="auto"/>
                <w:right w:val="none" w:sz="0" w:space="0" w:color="auto"/>
              </w:divBdr>
            </w:div>
            <w:div w:id="2032145248">
              <w:marLeft w:val="0"/>
              <w:marRight w:val="0"/>
              <w:marTop w:val="0"/>
              <w:marBottom w:val="0"/>
              <w:divBdr>
                <w:top w:val="none" w:sz="0" w:space="0" w:color="auto"/>
                <w:left w:val="none" w:sz="0" w:space="0" w:color="auto"/>
                <w:bottom w:val="none" w:sz="0" w:space="0" w:color="auto"/>
                <w:right w:val="none" w:sz="0" w:space="0" w:color="auto"/>
              </w:divBdr>
            </w:div>
            <w:div w:id="1694186727">
              <w:marLeft w:val="0"/>
              <w:marRight w:val="0"/>
              <w:marTop w:val="0"/>
              <w:marBottom w:val="0"/>
              <w:divBdr>
                <w:top w:val="none" w:sz="0" w:space="0" w:color="auto"/>
                <w:left w:val="none" w:sz="0" w:space="0" w:color="auto"/>
                <w:bottom w:val="none" w:sz="0" w:space="0" w:color="auto"/>
                <w:right w:val="none" w:sz="0" w:space="0" w:color="auto"/>
              </w:divBdr>
            </w:div>
            <w:div w:id="2075925466">
              <w:marLeft w:val="0"/>
              <w:marRight w:val="0"/>
              <w:marTop w:val="0"/>
              <w:marBottom w:val="0"/>
              <w:divBdr>
                <w:top w:val="none" w:sz="0" w:space="0" w:color="auto"/>
                <w:left w:val="none" w:sz="0" w:space="0" w:color="auto"/>
                <w:bottom w:val="none" w:sz="0" w:space="0" w:color="auto"/>
                <w:right w:val="none" w:sz="0" w:space="0" w:color="auto"/>
              </w:divBdr>
            </w:div>
          </w:divsChild>
        </w:div>
        <w:div w:id="1382553751">
          <w:marLeft w:val="0"/>
          <w:marRight w:val="0"/>
          <w:marTop w:val="0"/>
          <w:marBottom w:val="0"/>
          <w:divBdr>
            <w:top w:val="none" w:sz="0" w:space="0" w:color="auto"/>
            <w:left w:val="none" w:sz="0" w:space="0" w:color="auto"/>
            <w:bottom w:val="none" w:sz="0" w:space="0" w:color="auto"/>
            <w:right w:val="none" w:sz="0" w:space="0" w:color="auto"/>
          </w:divBdr>
        </w:div>
        <w:div w:id="1799106872">
          <w:marLeft w:val="0"/>
          <w:marRight w:val="0"/>
          <w:marTop w:val="0"/>
          <w:marBottom w:val="0"/>
          <w:divBdr>
            <w:top w:val="none" w:sz="0" w:space="0" w:color="auto"/>
            <w:left w:val="none" w:sz="0" w:space="0" w:color="auto"/>
            <w:bottom w:val="none" w:sz="0" w:space="0" w:color="auto"/>
            <w:right w:val="none" w:sz="0" w:space="0" w:color="auto"/>
          </w:divBdr>
        </w:div>
        <w:div w:id="1276056976">
          <w:marLeft w:val="0"/>
          <w:marRight w:val="0"/>
          <w:marTop w:val="0"/>
          <w:marBottom w:val="0"/>
          <w:divBdr>
            <w:top w:val="none" w:sz="0" w:space="0" w:color="auto"/>
            <w:left w:val="none" w:sz="0" w:space="0" w:color="auto"/>
            <w:bottom w:val="none" w:sz="0" w:space="0" w:color="auto"/>
            <w:right w:val="none" w:sz="0" w:space="0" w:color="auto"/>
          </w:divBdr>
        </w:div>
        <w:div w:id="1123615063">
          <w:marLeft w:val="0"/>
          <w:marRight w:val="0"/>
          <w:marTop w:val="0"/>
          <w:marBottom w:val="0"/>
          <w:divBdr>
            <w:top w:val="none" w:sz="0" w:space="0" w:color="auto"/>
            <w:left w:val="none" w:sz="0" w:space="0" w:color="auto"/>
            <w:bottom w:val="none" w:sz="0" w:space="0" w:color="auto"/>
            <w:right w:val="none" w:sz="0" w:space="0" w:color="auto"/>
          </w:divBdr>
        </w:div>
        <w:div w:id="2061053541">
          <w:marLeft w:val="0"/>
          <w:marRight w:val="0"/>
          <w:marTop w:val="0"/>
          <w:marBottom w:val="0"/>
          <w:divBdr>
            <w:top w:val="none" w:sz="0" w:space="0" w:color="auto"/>
            <w:left w:val="none" w:sz="0" w:space="0" w:color="auto"/>
            <w:bottom w:val="none" w:sz="0" w:space="0" w:color="auto"/>
            <w:right w:val="none" w:sz="0" w:space="0" w:color="auto"/>
          </w:divBdr>
        </w:div>
        <w:div w:id="1813213819">
          <w:marLeft w:val="0"/>
          <w:marRight w:val="0"/>
          <w:marTop w:val="0"/>
          <w:marBottom w:val="0"/>
          <w:divBdr>
            <w:top w:val="none" w:sz="0" w:space="0" w:color="auto"/>
            <w:left w:val="none" w:sz="0" w:space="0" w:color="auto"/>
            <w:bottom w:val="none" w:sz="0" w:space="0" w:color="auto"/>
            <w:right w:val="none" w:sz="0" w:space="0" w:color="auto"/>
          </w:divBdr>
        </w:div>
        <w:div w:id="275911790">
          <w:marLeft w:val="0"/>
          <w:marRight w:val="0"/>
          <w:marTop w:val="0"/>
          <w:marBottom w:val="0"/>
          <w:divBdr>
            <w:top w:val="none" w:sz="0" w:space="0" w:color="auto"/>
            <w:left w:val="none" w:sz="0" w:space="0" w:color="auto"/>
            <w:bottom w:val="none" w:sz="0" w:space="0" w:color="auto"/>
            <w:right w:val="none" w:sz="0" w:space="0" w:color="auto"/>
          </w:divBdr>
        </w:div>
        <w:div w:id="1623026722">
          <w:marLeft w:val="0"/>
          <w:marRight w:val="0"/>
          <w:marTop w:val="0"/>
          <w:marBottom w:val="0"/>
          <w:divBdr>
            <w:top w:val="none" w:sz="0" w:space="0" w:color="auto"/>
            <w:left w:val="none" w:sz="0" w:space="0" w:color="auto"/>
            <w:bottom w:val="none" w:sz="0" w:space="0" w:color="auto"/>
            <w:right w:val="none" w:sz="0" w:space="0" w:color="auto"/>
          </w:divBdr>
        </w:div>
        <w:div w:id="269707319">
          <w:marLeft w:val="0"/>
          <w:marRight w:val="0"/>
          <w:marTop w:val="0"/>
          <w:marBottom w:val="0"/>
          <w:divBdr>
            <w:top w:val="none" w:sz="0" w:space="0" w:color="auto"/>
            <w:left w:val="none" w:sz="0" w:space="0" w:color="auto"/>
            <w:bottom w:val="none" w:sz="0" w:space="0" w:color="auto"/>
            <w:right w:val="none" w:sz="0" w:space="0" w:color="auto"/>
          </w:divBdr>
          <w:divsChild>
            <w:div w:id="81951330">
              <w:marLeft w:val="0"/>
              <w:marRight w:val="0"/>
              <w:marTop w:val="0"/>
              <w:marBottom w:val="0"/>
              <w:divBdr>
                <w:top w:val="none" w:sz="0" w:space="0" w:color="auto"/>
                <w:left w:val="none" w:sz="0" w:space="0" w:color="auto"/>
                <w:bottom w:val="none" w:sz="0" w:space="0" w:color="auto"/>
                <w:right w:val="none" w:sz="0" w:space="0" w:color="auto"/>
              </w:divBdr>
            </w:div>
            <w:div w:id="573589936">
              <w:marLeft w:val="0"/>
              <w:marRight w:val="0"/>
              <w:marTop w:val="0"/>
              <w:marBottom w:val="0"/>
              <w:divBdr>
                <w:top w:val="none" w:sz="0" w:space="0" w:color="auto"/>
                <w:left w:val="none" w:sz="0" w:space="0" w:color="auto"/>
                <w:bottom w:val="none" w:sz="0" w:space="0" w:color="auto"/>
                <w:right w:val="none" w:sz="0" w:space="0" w:color="auto"/>
              </w:divBdr>
            </w:div>
          </w:divsChild>
        </w:div>
        <w:div w:id="526916356">
          <w:marLeft w:val="0"/>
          <w:marRight w:val="0"/>
          <w:marTop w:val="0"/>
          <w:marBottom w:val="0"/>
          <w:divBdr>
            <w:top w:val="none" w:sz="0" w:space="0" w:color="auto"/>
            <w:left w:val="none" w:sz="0" w:space="0" w:color="auto"/>
            <w:bottom w:val="none" w:sz="0" w:space="0" w:color="auto"/>
            <w:right w:val="none" w:sz="0" w:space="0" w:color="auto"/>
          </w:divBdr>
        </w:div>
        <w:div w:id="1716538166">
          <w:marLeft w:val="0"/>
          <w:marRight w:val="0"/>
          <w:marTop w:val="0"/>
          <w:marBottom w:val="0"/>
          <w:divBdr>
            <w:top w:val="none" w:sz="0" w:space="0" w:color="auto"/>
            <w:left w:val="none" w:sz="0" w:space="0" w:color="auto"/>
            <w:bottom w:val="none" w:sz="0" w:space="0" w:color="auto"/>
            <w:right w:val="none" w:sz="0" w:space="0" w:color="auto"/>
          </w:divBdr>
        </w:div>
        <w:div w:id="37435785">
          <w:marLeft w:val="0"/>
          <w:marRight w:val="0"/>
          <w:marTop w:val="0"/>
          <w:marBottom w:val="0"/>
          <w:divBdr>
            <w:top w:val="none" w:sz="0" w:space="0" w:color="auto"/>
            <w:left w:val="none" w:sz="0" w:space="0" w:color="auto"/>
            <w:bottom w:val="none" w:sz="0" w:space="0" w:color="auto"/>
            <w:right w:val="none" w:sz="0" w:space="0" w:color="auto"/>
          </w:divBdr>
        </w:div>
        <w:div w:id="1267805254">
          <w:marLeft w:val="0"/>
          <w:marRight w:val="0"/>
          <w:marTop w:val="0"/>
          <w:marBottom w:val="0"/>
          <w:divBdr>
            <w:top w:val="none" w:sz="0" w:space="0" w:color="auto"/>
            <w:left w:val="none" w:sz="0" w:space="0" w:color="auto"/>
            <w:bottom w:val="none" w:sz="0" w:space="0" w:color="auto"/>
            <w:right w:val="none" w:sz="0" w:space="0" w:color="auto"/>
          </w:divBdr>
        </w:div>
        <w:div w:id="160656975">
          <w:marLeft w:val="0"/>
          <w:marRight w:val="0"/>
          <w:marTop w:val="0"/>
          <w:marBottom w:val="0"/>
          <w:divBdr>
            <w:top w:val="none" w:sz="0" w:space="0" w:color="auto"/>
            <w:left w:val="none" w:sz="0" w:space="0" w:color="auto"/>
            <w:bottom w:val="none" w:sz="0" w:space="0" w:color="auto"/>
            <w:right w:val="none" w:sz="0" w:space="0" w:color="auto"/>
          </w:divBdr>
        </w:div>
        <w:div w:id="97257548">
          <w:marLeft w:val="0"/>
          <w:marRight w:val="0"/>
          <w:marTop w:val="0"/>
          <w:marBottom w:val="0"/>
          <w:divBdr>
            <w:top w:val="none" w:sz="0" w:space="0" w:color="auto"/>
            <w:left w:val="none" w:sz="0" w:space="0" w:color="auto"/>
            <w:bottom w:val="none" w:sz="0" w:space="0" w:color="auto"/>
            <w:right w:val="none" w:sz="0" w:space="0" w:color="auto"/>
          </w:divBdr>
        </w:div>
        <w:div w:id="1755202295">
          <w:marLeft w:val="0"/>
          <w:marRight w:val="0"/>
          <w:marTop w:val="0"/>
          <w:marBottom w:val="0"/>
          <w:divBdr>
            <w:top w:val="none" w:sz="0" w:space="0" w:color="auto"/>
            <w:left w:val="none" w:sz="0" w:space="0" w:color="auto"/>
            <w:bottom w:val="none" w:sz="0" w:space="0" w:color="auto"/>
            <w:right w:val="none" w:sz="0" w:space="0" w:color="auto"/>
          </w:divBdr>
        </w:div>
        <w:div w:id="410274439">
          <w:marLeft w:val="0"/>
          <w:marRight w:val="0"/>
          <w:marTop w:val="0"/>
          <w:marBottom w:val="0"/>
          <w:divBdr>
            <w:top w:val="none" w:sz="0" w:space="0" w:color="auto"/>
            <w:left w:val="none" w:sz="0" w:space="0" w:color="auto"/>
            <w:bottom w:val="none" w:sz="0" w:space="0" w:color="auto"/>
            <w:right w:val="none" w:sz="0" w:space="0" w:color="auto"/>
          </w:divBdr>
        </w:div>
        <w:div w:id="787625735">
          <w:marLeft w:val="0"/>
          <w:marRight w:val="0"/>
          <w:marTop w:val="0"/>
          <w:marBottom w:val="0"/>
          <w:divBdr>
            <w:top w:val="none" w:sz="0" w:space="0" w:color="auto"/>
            <w:left w:val="none" w:sz="0" w:space="0" w:color="auto"/>
            <w:bottom w:val="none" w:sz="0" w:space="0" w:color="auto"/>
            <w:right w:val="none" w:sz="0" w:space="0" w:color="auto"/>
          </w:divBdr>
        </w:div>
        <w:div w:id="732504478">
          <w:marLeft w:val="0"/>
          <w:marRight w:val="0"/>
          <w:marTop w:val="0"/>
          <w:marBottom w:val="0"/>
          <w:divBdr>
            <w:top w:val="none" w:sz="0" w:space="0" w:color="auto"/>
            <w:left w:val="none" w:sz="0" w:space="0" w:color="auto"/>
            <w:bottom w:val="none" w:sz="0" w:space="0" w:color="auto"/>
            <w:right w:val="none" w:sz="0" w:space="0" w:color="auto"/>
          </w:divBdr>
        </w:div>
        <w:div w:id="711611456">
          <w:marLeft w:val="0"/>
          <w:marRight w:val="0"/>
          <w:marTop w:val="0"/>
          <w:marBottom w:val="0"/>
          <w:divBdr>
            <w:top w:val="none" w:sz="0" w:space="0" w:color="auto"/>
            <w:left w:val="none" w:sz="0" w:space="0" w:color="auto"/>
            <w:bottom w:val="none" w:sz="0" w:space="0" w:color="auto"/>
            <w:right w:val="none" w:sz="0" w:space="0" w:color="auto"/>
          </w:divBdr>
        </w:div>
        <w:div w:id="698973450">
          <w:marLeft w:val="0"/>
          <w:marRight w:val="0"/>
          <w:marTop w:val="0"/>
          <w:marBottom w:val="0"/>
          <w:divBdr>
            <w:top w:val="none" w:sz="0" w:space="0" w:color="auto"/>
            <w:left w:val="none" w:sz="0" w:space="0" w:color="auto"/>
            <w:bottom w:val="none" w:sz="0" w:space="0" w:color="auto"/>
            <w:right w:val="none" w:sz="0" w:space="0" w:color="auto"/>
          </w:divBdr>
        </w:div>
        <w:div w:id="182398333">
          <w:marLeft w:val="0"/>
          <w:marRight w:val="0"/>
          <w:marTop w:val="0"/>
          <w:marBottom w:val="0"/>
          <w:divBdr>
            <w:top w:val="none" w:sz="0" w:space="0" w:color="auto"/>
            <w:left w:val="none" w:sz="0" w:space="0" w:color="auto"/>
            <w:bottom w:val="none" w:sz="0" w:space="0" w:color="auto"/>
            <w:right w:val="none" w:sz="0" w:space="0" w:color="auto"/>
          </w:divBdr>
        </w:div>
        <w:div w:id="418134324">
          <w:marLeft w:val="0"/>
          <w:marRight w:val="0"/>
          <w:marTop w:val="0"/>
          <w:marBottom w:val="0"/>
          <w:divBdr>
            <w:top w:val="none" w:sz="0" w:space="0" w:color="auto"/>
            <w:left w:val="none" w:sz="0" w:space="0" w:color="auto"/>
            <w:bottom w:val="none" w:sz="0" w:space="0" w:color="auto"/>
            <w:right w:val="none" w:sz="0" w:space="0" w:color="auto"/>
          </w:divBdr>
        </w:div>
        <w:div w:id="1107502123">
          <w:marLeft w:val="0"/>
          <w:marRight w:val="0"/>
          <w:marTop w:val="0"/>
          <w:marBottom w:val="0"/>
          <w:divBdr>
            <w:top w:val="none" w:sz="0" w:space="0" w:color="auto"/>
            <w:left w:val="none" w:sz="0" w:space="0" w:color="auto"/>
            <w:bottom w:val="none" w:sz="0" w:space="0" w:color="auto"/>
            <w:right w:val="none" w:sz="0" w:space="0" w:color="auto"/>
          </w:divBdr>
          <w:divsChild>
            <w:div w:id="356783842">
              <w:marLeft w:val="0"/>
              <w:marRight w:val="0"/>
              <w:marTop w:val="0"/>
              <w:marBottom w:val="0"/>
              <w:divBdr>
                <w:top w:val="none" w:sz="0" w:space="0" w:color="auto"/>
                <w:left w:val="none" w:sz="0" w:space="0" w:color="auto"/>
                <w:bottom w:val="none" w:sz="0" w:space="0" w:color="auto"/>
                <w:right w:val="none" w:sz="0" w:space="0" w:color="auto"/>
              </w:divBdr>
            </w:div>
            <w:div w:id="1975597735">
              <w:marLeft w:val="0"/>
              <w:marRight w:val="0"/>
              <w:marTop w:val="0"/>
              <w:marBottom w:val="0"/>
              <w:divBdr>
                <w:top w:val="none" w:sz="0" w:space="0" w:color="auto"/>
                <w:left w:val="none" w:sz="0" w:space="0" w:color="auto"/>
                <w:bottom w:val="none" w:sz="0" w:space="0" w:color="auto"/>
                <w:right w:val="none" w:sz="0" w:space="0" w:color="auto"/>
              </w:divBdr>
            </w:div>
          </w:divsChild>
        </w:div>
        <w:div w:id="345445290">
          <w:marLeft w:val="0"/>
          <w:marRight w:val="0"/>
          <w:marTop w:val="0"/>
          <w:marBottom w:val="0"/>
          <w:divBdr>
            <w:top w:val="none" w:sz="0" w:space="0" w:color="auto"/>
            <w:left w:val="none" w:sz="0" w:space="0" w:color="auto"/>
            <w:bottom w:val="none" w:sz="0" w:space="0" w:color="auto"/>
            <w:right w:val="none" w:sz="0" w:space="0" w:color="auto"/>
          </w:divBdr>
        </w:div>
        <w:div w:id="1901744092">
          <w:marLeft w:val="0"/>
          <w:marRight w:val="0"/>
          <w:marTop w:val="0"/>
          <w:marBottom w:val="0"/>
          <w:divBdr>
            <w:top w:val="none" w:sz="0" w:space="0" w:color="auto"/>
            <w:left w:val="none" w:sz="0" w:space="0" w:color="auto"/>
            <w:bottom w:val="none" w:sz="0" w:space="0" w:color="auto"/>
            <w:right w:val="none" w:sz="0" w:space="0" w:color="auto"/>
          </w:divBdr>
        </w:div>
        <w:div w:id="1439445811">
          <w:marLeft w:val="0"/>
          <w:marRight w:val="0"/>
          <w:marTop w:val="0"/>
          <w:marBottom w:val="0"/>
          <w:divBdr>
            <w:top w:val="none" w:sz="0" w:space="0" w:color="auto"/>
            <w:left w:val="none" w:sz="0" w:space="0" w:color="auto"/>
            <w:bottom w:val="none" w:sz="0" w:space="0" w:color="auto"/>
            <w:right w:val="none" w:sz="0" w:space="0" w:color="auto"/>
          </w:divBdr>
        </w:div>
        <w:div w:id="1145052701">
          <w:marLeft w:val="0"/>
          <w:marRight w:val="0"/>
          <w:marTop w:val="0"/>
          <w:marBottom w:val="0"/>
          <w:divBdr>
            <w:top w:val="none" w:sz="0" w:space="0" w:color="auto"/>
            <w:left w:val="none" w:sz="0" w:space="0" w:color="auto"/>
            <w:bottom w:val="none" w:sz="0" w:space="0" w:color="auto"/>
            <w:right w:val="none" w:sz="0" w:space="0" w:color="auto"/>
          </w:divBdr>
        </w:div>
        <w:div w:id="1210218559">
          <w:marLeft w:val="0"/>
          <w:marRight w:val="0"/>
          <w:marTop w:val="0"/>
          <w:marBottom w:val="0"/>
          <w:divBdr>
            <w:top w:val="none" w:sz="0" w:space="0" w:color="auto"/>
            <w:left w:val="none" w:sz="0" w:space="0" w:color="auto"/>
            <w:bottom w:val="none" w:sz="0" w:space="0" w:color="auto"/>
            <w:right w:val="none" w:sz="0" w:space="0" w:color="auto"/>
          </w:divBdr>
        </w:div>
        <w:div w:id="964699549">
          <w:marLeft w:val="0"/>
          <w:marRight w:val="0"/>
          <w:marTop w:val="0"/>
          <w:marBottom w:val="0"/>
          <w:divBdr>
            <w:top w:val="none" w:sz="0" w:space="0" w:color="auto"/>
            <w:left w:val="none" w:sz="0" w:space="0" w:color="auto"/>
            <w:bottom w:val="none" w:sz="0" w:space="0" w:color="auto"/>
            <w:right w:val="none" w:sz="0" w:space="0" w:color="auto"/>
          </w:divBdr>
        </w:div>
        <w:div w:id="70271887">
          <w:marLeft w:val="0"/>
          <w:marRight w:val="0"/>
          <w:marTop w:val="0"/>
          <w:marBottom w:val="0"/>
          <w:divBdr>
            <w:top w:val="none" w:sz="0" w:space="0" w:color="auto"/>
            <w:left w:val="none" w:sz="0" w:space="0" w:color="auto"/>
            <w:bottom w:val="none" w:sz="0" w:space="0" w:color="auto"/>
            <w:right w:val="none" w:sz="0" w:space="0" w:color="auto"/>
          </w:divBdr>
        </w:div>
        <w:div w:id="1479222431">
          <w:marLeft w:val="0"/>
          <w:marRight w:val="0"/>
          <w:marTop w:val="0"/>
          <w:marBottom w:val="0"/>
          <w:divBdr>
            <w:top w:val="none" w:sz="0" w:space="0" w:color="auto"/>
            <w:left w:val="none" w:sz="0" w:space="0" w:color="auto"/>
            <w:bottom w:val="none" w:sz="0" w:space="0" w:color="auto"/>
            <w:right w:val="none" w:sz="0" w:space="0" w:color="auto"/>
          </w:divBdr>
        </w:div>
        <w:div w:id="2143838277">
          <w:marLeft w:val="0"/>
          <w:marRight w:val="0"/>
          <w:marTop w:val="0"/>
          <w:marBottom w:val="0"/>
          <w:divBdr>
            <w:top w:val="none" w:sz="0" w:space="0" w:color="auto"/>
            <w:left w:val="none" w:sz="0" w:space="0" w:color="auto"/>
            <w:bottom w:val="none" w:sz="0" w:space="0" w:color="auto"/>
            <w:right w:val="none" w:sz="0" w:space="0" w:color="auto"/>
          </w:divBdr>
        </w:div>
        <w:div w:id="1371416822">
          <w:marLeft w:val="0"/>
          <w:marRight w:val="0"/>
          <w:marTop w:val="0"/>
          <w:marBottom w:val="0"/>
          <w:divBdr>
            <w:top w:val="none" w:sz="0" w:space="0" w:color="auto"/>
            <w:left w:val="none" w:sz="0" w:space="0" w:color="auto"/>
            <w:bottom w:val="none" w:sz="0" w:space="0" w:color="auto"/>
            <w:right w:val="none" w:sz="0" w:space="0" w:color="auto"/>
          </w:divBdr>
        </w:div>
        <w:div w:id="15932266">
          <w:marLeft w:val="0"/>
          <w:marRight w:val="0"/>
          <w:marTop w:val="0"/>
          <w:marBottom w:val="0"/>
          <w:divBdr>
            <w:top w:val="none" w:sz="0" w:space="0" w:color="auto"/>
            <w:left w:val="none" w:sz="0" w:space="0" w:color="auto"/>
            <w:bottom w:val="none" w:sz="0" w:space="0" w:color="auto"/>
            <w:right w:val="none" w:sz="0" w:space="0" w:color="auto"/>
          </w:divBdr>
        </w:div>
        <w:div w:id="1370497214">
          <w:marLeft w:val="0"/>
          <w:marRight w:val="0"/>
          <w:marTop w:val="0"/>
          <w:marBottom w:val="0"/>
          <w:divBdr>
            <w:top w:val="none" w:sz="0" w:space="0" w:color="auto"/>
            <w:left w:val="none" w:sz="0" w:space="0" w:color="auto"/>
            <w:bottom w:val="none" w:sz="0" w:space="0" w:color="auto"/>
            <w:right w:val="none" w:sz="0" w:space="0" w:color="auto"/>
          </w:divBdr>
        </w:div>
        <w:div w:id="791631669">
          <w:marLeft w:val="0"/>
          <w:marRight w:val="0"/>
          <w:marTop w:val="0"/>
          <w:marBottom w:val="0"/>
          <w:divBdr>
            <w:top w:val="none" w:sz="0" w:space="0" w:color="auto"/>
            <w:left w:val="none" w:sz="0" w:space="0" w:color="auto"/>
            <w:bottom w:val="none" w:sz="0" w:space="0" w:color="auto"/>
            <w:right w:val="none" w:sz="0" w:space="0" w:color="auto"/>
          </w:divBdr>
        </w:div>
        <w:div w:id="1032999918">
          <w:marLeft w:val="0"/>
          <w:marRight w:val="0"/>
          <w:marTop w:val="0"/>
          <w:marBottom w:val="0"/>
          <w:divBdr>
            <w:top w:val="none" w:sz="0" w:space="0" w:color="auto"/>
            <w:left w:val="none" w:sz="0" w:space="0" w:color="auto"/>
            <w:bottom w:val="none" w:sz="0" w:space="0" w:color="auto"/>
            <w:right w:val="none" w:sz="0" w:space="0" w:color="auto"/>
          </w:divBdr>
        </w:div>
        <w:div w:id="2114668258">
          <w:marLeft w:val="0"/>
          <w:marRight w:val="0"/>
          <w:marTop w:val="0"/>
          <w:marBottom w:val="0"/>
          <w:divBdr>
            <w:top w:val="none" w:sz="0" w:space="0" w:color="auto"/>
            <w:left w:val="none" w:sz="0" w:space="0" w:color="auto"/>
            <w:bottom w:val="none" w:sz="0" w:space="0" w:color="auto"/>
            <w:right w:val="none" w:sz="0" w:space="0" w:color="auto"/>
          </w:divBdr>
        </w:div>
        <w:div w:id="1955020539">
          <w:marLeft w:val="0"/>
          <w:marRight w:val="0"/>
          <w:marTop w:val="0"/>
          <w:marBottom w:val="0"/>
          <w:divBdr>
            <w:top w:val="none" w:sz="0" w:space="0" w:color="auto"/>
            <w:left w:val="none" w:sz="0" w:space="0" w:color="auto"/>
            <w:bottom w:val="none" w:sz="0" w:space="0" w:color="auto"/>
            <w:right w:val="none" w:sz="0" w:space="0" w:color="auto"/>
          </w:divBdr>
        </w:div>
        <w:div w:id="1176387536">
          <w:marLeft w:val="0"/>
          <w:marRight w:val="0"/>
          <w:marTop w:val="0"/>
          <w:marBottom w:val="0"/>
          <w:divBdr>
            <w:top w:val="none" w:sz="0" w:space="0" w:color="auto"/>
            <w:left w:val="none" w:sz="0" w:space="0" w:color="auto"/>
            <w:bottom w:val="none" w:sz="0" w:space="0" w:color="auto"/>
            <w:right w:val="none" w:sz="0" w:space="0" w:color="auto"/>
          </w:divBdr>
        </w:div>
        <w:div w:id="1962375762">
          <w:marLeft w:val="0"/>
          <w:marRight w:val="0"/>
          <w:marTop w:val="0"/>
          <w:marBottom w:val="0"/>
          <w:divBdr>
            <w:top w:val="none" w:sz="0" w:space="0" w:color="auto"/>
            <w:left w:val="none" w:sz="0" w:space="0" w:color="auto"/>
            <w:bottom w:val="none" w:sz="0" w:space="0" w:color="auto"/>
            <w:right w:val="none" w:sz="0" w:space="0" w:color="auto"/>
          </w:divBdr>
          <w:divsChild>
            <w:div w:id="724525130">
              <w:marLeft w:val="0"/>
              <w:marRight w:val="0"/>
              <w:marTop w:val="0"/>
              <w:marBottom w:val="0"/>
              <w:divBdr>
                <w:top w:val="none" w:sz="0" w:space="0" w:color="auto"/>
                <w:left w:val="none" w:sz="0" w:space="0" w:color="auto"/>
                <w:bottom w:val="none" w:sz="0" w:space="0" w:color="auto"/>
                <w:right w:val="none" w:sz="0" w:space="0" w:color="auto"/>
              </w:divBdr>
            </w:div>
            <w:div w:id="487868010">
              <w:marLeft w:val="0"/>
              <w:marRight w:val="0"/>
              <w:marTop w:val="0"/>
              <w:marBottom w:val="0"/>
              <w:divBdr>
                <w:top w:val="none" w:sz="0" w:space="0" w:color="auto"/>
                <w:left w:val="none" w:sz="0" w:space="0" w:color="auto"/>
                <w:bottom w:val="none" w:sz="0" w:space="0" w:color="auto"/>
                <w:right w:val="none" w:sz="0" w:space="0" w:color="auto"/>
              </w:divBdr>
            </w:div>
            <w:div w:id="1977680393">
              <w:marLeft w:val="0"/>
              <w:marRight w:val="0"/>
              <w:marTop w:val="0"/>
              <w:marBottom w:val="0"/>
              <w:divBdr>
                <w:top w:val="none" w:sz="0" w:space="0" w:color="auto"/>
                <w:left w:val="none" w:sz="0" w:space="0" w:color="auto"/>
                <w:bottom w:val="none" w:sz="0" w:space="0" w:color="auto"/>
                <w:right w:val="none" w:sz="0" w:space="0" w:color="auto"/>
              </w:divBdr>
            </w:div>
            <w:div w:id="585696219">
              <w:marLeft w:val="0"/>
              <w:marRight w:val="0"/>
              <w:marTop w:val="0"/>
              <w:marBottom w:val="0"/>
              <w:divBdr>
                <w:top w:val="none" w:sz="0" w:space="0" w:color="auto"/>
                <w:left w:val="none" w:sz="0" w:space="0" w:color="auto"/>
                <w:bottom w:val="none" w:sz="0" w:space="0" w:color="auto"/>
                <w:right w:val="none" w:sz="0" w:space="0" w:color="auto"/>
              </w:divBdr>
            </w:div>
          </w:divsChild>
        </w:div>
        <w:div w:id="1078022591">
          <w:marLeft w:val="0"/>
          <w:marRight w:val="0"/>
          <w:marTop w:val="0"/>
          <w:marBottom w:val="0"/>
          <w:divBdr>
            <w:top w:val="none" w:sz="0" w:space="0" w:color="auto"/>
            <w:left w:val="none" w:sz="0" w:space="0" w:color="auto"/>
            <w:bottom w:val="none" w:sz="0" w:space="0" w:color="auto"/>
            <w:right w:val="none" w:sz="0" w:space="0" w:color="auto"/>
          </w:divBdr>
        </w:div>
        <w:div w:id="916666340">
          <w:marLeft w:val="0"/>
          <w:marRight w:val="0"/>
          <w:marTop w:val="0"/>
          <w:marBottom w:val="0"/>
          <w:divBdr>
            <w:top w:val="none" w:sz="0" w:space="0" w:color="auto"/>
            <w:left w:val="none" w:sz="0" w:space="0" w:color="auto"/>
            <w:bottom w:val="none" w:sz="0" w:space="0" w:color="auto"/>
            <w:right w:val="none" w:sz="0" w:space="0" w:color="auto"/>
          </w:divBdr>
        </w:div>
        <w:div w:id="1150945671">
          <w:marLeft w:val="0"/>
          <w:marRight w:val="0"/>
          <w:marTop w:val="0"/>
          <w:marBottom w:val="0"/>
          <w:divBdr>
            <w:top w:val="none" w:sz="0" w:space="0" w:color="auto"/>
            <w:left w:val="none" w:sz="0" w:space="0" w:color="auto"/>
            <w:bottom w:val="none" w:sz="0" w:space="0" w:color="auto"/>
            <w:right w:val="none" w:sz="0" w:space="0" w:color="auto"/>
          </w:divBdr>
        </w:div>
        <w:div w:id="377822827">
          <w:marLeft w:val="0"/>
          <w:marRight w:val="0"/>
          <w:marTop w:val="0"/>
          <w:marBottom w:val="0"/>
          <w:divBdr>
            <w:top w:val="none" w:sz="0" w:space="0" w:color="auto"/>
            <w:left w:val="none" w:sz="0" w:space="0" w:color="auto"/>
            <w:bottom w:val="none" w:sz="0" w:space="0" w:color="auto"/>
            <w:right w:val="none" w:sz="0" w:space="0" w:color="auto"/>
          </w:divBdr>
        </w:div>
        <w:div w:id="1889994617">
          <w:marLeft w:val="0"/>
          <w:marRight w:val="0"/>
          <w:marTop w:val="0"/>
          <w:marBottom w:val="0"/>
          <w:divBdr>
            <w:top w:val="none" w:sz="0" w:space="0" w:color="auto"/>
            <w:left w:val="none" w:sz="0" w:space="0" w:color="auto"/>
            <w:bottom w:val="none" w:sz="0" w:space="0" w:color="auto"/>
            <w:right w:val="none" w:sz="0" w:space="0" w:color="auto"/>
          </w:divBdr>
        </w:div>
        <w:div w:id="1229413422">
          <w:marLeft w:val="0"/>
          <w:marRight w:val="0"/>
          <w:marTop w:val="0"/>
          <w:marBottom w:val="0"/>
          <w:divBdr>
            <w:top w:val="none" w:sz="0" w:space="0" w:color="auto"/>
            <w:left w:val="none" w:sz="0" w:space="0" w:color="auto"/>
            <w:bottom w:val="none" w:sz="0" w:space="0" w:color="auto"/>
            <w:right w:val="none" w:sz="0" w:space="0" w:color="auto"/>
          </w:divBdr>
        </w:div>
        <w:div w:id="1975329513">
          <w:marLeft w:val="0"/>
          <w:marRight w:val="0"/>
          <w:marTop w:val="0"/>
          <w:marBottom w:val="0"/>
          <w:divBdr>
            <w:top w:val="none" w:sz="0" w:space="0" w:color="auto"/>
            <w:left w:val="none" w:sz="0" w:space="0" w:color="auto"/>
            <w:bottom w:val="none" w:sz="0" w:space="0" w:color="auto"/>
            <w:right w:val="none" w:sz="0" w:space="0" w:color="auto"/>
          </w:divBdr>
          <w:divsChild>
            <w:div w:id="26951176">
              <w:marLeft w:val="0"/>
              <w:marRight w:val="0"/>
              <w:marTop w:val="0"/>
              <w:marBottom w:val="0"/>
              <w:divBdr>
                <w:top w:val="none" w:sz="0" w:space="0" w:color="auto"/>
                <w:left w:val="none" w:sz="0" w:space="0" w:color="auto"/>
                <w:bottom w:val="none" w:sz="0" w:space="0" w:color="auto"/>
                <w:right w:val="none" w:sz="0" w:space="0" w:color="auto"/>
              </w:divBdr>
            </w:div>
            <w:div w:id="1454791719">
              <w:marLeft w:val="0"/>
              <w:marRight w:val="0"/>
              <w:marTop w:val="0"/>
              <w:marBottom w:val="0"/>
              <w:divBdr>
                <w:top w:val="none" w:sz="0" w:space="0" w:color="auto"/>
                <w:left w:val="none" w:sz="0" w:space="0" w:color="auto"/>
                <w:bottom w:val="none" w:sz="0" w:space="0" w:color="auto"/>
                <w:right w:val="none" w:sz="0" w:space="0" w:color="auto"/>
              </w:divBdr>
            </w:div>
          </w:divsChild>
        </w:div>
        <w:div w:id="1300720164">
          <w:marLeft w:val="0"/>
          <w:marRight w:val="0"/>
          <w:marTop w:val="0"/>
          <w:marBottom w:val="0"/>
          <w:divBdr>
            <w:top w:val="none" w:sz="0" w:space="0" w:color="auto"/>
            <w:left w:val="none" w:sz="0" w:space="0" w:color="auto"/>
            <w:bottom w:val="none" w:sz="0" w:space="0" w:color="auto"/>
            <w:right w:val="none" w:sz="0" w:space="0" w:color="auto"/>
          </w:divBdr>
        </w:div>
        <w:div w:id="196740037">
          <w:marLeft w:val="0"/>
          <w:marRight w:val="0"/>
          <w:marTop w:val="0"/>
          <w:marBottom w:val="0"/>
          <w:divBdr>
            <w:top w:val="none" w:sz="0" w:space="0" w:color="auto"/>
            <w:left w:val="none" w:sz="0" w:space="0" w:color="auto"/>
            <w:bottom w:val="none" w:sz="0" w:space="0" w:color="auto"/>
            <w:right w:val="none" w:sz="0" w:space="0" w:color="auto"/>
          </w:divBdr>
        </w:div>
        <w:div w:id="537788599">
          <w:marLeft w:val="0"/>
          <w:marRight w:val="0"/>
          <w:marTop w:val="0"/>
          <w:marBottom w:val="0"/>
          <w:divBdr>
            <w:top w:val="none" w:sz="0" w:space="0" w:color="auto"/>
            <w:left w:val="none" w:sz="0" w:space="0" w:color="auto"/>
            <w:bottom w:val="none" w:sz="0" w:space="0" w:color="auto"/>
            <w:right w:val="none" w:sz="0" w:space="0" w:color="auto"/>
          </w:divBdr>
        </w:div>
        <w:div w:id="1991252404">
          <w:marLeft w:val="0"/>
          <w:marRight w:val="0"/>
          <w:marTop w:val="0"/>
          <w:marBottom w:val="0"/>
          <w:divBdr>
            <w:top w:val="none" w:sz="0" w:space="0" w:color="auto"/>
            <w:left w:val="none" w:sz="0" w:space="0" w:color="auto"/>
            <w:bottom w:val="none" w:sz="0" w:space="0" w:color="auto"/>
            <w:right w:val="none" w:sz="0" w:space="0" w:color="auto"/>
          </w:divBdr>
        </w:div>
        <w:div w:id="497770719">
          <w:marLeft w:val="0"/>
          <w:marRight w:val="0"/>
          <w:marTop w:val="0"/>
          <w:marBottom w:val="0"/>
          <w:divBdr>
            <w:top w:val="none" w:sz="0" w:space="0" w:color="auto"/>
            <w:left w:val="none" w:sz="0" w:space="0" w:color="auto"/>
            <w:bottom w:val="none" w:sz="0" w:space="0" w:color="auto"/>
            <w:right w:val="none" w:sz="0" w:space="0" w:color="auto"/>
          </w:divBdr>
        </w:div>
        <w:div w:id="2015721840">
          <w:marLeft w:val="0"/>
          <w:marRight w:val="0"/>
          <w:marTop w:val="0"/>
          <w:marBottom w:val="0"/>
          <w:divBdr>
            <w:top w:val="none" w:sz="0" w:space="0" w:color="auto"/>
            <w:left w:val="none" w:sz="0" w:space="0" w:color="auto"/>
            <w:bottom w:val="none" w:sz="0" w:space="0" w:color="auto"/>
            <w:right w:val="none" w:sz="0" w:space="0" w:color="auto"/>
          </w:divBdr>
        </w:div>
        <w:div w:id="1539245611">
          <w:marLeft w:val="0"/>
          <w:marRight w:val="0"/>
          <w:marTop w:val="0"/>
          <w:marBottom w:val="0"/>
          <w:divBdr>
            <w:top w:val="none" w:sz="0" w:space="0" w:color="auto"/>
            <w:left w:val="none" w:sz="0" w:space="0" w:color="auto"/>
            <w:bottom w:val="none" w:sz="0" w:space="0" w:color="auto"/>
            <w:right w:val="none" w:sz="0" w:space="0" w:color="auto"/>
          </w:divBdr>
        </w:div>
        <w:div w:id="575359906">
          <w:marLeft w:val="0"/>
          <w:marRight w:val="0"/>
          <w:marTop w:val="0"/>
          <w:marBottom w:val="0"/>
          <w:divBdr>
            <w:top w:val="none" w:sz="0" w:space="0" w:color="auto"/>
            <w:left w:val="none" w:sz="0" w:space="0" w:color="auto"/>
            <w:bottom w:val="none" w:sz="0" w:space="0" w:color="auto"/>
            <w:right w:val="none" w:sz="0" w:space="0" w:color="auto"/>
          </w:divBdr>
        </w:div>
        <w:div w:id="574359021">
          <w:marLeft w:val="0"/>
          <w:marRight w:val="0"/>
          <w:marTop w:val="0"/>
          <w:marBottom w:val="0"/>
          <w:divBdr>
            <w:top w:val="none" w:sz="0" w:space="0" w:color="auto"/>
            <w:left w:val="none" w:sz="0" w:space="0" w:color="auto"/>
            <w:bottom w:val="none" w:sz="0" w:space="0" w:color="auto"/>
            <w:right w:val="none" w:sz="0" w:space="0" w:color="auto"/>
          </w:divBdr>
        </w:div>
        <w:div w:id="921452696">
          <w:marLeft w:val="0"/>
          <w:marRight w:val="0"/>
          <w:marTop w:val="0"/>
          <w:marBottom w:val="0"/>
          <w:divBdr>
            <w:top w:val="none" w:sz="0" w:space="0" w:color="auto"/>
            <w:left w:val="none" w:sz="0" w:space="0" w:color="auto"/>
            <w:bottom w:val="none" w:sz="0" w:space="0" w:color="auto"/>
            <w:right w:val="none" w:sz="0" w:space="0" w:color="auto"/>
          </w:divBdr>
          <w:divsChild>
            <w:div w:id="1601641873">
              <w:marLeft w:val="0"/>
              <w:marRight w:val="0"/>
              <w:marTop w:val="0"/>
              <w:marBottom w:val="0"/>
              <w:divBdr>
                <w:top w:val="none" w:sz="0" w:space="0" w:color="auto"/>
                <w:left w:val="none" w:sz="0" w:space="0" w:color="auto"/>
                <w:bottom w:val="none" w:sz="0" w:space="0" w:color="auto"/>
                <w:right w:val="none" w:sz="0" w:space="0" w:color="auto"/>
              </w:divBdr>
            </w:div>
            <w:div w:id="1307004315">
              <w:marLeft w:val="0"/>
              <w:marRight w:val="0"/>
              <w:marTop w:val="0"/>
              <w:marBottom w:val="0"/>
              <w:divBdr>
                <w:top w:val="none" w:sz="0" w:space="0" w:color="auto"/>
                <w:left w:val="none" w:sz="0" w:space="0" w:color="auto"/>
                <w:bottom w:val="none" w:sz="0" w:space="0" w:color="auto"/>
                <w:right w:val="none" w:sz="0" w:space="0" w:color="auto"/>
              </w:divBdr>
            </w:div>
            <w:div w:id="1383018040">
              <w:marLeft w:val="0"/>
              <w:marRight w:val="0"/>
              <w:marTop w:val="0"/>
              <w:marBottom w:val="0"/>
              <w:divBdr>
                <w:top w:val="none" w:sz="0" w:space="0" w:color="auto"/>
                <w:left w:val="none" w:sz="0" w:space="0" w:color="auto"/>
                <w:bottom w:val="none" w:sz="0" w:space="0" w:color="auto"/>
                <w:right w:val="none" w:sz="0" w:space="0" w:color="auto"/>
              </w:divBdr>
            </w:div>
            <w:div w:id="1074157505">
              <w:marLeft w:val="0"/>
              <w:marRight w:val="0"/>
              <w:marTop w:val="0"/>
              <w:marBottom w:val="0"/>
              <w:divBdr>
                <w:top w:val="none" w:sz="0" w:space="0" w:color="auto"/>
                <w:left w:val="none" w:sz="0" w:space="0" w:color="auto"/>
                <w:bottom w:val="none" w:sz="0" w:space="0" w:color="auto"/>
                <w:right w:val="none" w:sz="0" w:space="0" w:color="auto"/>
              </w:divBdr>
            </w:div>
          </w:divsChild>
        </w:div>
        <w:div w:id="522014862">
          <w:marLeft w:val="0"/>
          <w:marRight w:val="0"/>
          <w:marTop w:val="0"/>
          <w:marBottom w:val="0"/>
          <w:divBdr>
            <w:top w:val="none" w:sz="0" w:space="0" w:color="auto"/>
            <w:left w:val="none" w:sz="0" w:space="0" w:color="auto"/>
            <w:bottom w:val="none" w:sz="0" w:space="0" w:color="auto"/>
            <w:right w:val="none" w:sz="0" w:space="0" w:color="auto"/>
          </w:divBdr>
        </w:div>
        <w:div w:id="1874149564">
          <w:marLeft w:val="0"/>
          <w:marRight w:val="0"/>
          <w:marTop w:val="0"/>
          <w:marBottom w:val="0"/>
          <w:divBdr>
            <w:top w:val="none" w:sz="0" w:space="0" w:color="auto"/>
            <w:left w:val="none" w:sz="0" w:space="0" w:color="auto"/>
            <w:bottom w:val="none" w:sz="0" w:space="0" w:color="auto"/>
            <w:right w:val="none" w:sz="0" w:space="0" w:color="auto"/>
          </w:divBdr>
        </w:div>
        <w:div w:id="408313704">
          <w:marLeft w:val="0"/>
          <w:marRight w:val="0"/>
          <w:marTop w:val="0"/>
          <w:marBottom w:val="0"/>
          <w:divBdr>
            <w:top w:val="none" w:sz="0" w:space="0" w:color="auto"/>
            <w:left w:val="none" w:sz="0" w:space="0" w:color="auto"/>
            <w:bottom w:val="none" w:sz="0" w:space="0" w:color="auto"/>
            <w:right w:val="none" w:sz="0" w:space="0" w:color="auto"/>
          </w:divBdr>
        </w:div>
        <w:div w:id="1293946776">
          <w:marLeft w:val="0"/>
          <w:marRight w:val="0"/>
          <w:marTop w:val="0"/>
          <w:marBottom w:val="0"/>
          <w:divBdr>
            <w:top w:val="none" w:sz="0" w:space="0" w:color="auto"/>
            <w:left w:val="none" w:sz="0" w:space="0" w:color="auto"/>
            <w:bottom w:val="none" w:sz="0" w:space="0" w:color="auto"/>
            <w:right w:val="none" w:sz="0" w:space="0" w:color="auto"/>
          </w:divBdr>
        </w:div>
        <w:div w:id="1197159043">
          <w:marLeft w:val="0"/>
          <w:marRight w:val="0"/>
          <w:marTop w:val="0"/>
          <w:marBottom w:val="0"/>
          <w:divBdr>
            <w:top w:val="none" w:sz="0" w:space="0" w:color="auto"/>
            <w:left w:val="none" w:sz="0" w:space="0" w:color="auto"/>
            <w:bottom w:val="none" w:sz="0" w:space="0" w:color="auto"/>
            <w:right w:val="none" w:sz="0" w:space="0" w:color="auto"/>
          </w:divBdr>
        </w:div>
        <w:div w:id="1397316158">
          <w:marLeft w:val="0"/>
          <w:marRight w:val="0"/>
          <w:marTop w:val="0"/>
          <w:marBottom w:val="0"/>
          <w:divBdr>
            <w:top w:val="none" w:sz="0" w:space="0" w:color="auto"/>
            <w:left w:val="none" w:sz="0" w:space="0" w:color="auto"/>
            <w:bottom w:val="none" w:sz="0" w:space="0" w:color="auto"/>
            <w:right w:val="none" w:sz="0" w:space="0" w:color="auto"/>
          </w:divBdr>
        </w:div>
        <w:div w:id="804002927">
          <w:marLeft w:val="0"/>
          <w:marRight w:val="0"/>
          <w:marTop w:val="0"/>
          <w:marBottom w:val="0"/>
          <w:divBdr>
            <w:top w:val="none" w:sz="0" w:space="0" w:color="auto"/>
            <w:left w:val="none" w:sz="0" w:space="0" w:color="auto"/>
            <w:bottom w:val="none" w:sz="0" w:space="0" w:color="auto"/>
            <w:right w:val="none" w:sz="0" w:space="0" w:color="auto"/>
          </w:divBdr>
        </w:div>
        <w:div w:id="1758210013">
          <w:marLeft w:val="0"/>
          <w:marRight w:val="0"/>
          <w:marTop w:val="0"/>
          <w:marBottom w:val="0"/>
          <w:divBdr>
            <w:top w:val="none" w:sz="0" w:space="0" w:color="auto"/>
            <w:left w:val="none" w:sz="0" w:space="0" w:color="auto"/>
            <w:bottom w:val="none" w:sz="0" w:space="0" w:color="auto"/>
            <w:right w:val="none" w:sz="0" w:space="0" w:color="auto"/>
          </w:divBdr>
        </w:div>
        <w:div w:id="1541089702">
          <w:marLeft w:val="0"/>
          <w:marRight w:val="0"/>
          <w:marTop w:val="0"/>
          <w:marBottom w:val="0"/>
          <w:divBdr>
            <w:top w:val="none" w:sz="0" w:space="0" w:color="auto"/>
            <w:left w:val="none" w:sz="0" w:space="0" w:color="auto"/>
            <w:bottom w:val="none" w:sz="0" w:space="0" w:color="auto"/>
            <w:right w:val="none" w:sz="0" w:space="0" w:color="auto"/>
          </w:divBdr>
        </w:div>
        <w:div w:id="1248004235">
          <w:marLeft w:val="0"/>
          <w:marRight w:val="0"/>
          <w:marTop w:val="0"/>
          <w:marBottom w:val="0"/>
          <w:divBdr>
            <w:top w:val="none" w:sz="0" w:space="0" w:color="auto"/>
            <w:left w:val="none" w:sz="0" w:space="0" w:color="auto"/>
            <w:bottom w:val="none" w:sz="0" w:space="0" w:color="auto"/>
            <w:right w:val="none" w:sz="0" w:space="0" w:color="auto"/>
          </w:divBdr>
        </w:div>
        <w:div w:id="1277175463">
          <w:marLeft w:val="0"/>
          <w:marRight w:val="0"/>
          <w:marTop w:val="0"/>
          <w:marBottom w:val="0"/>
          <w:divBdr>
            <w:top w:val="none" w:sz="0" w:space="0" w:color="auto"/>
            <w:left w:val="none" w:sz="0" w:space="0" w:color="auto"/>
            <w:bottom w:val="none" w:sz="0" w:space="0" w:color="auto"/>
            <w:right w:val="none" w:sz="0" w:space="0" w:color="auto"/>
          </w:divBdr>
        </w:div>
        <w:div w:id="1909412537">
          <w:marLeft w:val="0"/>
          <w:marRight w:val="0"/>
          <w:marTop w:val="0"/>
          <w:marBottom w:val="0"/>
          <w:divBdr>
            <w:top w:val="none" w:sz="0" w:space="0" w:color="auto"/>
            <w:left w:val="none" w:sz="0" w:space="0" w:color="auto"/>
            <w:bottom w:val="none" w:sz="0" w:space="0" w:color="auto"/>
            <w:right w:val="none" w:sz="0" w:space="0" w:color="auto"/>
          </w:divBdr>
        </w:div>
        <w:div w:id="841894681">
          <w:marLeft w:val="0"/>
          <w:marRight w:val="0"/>
          <w:marTop w:val="0"/>
          <w:marBottom w:val="0"/>
          <w:divBdr>
            <w:top w:val="none" w:sz="0" w:space="0" w:color="auto"/>
            <w:left w:val="none" w:sz="0" w:space="0" w:color="auto"/>
            <w:bottom w:val="none" w:sz="0" w:space="0" w:color="auto"/>
            <w:right w:val="none" w:sz="0" w:space="0" w:color="auto"/>
          </w:divBdr>
        </w:div>
        <w:div w:id="445394797">
          <w:marLeft w:val="0"/>
          <w:marRight w:val="0"/>
          <w:marTop w:val="0"/>
          <w:marBottom w:val="0"/>
          <w:divBdr>
            <w:top w:val="none" w:sz="0" w:space="0" w:color="auto"/>
            <w:left w:val="none" w:sz="0" w:space="0" w:color="auto"/>
            <w:bottom w:val="none" w:sz="0" w:space="0" w:color="auto"/>
            <w:right w:val="none" w:sz="0" w:space="0" w:color="auto"/>
          </w:divBdr>
        </w:div>
        <w:div w:id="237984908">
          <w:marLeft w:val="0"/>
          <w:marRight w:val="0"/>
          <w:marTop w:val="0"/>
          <w:marBottom w:val="0"/>
          <w:divBdr>
            <w:top w:val="none" w:sz="0" w:space="0" w:color="auto"/>
            <w:left w:val="none" w:sz="0" w:space="0" w:color="auto"/>
            <w:bottom w:val="none" w:sz="0" w:space="0" w:color="auto"/>
            <w:right w:val="none" w:sz="0" w:space="0" w:color="auto"/>
          </w:divBdr>
        </w:div>
        <w:div w:id="125240316">
          <w:marLeft w:val="0"/>
          <w:marRight w:val="0"/>
          <w:marTop w:val="0"/>
          <w:marBottom w:val="0"/>
          <w:divBdr>
            <w:top w:val="none" w:sz="0" w:space="0" w:color="auto"/>
            <w:left w:val="none" w:sz="0" w:space="0" w:color="auto"/>
            <w:bottom w:val="none" w:sz="0" w:space="0" w:color="auto"/>
            <w:right w:val="none" w:sz="0" w:space="0" w:color="auto"/>
          </w:divBdr>
        </w:div>
        <w:div w:id="1719354333">
          <w:marLeft w:val="0"/>
          <w:marRight w:val="0"/>
          <w:marTop w:val="0"/>
          <w:marBottom w:val="0"/>
          <w:divBdr>
            <w:top w:val="none" w:sz="0" w:space="0" w:color="auto"/>
            <w:left w:val="none" w:sz="0" w:space="0" w:color="auto"/>
            <w:bottom w:val="none" w:sz="0" w:space="0" w:color="auto"/>
            <w:right w:val="none" w:sz="0" w:space="0" w:color="auto"/>
          </w:divBdr>
        </w:div>
        <w:div w:id="99882262">
          <w:marLeft w:val="0"/>
          <w:marRight w:val="0"/>
          <w:marTop w:val="0"/>
          <w:marBottom w:val="0"/>
          <w:divBdr>
            <w:top w:val="none" w:sz="0" w:space="0" w:color="auto"/>
            <w:left w:val="none" w:sz="0" w:space="0" w:color="auto"/>
            <w:bottom w:val="none" w:sz="0" w:space="0" w:color="auto"/>
            <w:right w:val="none" w:sz="0" w:space="0" w:color="auto"/>
          </w:divBdr>
        </w:div>
        <w:div w:id="1935435773">
          <w:marLeft w:val="0"/>
          <w:marRight w:val="0"/>
          <w:marTop w:val="0"/>
          <w:marBottom w:val="0"/>
          <w:divBdr>
            <w:top w:val="none" w:sz="0" w:space="0" w:color="auto"/>
            <w:left w:val="none" w:sz="0" w:space="0" w:color="auto"/>
            <w:bottom w:val="none" w:sz="0" w:space="0" w:color="auto"/>
            <w:right w:val="none" w:sz="0" w:space="0" w:color="auto"/>
          </w:divBdr>
        </w:div>
        <w:div w:id="1901163535">
          <w:marLeft w:val="0"/>
          <w:marRight w:val="0"/>
          <w:marTop w:val="0"/>
          <w:marBottom w:val="0"/>
          <w:divBdr>
            <w:top w:val="none" w:sz="0" w:space="0" w:color="auto"/>
            <w:left w:val="none" w:sz="0" w:space="0" w:color="auto"/>
            <w:bottom w:val="none" w:sz="0" w:space="0" w:color="auto"/>
            <w:right w:val="none" w:sz="0" w:space="0" w:color="auto"/>
          </w:divBdr>
        </w:div>
        <w:div w:id="210773956">
          <w:marLeft w:val="0"/>
          <w:marRight w:val="0"/>
          <w:marTop w:val="0"/>
          <w:marBottom w:val="0"/>
          <w:divBdr>
            <w:top w:val="none" w:sz="0" w:space="0" w:color="auto"/>
            <w:left w:val="none" w:sz="0" w:space="0" w:color="auto"/>
            <w:bottom w:val="none" w:sz="0" w:space="0" w:color="auto"/>
            <w:right w:val="none" w:sz="0" w:space="0" w:color="auto"/>
          </w:divBdr>
        </w:div>
        <w:div w:id="465512762">
          <w:marLeft w:val="0"/>
          <w:marRight w:val="0"/>
          <w:marTop w:val="0"/>
          <w:marBottom w:val="0"/>
          <w:divBdr>
            <w:top w:val="none" w:sz="0" w:space="0" w:color="auto"/>
            <w:left w:val="none" w:sz="0" w:space="0" w:color="auto"/>
            <w:bottom w:val="none" w:sz="0" w:space="0" w:color="auto"/>
            <w:right w:val="none" w:sz="0" w:space="0" w:color="auto"/>
          </w:divBdr>
        </w:div>
        <w:div w:id="425272423">
          <w:marLeft w:val="0"/>
          <w:marRight w:val="0"/>
          <w:marTop w:val="0"/>
          <w:marBottom w:val="0"/>
          <w:divBdr>
            <w:top w:val="none" w:sz="0" w:space="0" w:color="auto"/>
            <w:left w:val="none" w:sz="0" w:space="0" w:color="auto"/>
            <w:bottom w:val="none" w:sz="0" w:space="0" w:color="auto"/>
            <w:right w:val="none" w:sz="0" w:space="0" w:color="auto"/>
          </w:divBdr>
        </w:div>
        <w:div w:id="218244493">
          <w:marLeft w:val="0"/>
          <w:marRight w:val="0"/>
          <w:marTop w:val="0"/>
          <w:marBottom w:val="0"/>
          <w:divBdr>
            <w:top w:val="none" w:sz="0" w:space="0" w:color="auto"/>
            <w:left w:val="none" w:sz="0" w:space="0" w:color="auto"/>
            <w:bottom w:val="none" w:sz="0" w:space="0" w:color="auto"/>
            <w:right w:val="none" w:sz="0" w:space="0" w:color="auto"/>
          </w:divBdr>
        </w:div>
        <w:div w:id="902522622">
          <w:marLeft w:val="0"/>
          <w:marRight w:val="0"/>
          <w:marTop w:val="0"/>
          <w:marBottom w:val="0"/>
          <w:divBdr>
            <w:top w:val="none" w:sz="0" w:space="0" w:color="auto"/>
            <w:left w:val="none" w:sz="0" w:space="0" w:color="auto"/>
            <w:bottom w:val="none" w:sz="0" w:space="0" w:color="auto"/>
            <w:right w:val="none" w:sz="0" w:space="0" w:color="auto"/>
          </w:divBdr>
        </w:div>
        <w:div w:id="1083066514">
          <w:marLeft w:val="0"/>
          <w:marRight w:val="0"/>
          <w:marTop w:val="0"/>
          <w:marBottom w:val="0"/>
          <w:divBdr>
            <w:top w:val="none" w:sz="0" w:space="0" w:color="auto"/>
            <w:left w:val="none" w:sz="0" w:space="0" w:color="auto"/>
            <w:bottom w:val="none" w:sz="0" w:space="0" w:color="auto"/>
            <w:right w:val="none" w:sz="0" w:space="0" w:color="auto"/>
          </w:divBdr>
        </w:div>
        <w:div w:id="743137753">
          <w:marLeft w:val="0"/>
          <w:marRight w:val="0"/>
          <w:marTop w:val="0"/>
          <w:marBottom w:val="0"/>
          <w:divBdr>
            <w:top w:val="none" w:sz="0" w:space="0" w:color="auto"/>
            <w:left w:val="none" w:sz="0" w:space="0" w:color="auto"/>
            <w:bottom w:val="none" w:sz="0" w:space="0" w:color="auto"/>
            <w:right w:val="none" w:sz="0" w:space="0" w:color="auto"/>
          </w:divBdr>
        </w:div>
        <w:div w:id="1743603965">
          <w:marLeft w:val="0"/>
          <w:marRight w:val="0"/>
          <w:marTop w:val="0"/>
          <w:marBottom w:val="0"/>
          <w:divBdr>
            <w:top w:val="none" w:sz="0" w:space="0" w:color="auto"/>
            <w:left w:val="none" w:sz="0" w:space="0" w:color="auto"/>
            <w:bottom w:val="none" w:sz="0" w:space="0" w:color="auto"/>
            <w:right w:val="none" w:sz="0" w:space="0" w:color="auto"/>
          </w:divBdr>
        </w:div>
        <w:div w:id="768357804">
          <w:marLeft w:val="0"/>
          <w:marRight w:val="0"/>
          <w:marTop w:val="0"/>
          <w:marBottom w:val="0"/>
          <w:divBdr>
            <w:top w:val="none" w:sz="0" w:space="0" w:color="auto"/>
            <w:left w:val="none" w:sz="0" w:space="0" w:color="auto"/>
            <w:bottom w:val="none" w:sz="0" w:space="0" w:color="auto"/>
            <w:right w:val="none" w:sz="0" w:space="0" w:color="auto"/>
          </w:divBdr>
        </w:div>
        <w:div w:id="249434417">
          <w:marLeft w:val="0"/>
          <w:marRight w:val="0"/>
          <w:marTop w:val="0"/>
          <w:marBottom w:val="0"/>
          <w:divBdr>
            <w:top w:val="none" w:sz="0" w:space="0" w:color="auto"/>
            <w:left w:val="none" w:sz="0" w:space="0" w:color="auto"/>
            <w:bottom w:val="none" w:sz="0" w:space="0" w:color="auto"/>
            <w:right w:val="none" w:sz="0" w:space="0" w:color="auto"/>
          </w:divBdr>
        </w:div>
        <w:div w:id="461921976">
          <w:marLeft w:val="0"/>
          <w:marRight w:val="0"/>
          <w:marTop w:val="0"/>
          <w:marBottom w:val="0"/>
          <w:divBdr>
            <w:top w:val="none" w:sz="0" w:space="0" w:color="auto"/>
            <w:left w:val="none" w:sz="0" w:space="0" w:color="auto"/>
            <w:bottom w:val="none" w:sz="0" w:space="0" w:color="auto"/>
            <w:right w:val="none" w:sz="0" w:space="0" w:color="auto"/>
          </w:divBdr>
        </w:div>
        <w:div w:id="1775595081">
          <w:marLeft w:val="0"/>
          <w:marRight w:val="0"/>
          <w:marTop w:val="0"/>
          <w:marBottom w:val="0"/>
          <w:divBdr>
            <w:top w:val="none" w:sz="0" w:space="0" w:color="auto"/>
            <w:left w:val="none" w:sz="0" w:space="0" w:color="auto"/>
            <w:bottom w:val="none" w:sz="0" w:space="0" w:color="auto"/>
            <w:right w:val="none" w:sz="0" w:space="0" w:color="auto"/>
          </w:divBdr>
        </w:div>
        <w:div w:id="52243579">
          <w:marLeft w:val="0"/>
          <w:marRight w:val="0"/>
          <w:marTop w:val="0"/>
          <w:marBottom w:val="0"/>
          <w:divBdr>
            <w:top w:val="none" w:sz="0" w:space="0" w:color="auto"/>
            <w:left w:val="none" w:sz="0" w:space="0" w:color="auto"/>
            <w:bottom w:val="none" w:sz="0" w:space="0" w:color="auto"/>
            <w:right w:val="none" w:sz="0" w:space="0" w:color="auto"/>
          </w:divBdr>
        </w:div>
        <w:div w:id="2047213679">
          <w:marLeft w:val="0"/>
          <w:marRight w:val="0"/>
          <w:marTop w:val="0"/>
          <w:marBottom w:val="0"/>
          <w:divBdr>
            <w:top w:val="none" w:sz="0" w:space="0" w:color="auto"/>
            <w:left w:val="none" w:sz="0" w:space="0" w:color="auto"/>
            <w:bottom w:val="none" w:sz="0" w:space="0" w:color="auto"/>
            <w:right w:val="none" w:sz="0" w:space="0" w:color="auto"/>
          </w:divBdr>
        </w:div>
        <w:div w:id="597250079">
          <w:marLeft w:val="0"/>
          <w:marRight w:val="0"/>
          <w:marTop w:val="0"/>
          <w:marBottom w:val="0"/>
          <w:divBdr>
            <w:top w:val="none" w:sz="0" w:space="0" w:color="auto"/>
            <w:left w:val="none" w:sz="0" w:space="0" w:color="auto"/>
            <w:bottom w:val="none" w:sz="0" w:space="0" w:color="auto"/>
            <w:right w:val="none" w:sz="0" w:space="0" w:color="auto"/>
          </w:divBdr>
        </w:div>
        <w:div w:id="1163399118">
          <w:marLeft w:val="0"/>
          <w:marRight w:val="0"/>
          <w:marTop w:val="0"/>
          <w:marBottom w:val="0"/>
          <w:divBdr>
            <w:top w:val="none" w:sz="0" w:space="0" w:color="auto"/>
            <w:left w:val="none" w:sz="0" w:space="0" w:color="auto"/>
            <w:bottom w:val="none" w:sz="0" w:space="0" w:color="auto"/>
            <w:right w:val="none" w:sz="0" w:space="0" w:color="auto"/>
          </w:divBdr>
        </w:div>
        <w:div w:id="1788500497">
          <w:marLeft w:val="0"/>
          <w:marRight w:val="0"/>
          <w:marTop w:val="0"/>
          <w:marBottom w:val="0"/>
          <w:divBdr>
            <w:top w:val="none" w:sz="0" w:space="0" w:color="auto"/>
            <w:left w:val="none" w:sz="0" w:space="0" w:color="auto"/>
            <w:bottom w:val="none" w:sz="0" w:space="0" w:color="auto"/>
            <w:right w:val="none" w:sz="0" w:space="0" w:color="auto"/>
          </w:divBdr>
        </w:div>
        <w:div w:id="1800877526">
          <w:marLeft w:val="0"/>
          <w:marRight w:val="0"/>
          <w:marTop w:val="0"/>
          <w:marBottom w:val="0"/>
          <w:divBdr>
            <w:top w:val="none" w:sz="0" w:space="0" w:color="auto"/>
            <w:left w:val="none" w:sz="0" w:space="0" w:color="auto"/>
            <w:bottom w:val="none" w:sz="0" w:space="0" w:color="auto"/>
            <w:right w:val="none" w:sz="0" w:space="0" w:color="auto"/>
          </w:divBdr>
        </w:div>
        <w:div w:id="1626351899">
          <w:marLeft w:val="0"/>
          <w:marRight w:val="0"/>
          <w:marTop w:val="0"/>
          <w:marBottom w:val="0"/>
          <w:divBdr>
            <w:top w:val="none" w:sz="0" w:space="0" w:color="auto"/>
            <w:left w:val="none" w:sz="0" w:space="0" w:color="auto"/>
            <w:bottom w:val="none" w:sz="0" w:space="0" w:color="auto"/>
            <w:right w:val="none" w:sz="0" w:space="0" w:color="auto"/>
          </w:divBdr>
        </w:div>
        <w:div w:id="131334570">
          <w:marLeft w:val="0"/>
          <w:marRight w:val="0"/>
          <w:marTop w:val="0"/>
          <w:marBottom w:val="0"/>
          <w:divBdr>
            <w:top w:val="none" w:sz="0" w:space="0" w:color="auto"/>
            <w:left w:val="none" w:sz="0" w:space="0" w:color="auto"/>
            <w:bottom w:val="none" w:sz="0" w:space="0" w:color="auto"/>
            <w:right w:val="none" w:sz="0" w:space="0" w:color="auto"/>
          </w:divBdr>
        </w:div>
        <w:div w:id="1313024405">
          <w:marLeft w:val="0"/>
          <w:marRight w:val="0"/>
          <w:marTop w:val="0"/>
          <w:marBottom w:val="0"/>
          <w:divBdr>
            <w:top w:val="none" w:sz="0" w:space="0" w:color="auto"/>
            <w:left w:val="none" w:sz="0" w:space="0" w:color="auto"/>
            <w:bottom w:val="none" w:sz="0" w:space="0" w:color="auto"/>
            <w:right w:val="none" w:sz="0" w:space="0" w:color="auto"/>
          </w:divBdr>
        </w:div>
        <w:div w:id="1471481078">
          <w:marLeft w:val="0"/>
          <w:marRight w:val="0"/>
          <w:marTop w:val="0"/>
          <w:marBottom w:val="0"/>
          <w:divBdr>
            <w:top w:val="none" w:sz="0" w:space="0" w:color="auto"/>
            <w:left w:val="none" w:sz="0" w:space="0" w:color="auto"/>
            <w:bottom w:val="none" w:sz="0" w:space="0" w:color="auto"/>
            <w:right w:val="none" w:sz="0" w:space="0" w:color="auto"/>
          </w:divBdr>
        </w:div>
        <w:div w:id="1524512164">
          <w:marLeft w:val="0"/>
          <w:marRight w:val="0"/>
          <w:marTop w:val="0"/>
          <w:marBottom w:val="0"/>
          <w:divBdr>
            <w:top w:val="none" w:sz="0" w:space="0" w:color="auto"/>
            <w:left w:val="none" w:sz="0" w:space="0" w:color="auto"/>
            <w:bottom w:val="none" w:sz="0" w:space="0" w:color="auto"/>
            <w:right w:val="none" w:sz="0" w:space="0" w:color="auto"/>
          </w:divBdr>
        </w:div>
        <w:div w:id="2045060368">
          <w:marLeft w:val="0"/>
          <w:marRight w:val="0"/>
          <w:marTop w:val="0"/>
          <w:marBottom w:val="0"/>
          <w:divBdr>
            <w:top w:val="none" w:sz="0" w:space="0" w:color="auto"/>
            <w:left w:val="none" w:sz="0" w:space="0" w:color="auto"/>
            <w:bottom w:val="none" w:sz="0" w:space="0" w:color="auto"/>
            <w:right w:val="none" w:sz="0" w:space="0" w:color="auto"/>
          </w:divBdr>
        </w:div>
        <w:div w:id="1762798900">
          <w:marLeft w:val="0"/>
          <w:marRight w:val="0"/>
          <w:marTop w:val="0"/>
          <w:marBottom w:val="0"/>
          <w:divBdr>
            <w:top w:val="none" w:sz="0" w:space="0" w:color="auto"/>
            <w:left w:val="none" w:sz="0" w:space="0" w:color="auto"/>
            <w:bottom w:val="none" w:sz="0" w:space="0" w:color="auto"/>
            <w:right w:val="none" w:sz="0" w:space="0" w:color="auto"/>
          </w:divBdr>
        </w:div>
        <w:div w:id="1018190669">
          <w:marLeft w:val="0"/>
          <w:marRight w:val="0"/>
          <w:marTop w:val="0"/>
          <w:marBottom w:val="0"/>
          <w:divBdr>
            <w:top w:val="none" w:sz="0" w:space="0" w:color="auto"/>
            <w:left w:val="none" w:sz="0" w:space="0" w:color="auto"/>
            <w:bottom w:val="none" w:sz="0" w:space="0" w:color="auto"/>
            <w:right w:val="none" w:sz="0" w:space="0" w:color="auto"/>
          </w:divBdr>
        </w:div>
        <w:div w:id="935989468">
          <w:marLeft w:val="0"/>
          <w:marRight w:val="0"/>
          <w:marTop w:val="0"/>
          <w:marBottom w:val="0"/>
          <w:divBdr>
            <w:top w:val="none" w:sz="0" w:space="0" w:color="auto"/>
            <w:left w:val="none" w:sz="0" w:space="0" w:color="auto"/>
            <w:bottom w:val="none" w:sz="0" w:space="0" w:color="auto"/>
            <w:right w:val="none" w:sz="0" w:space="0" w:color="auto"/>
          </w:divBdr>
        </w:div>
        <w:div w:id="1402866654">
          <w:marLeft w:val="0"/>
          <w:marRight w:val="0"/>
          <w:marTop w:val="0"/>
          <w:marBottom w:val="0"/>
          <w:divBdr>
            <w:top w:val="none" w:sz="0" w:space="0" w:color="auto"/>
            <w:left w:val="none" w:sz="0" w:space="0" w:color="auto"/>
            <w:bottom w:val="none" w:sz="0" w:space="0" w:color="auto"/>
            <w:right w:val="none" w:sz="0" w:space="0" w:color="auto"/>
          </w:divBdr>
        </w:div>
        <w:div w:id="1088039745">
          <w:marLeft w:val="0"/>
          <w:marRight w:val="0"/>
          <w:marTop w:val="0"/>
          <w:marBottom w:val="0"/>
          <w:divBdr>
            <w:top w:val="none" w:sz="0" w:space="0" w:color="auto"/>
            <w:left w:val="none" w:sz="0" w:space="0" w:color="auto"/>
            <w:bottom w:val="none" w:sz="0" w:space="0" w:color="auto"/>
            <w:right w:val="none" w:sz="0" w:space="0" w:color="auto"/>
          </w:divBdr>
        </w:div>
        <w:div w:id="2025596594">
          <w:marLeft w:val="0"/>
          <w:marRight w:val="0"/>
          <w:marTop w:val="0"/>
          <w:marBottom w:val="0"/>
          <w:divBdr>
            <w:top w:val="none" w:sz="0" w:space="0" w:color="auto"/>
            <w:left w:val="none" w:sz="0" w:space="0" w:color="auto"/>
            <w:bottom w:val="none" w:sz="0" w:space="0" w:color="auto"/>
            <w:right w:val="none" w:sz="0" w:space="0" w:color="auto"/>
          </w:divBdr>
        </w:div>
        <w:div w:id="351535528">
          <w:marLeft w:val="0"/>
          <w:marRight w:val="0"/>
          <w:marTop w:val="0"/>
          <w:marBottom w:val="0"/>
          <w:divBdr>
            <w:top w:val="none" w:sz="0" w:space="0" w:color="auto"/>
            <w:left w:val="none" w:sz="0" w:space="0" w:color="auto"/>
            <w:bottom w:val="none" w:sz="0" w:space="0" w:color="auto"/>
            <w:right w:val="none" w:sz="0" w:space="0" w:color="auto"/>
          </w:divBdr>
        </w:div>
        <w:div w:id="219096419">
          <w:marLeft w:val="0"/>
          <w:marRight w:val="0"/>
          <w:marTop w:val="0"/>
          <w:marBottom w:val="0"/>
          <w:divBdr>
            <w:top w:val="none" w:sz="0" w:space="0" w:color="auto"/>
            <w:left w:val="none" w:sz="0" w:space="0" w:color="auto"/>
            <w:bottom w:val="none" w:sz="0" w:space="0" w:color="auto"/>
            <w:right w:val="none" w:sz="0" w:space="0" w:color="auto"/>
          </w:divBdr>
        </w:div>
        <w:div w:id="977563578">
          <w:marLeft w:val="0"/>
          <w:marRight w:val="0"/>
          <w:marTop w:val="0"/>
          <w:marBottom w:val="0"/>
          <w:divBdr>
            <w:top w:val="none" w:sz="0" w:space="0" w:color="auto"/>
            <w:left w:val="none" w:sz="0" w:space="0" w:color="auto"/>
            <w:bottom w:val="none" w:sz="0" w:space="0" w:color="auto"/>
            <w:right w:val="none" w:sz="0" w:space="0" w:color="auto"/>
          </w:divBdr>
          <w:divsChild>
            <w:div w:id="1277172981">
              <w:marLeft w:val="0"/>
              <w:marRight w:val="0"/>
              <w:marTop w:val="0"/>
              <w:marBottom w:val="0"/>
              <w:divBdr>
                <w:top w:val="none" w:sz="0" w:space="0" w:color="auto"/>
                <w:left w:val="none" w:sz="0" w:space="0" w:color="auto"/>
                <w:bottom w:val="none" w:sz="0" w:space="0" w:color="auto"/>
                <w:right w:val="none" w:sz="0" w:space="0" w:color="auto"/>
              </w:divBdr>
            </w:div>
            <w:div w:id="1935018445">
              <w:marLeft w:val="0"/>
              <w:marRight w:val="0"/>
              <w:marTop w:val="0"/>
              <w:marBottom w:val="0"/>
              <w:divBdr>
                <w:top w:val="none" w:sz="0" w:space="0" w:color="auto"/>
                <w:left w:val="none" w:sz="0" w:space="0" w:color="auto"/>
                <w:bottom w:val="none" w:sz="0" w:space="0" w:color="auto"/>
                <w:right w:val="none" w:sz="0" w:space="0" w:color="auto"/>
              </w:divBdr>
            </w:div>
            <w:div w:id="2099935500">
              <w:marLeft w:val="0"/>
              <w:marRight w:val="0"/>
              <w:marTop w:val="0"/>
              <w:marBottom w:val="0"/>
              <w:divBdr>
                <w:top w:val="none" w:sz="0" w:space="0" w:color="auto"/>
                <w:left w:val="none" w:sz="0" w:space="0" w:color="auto"/>
                <w:bottom w:val="none" w:sz="0" w:space="0" w:color="auto"/>
                <w:right w:val="none" w:sz="0" w:space="0" w:color="auto"/>
              </w:divBdr>
            </w:div>
            <w:div w:id="2101295126">
              <w:marLeft w:val="0"/>
              <w:marRight w:val="0"/>
              <w:marTop w:val="0"/>
              <w:marBottom w:val="0"/>
              <w:divBdr>
                <w:top w:val="none" w:sz="0" w:space="0" w:color="auto"/>
                <w:left w:val="none" w:sz="0" w:space="0" w:color="auto"/>
                <w:bottom w:val="none" w:sz="0" w:space="0" w:color="auto"/>
                <w:right w:val="none" w:sz="0" w:space="0" w:color="auto"/>
              </w:divBdr>
            </w:div>
          </w:divsChild>
        </w:div>
        <w:div w:id="1750426202">
          <w:marLeft w:val="0"/>
          <w:marRight w:val="0"/>
          <w:marTop w:val="0"/>
          <w:marBottom w:val="0"/>
          <w:divBdr>
            <w:top w:val="none" w:sz="0" w:space="0" w:color="auto"/>
            <w:left w:val="none" w:sz="0" w:space="0" w:color="auto"/>
            <w:bottom w:val="none" w:sz="0" w:space="0" w:color="auto"/>
            <w:right w:val="none" w:sz="0" w:space="0" w:color="auto"/>
          </w:divBdr>
        </w:div>
        <w:div w:id="846676192">
          <w:marLeft w:val="0"/>
          <w:marRight w:val="0"/>
          <w:marTop w:val="0"/>
          <w:marBottom w:val="0"/>
          <w:divBdr>
            <w:top w:val="none" w:sz="0" w:space="0" w:color="auto"/>
            <w:left w:val="none" w:sz="0" w:space="0" w:color="auto"/>
            <w:bottom w:val="none" w:sz="0" w:space="0" w:color="auto"/>
            <w:right w:val="none" w:sz="0" w:space="0" w:color="auto"/>
          </w:divBdr>
        </w:div>
        <w:div w:id="1927378405">
          <w:marLeft w:val="0"/>
          <w:marRight w:val="0"/>
          <w:marTop w:val="0"/>
          <w:marBottom w:val="0"/>
          <w:divBdr>
            <w:top w:val="none" w:sz="0" w:space="0" w:color="auto"/>
            <w:left w:val="none" w:sz="0" w:space="0" w:color="auto"/>
            <w:bottom w:val="none" w:sz="0" w:space="0" w:color="auto"/>
            <w:right w:val="none" w:sz="0" w:space="0" w:color="auto"/>
          </w:divBdr>
        </w:div>
        <w:div w:id="2041469941">
          <w:marLeft w:val="0"/>
          <w:marRight w:val="0"/>
          <w:marTop w:val="0"/>
          <w:marBottom w:val="0"/>
          <w:divBdr>
            <w:top w:val="none" w:sz="0" w:space="0" w:color="auto"/>
            <w:left w:val="none" w:sz="0" w:space="0" w:color="auto"/>
            <w:bottom w:val="none" w:sz="0" w:space="0" w:color="auto"/>
            <w:right w:val="none" w:sz="0" w:space="0" w:color="auto"/>
          </w:divBdr>
        </w:div>
        <w:div w:id="1463108236">
          <w:marLeft w:val="0"/>
          <w:marRight w:val="0"/>
          <w:marTop w:val="0"/>
          <w:marBottom w:val="0"/>
          <w:divBdr>
            <w:top w:val="none" w:sz="0" w:space="0" w:color="auto"/>
            <w:left w:val="none" w:sz="0" w:space="0" w:color="auto"/>
            <w:bottom w:val="none" w:sz="0" w:space="0" w:color="auto"/>
            <w:right w:val="none" w:sz="0" w:space="0" w:color="auto"/>
          </w:divBdr>
        </w:div>
        <w:div w:id="184175512">
          <w:marLeft w:val="0"/>
          <w:marRight w:val="0"/>
          <w:marTop w:val="0"/>
          <w:marBottom w:val="0"/>
          <w:divBdr>
            <w:top w:val="none" w:sz="0" w:space="0" w:color="auto"/>
            <w:left w:val="none" w:sz="0" w:space="0" w:color="auto"/>
            <w:bottom w:val="none" w:sz="0" w:space="0" w:color="auto"/>
            <w:right w:val="none" w:sz="0" w:space="0" w:color="auto"/>
          </w:divBdr>
        </w:div>
        <w:div w:id="865555441">
          <w:marLeft w:val="0"/>
          <w:marRight w:val="0"/>
          <w:marTop w:val="0"/>
          <w:marBottom w:val="0"/>
          <w:divBdr>
            <w:top w:val="none" w:sz="0" w:space="0" w:color="auto"/>
            <w:left w:val="none" w:sz="0" w:space="0" w:color="auto"/>
            <w:bottom w:val="none" w:sz="0" w:space="0" w:color="auto"/>
            <w:right w:val="none" w:sz="0" w:space="0" w:color="auto"/>
          </w:divBdr>
        </w:div>
        <w:div w:id="1396901136">
          <w:marLeft w:val="0"/>
          <w:marRight w:val="0"/>
          <w:marTop w:val="0"/>
          <w:marBottom w:val="0"/>
          <w:divBdr>
            <w:top w:val="none" w:sz="0" w:space="0" w:color="auto"/>
            <w:left w:val="none" w:sz="0" w:space="0" w:color="auto"/>
            <w:bottom w:val="none" w:sz="0" w:space="0" w:color="auto"/>
            <w:right w:val="none" w:sz="0" w:space="0" w:color="auto"/>
          </w:divBdr>
        </w:div>
        <w:div w:id="1362049682">
          <w:marLeft w:val="0"/>
          <w:marRight w:val="0"/>
          <w:marTop w:val="0"/>
          <w:marBottom w:val="0"/>
          <w:divBdr>
            <w:top w:val="none" w:sz="0" w:space="0" w:color="auto"/>
            <w:left w:val="none" w:sz="0" w:space="0" w:color="auto"/>
            <w:bottom w:val="none" w:sz="0" w:space="0" w:color="auto"/>
            <w:right w:val="none" w:sz="0" w:space="0" w:color="auto"/>
          </w:divBdr>
        </w:div>
        <w:div w:id="501088943">
          <w:marLeft w:val="0"/>
          <w:marRight w:val="0"/>
          <w:marTop w:val="0"/>
          <w:marBottom w:val="0"/>
          <w:divBdr>
            <w:top w:val="none" w:sz="0" w:space="0" w:color="auto"/>
            <w:left w:val="none" w:sz="0" w:space="0" w:color="auto"/>
            <w:bottom w:val="none" w:sz="0" w:space="0" w:color="auto"/>
            <w:right w:val="none" w:sz="0" w:space="0" w:color="auto"/>
          </w:divBdr>
        </w:div>
        <w:div w:id="1844974418">
          <w:marLeft w:val="0"/>
          <w:marRight w:val="0"/>
          <w:marTop w:val="0"/>
          <w:marBottom w:val="0"/>
          <w:divBdr>
            <w:top w:val="none" w:sz="0" w:space="0" w:color="auto"/>
            <w:left w:val="none" w:sz="0" w:space="0" w:color="auto"/>
            <w:bottom w:val="none" w:sz="0" w:space="0" w:color="auto"/>
            <w:right w:val="none" w:sz="0" w:space="0" w:color="auto"/>
          </w:divBdr>
        </w:div>
        <w:div w:id="816268446">
          <w:marLeft w:val="0"/>
          <w:marRight w:val="0"/>
          <w:marTop w:val="0"/>
          <w:marBottom w:val="0"/>
          <w:divBdr>
            <w:top w:val="none" w:sz="0" w:space="0" w:color="auto"/>
            <w:left w:val="none" w:sz="0" w:space="0" w:color="auto"/>
            <w:bottom w:val="none" w:sz="0" w:space="0" w:color="auto"/>
            <w:right w:val="none" w:sz="0" w:space="0" w:color="auto"/>
          </w:divBdr>
        </w:div>
        <w:div w:id="1743866545">
          <w:marLeft w:val="0"/>
          <w:marRight w:val="0"/>
          <w:marTop w:val="0"/>
          <w:marBottom w:val="0"/>
          <w:divBdr>
            <w:top w:val="none" w:sz="0" w:space="0" w:color="auto"/>
            <w:left w:val="none" w:sz="0" w:space="0" w:color="auto"/>
            <w:bottom w:val="none" w:sz="0" w:space="0" w:color="auto"/>
            <w:right w:val="none" w:sz="0" w:space="0" w:color="auto"/>
          </w:divBdr>
          <w:divsChild>
            <w:div w:id="101531420">
              <w:marLeft w:val="0"/>
              <w:marRight w:val="0"/>
              <w:marTop w:val="0"/>
              <w:marBottom w:val="0"/>
              <w:divBdr>
                <w:top w:val="none" w:sz="0" w:space="0" w:color="auto"/>
                <w:left w:val="none" w:sz="0" w:space="0" w:color="auto"/>
                <w:bottom w:val="none" w:sz="0" w:space="0" w:color="auto"/>
                <w:right w:val="none" w:sz="0" w:space="0" w:color="auto"/>
              </w:divBdr>
            </w:div>
            <w:div w:id="626468857">
              <w:marLeft w:val="0"/>
              <w:marRight w:val="0"/>
              <w:marTop w:val="0"/>
              <w:marBottom w:val="0"/>
              <w:divBdr>
                <w:top w:val="none" w:sz="0" w:space="0" w:color="auto"/>
                <w:left w:val="none" w:sz="0" w:space="0" w:color="auto"/>
                <w:bottom w:val="none" w:sz="0" w:space="0" w:color="auto"/>
                <w:right w:val="none" w:sz="0" w:space="0" w:color="auto"/>
              </w:divBdr>
            </w:div>
            <w:div w:id="320815640">
              <w:marLeft w:val="0"/>
              <w:marRight w:val="0"/>
              <w:marTop w:val="0"/>
              <w:marBottom w:val="0"/>
              <w:divBdr>
                <w:top w:val="none" w:sz="0" w:space="0" w:color="auto"/>
                <w:left w:val="none" w:sz="0" w:space="0" w:color="auto"/>
                <w:bottom w:val="none" w:sz="0" w:space="0" w:color="auto"/>
                <w:right w:val="none" w:sz="0" w:space="0" w:color="auto"/>
              </w:divBdr>
            </w:div>
            <w:div w:id="829562863">
              <w:marLeft w:val="0"/>
              <w:marRight w:val="0"/>
              <w:marTop w:val="0"/>
              <w:marBottom w:val="0"/>
              <w:divBdr>
                <w:top w:val="none" w:sz="0" w:space="0" w:color="auto"/>
                <w:left w:val="none" w:sz="0" w:space="0" w:color="auto"/>
                <w:bottom w:val="none" w:sz="0" w:space="0" w:color="auto"/>
                <w:right w:val="none" w:sz="0" w:space="0" w:color="auto"/>
              </w:divBdr>
            </w:div>
            <w:div w:id="722338357">
              <w:marLeft w:val="0"/>
              <w:marRight w:val="0"/>
              <w:marTop w:val="0"/>
              <w:marBottom w:val="0"/>
              <w:divBdr>
                <w:top w:val="none" w:sz="0" w:space="0" w:color="auto"/>
                <w:left w:val="none" w:sz="0" w:space="0" w:color="auto"/>
                <w:bottom w:val="none" w:sz="0" w:space="0" w:color="auto"/>
                <w:right w:val="none" w:sz="0" w:space="0" w:color="auto"/>
              </w:divBdr>
            </w:div>
            <w:div w:id="708801677">
              <w:marLeft w:val="0"/>
              <w:marRight w:val="0"/>
              <w:marTop w:val="0"/>
              <w:marBottom w:val="0"/>
              <w:divBdr>
                <w:top w:val="none" w:sz="0" w:space="0" w:color="auto"/>
                <w:left w:val="none" w:sz="0" w:space="0" w:color="auto"/>
                <w:bottom w:val="none" w:sz="0" w:space="0" w:color="auto"/>
                <w:right w:val="none" w:sz="0" w:space="0" w:color="auto"/>
              </w:divBdr>
            </w:div>
          </w:divsChild>
        </w:div>
        <w:div w:id="1500274039">
          <w:marLeft w:val="0"/>
          <w:marRight w:val="0"/>
          <w:marTop w:val="0"/>
          <w:marBottom w:val="0"/>
          <w:divBdr>
            <w:top w:val="none" w:sz="0" w:space="0" w:color="auto"/>
            <w:left w:val="none" w:sz="0" w:space="0" w:color="auto"/>
            <w:bottom w:val="none" w:sz="0" w:space="0" w:color="auto"/>
            <w:right w:val="none" w:sz="0" w:space="0" w:color="auto"/>
          </w:divBdr>
          <w:divsChild>
            <w:div w:id="1946496893">
              <w:marLeft w:val="0"/>
              <w:marRight w:val="0"/>
              <w:marTop w:val="0"/>
              <w:marBottom w:val="0"/>
              <w:divBdr>
                <w:top w:val="none" w:sz="0" w:space="0" w:color="auto"/>
                <w:left w:val="none" w:sz="0" w:space="0" w:color="auto"/>
                <w:bottom w:val="none" w:sz="0" w:space="0" w:color="auto"/>
                <w:right w:val="none" w:sz="0" w:space="0" w:color="auto"/>
              </w:divBdr>
            </w:div>
          </w:divsChild>
        </w:div>
        <w:div w:id="1945307216">
          <w:marLeft w:val="0"/>
          <w:marRight w:val="0"/>
          <w:marTop w:val="0"/>
          <w:marBottom w:val="0"/>
          <w:divBdr>
            <w:top w:val="none" w:sz="0" w:space="0" w:color="auto"/>
            <w:left w:val="none" w:sz="0" w:space="0" w:color="auto"/>
            <w:bottom w:val="none" w:sz="0" w:space="0" w:color="auto"/>
            <w:right w:val="none" w:sz="0" w:space="0" w:color="auto"/>
          </w:divBdr>
          <w:divsChild>
            <w:div w:id="962347857">
              <w:marLeft w:val="0"/>
              <w:marRight w:val="0"/>
              <w:marTop w:val="0"/>
              <w:marBottom w:val="0"/>
              <w:divBdr>
                <w:top w:val="none" w:sz="0" w:space="0" w:color="auto"/>
                <w:left w:val="none" w:sz="0" w:space="0" w:color="auto"/>
                <w:bottom w:val="none" w:sz="0" w:space="0" w:color="auto"/>
                <w:right w:val="none" w:sz="0" w:space="0" w:color="auto"/>
              </w:divBdr>
            </w:div>
            <w:div w:id="495656809">
              <w:marLeft w:val="0"/>
              <w:marRight w:val="0"/>
              <w:marTop w:val="0"/>
              <w:marBottom w:val="0"/>
              <w:divBdr>
                <w:top w:val="none" w:sz="0" w:space="0" w:color="auto"/>
                <w:left w:val="none" w:sz="0" w:space="0" w:color="auto"/>
                <w:bottom w:val="none" w:sz="0" w:space="0" w:color="auto"/>
                <w:right w:val="none" w:sz="0" w:space="0" w:color="auto"/>
              </w:divBdr>
            </w:div>
            <w:div w:id="75320290">
              <w:marLeft w:val="0"/>
              <w:marRight w:val="0"/>
              <w:marTop w:val="0"/>
              <w:marBottom w:val="0"/>
              <w:divBdr>
                <w:top w:val="none" w:sz="0" w:space="0" w:color="auto"/>
                <w:left w:val="none" w:sz="0" w:space="0" w:color="auto"/>
                <w:bottom w:val="none" w:sz="0" w:space="0" w:color="auto"/>
                <w:right w:val="none" w:sz="0" w:space="0" w:color="auto"/>
              </w:divBdr>
            </w:div>
            <w:div w:id="1202591505">
              <w:marLeft w:val="0"/>
              <w:marRight w:val="0"/>
              <w:marTop w:val="0"/>
              <w:marBottom w:val="0"/>
              <w:divBdr>
                <w:top w:val="none" w:sz="0" w:space="0" w:color="auto"/>
                <w:left w:val="none" w:sz="0" w:space="0" w:color="auto"/>
                <w:bottom w:val="none" w:sz="0" w:space="0" w:color="auto"/>
                <w:right w:val="none" w:sz="0" w:space="0" w:color="auto"/>
              </w:divBdr>
            </w:div>
            <w:div w:id="1985623579">
              <w:marLeft w:val="0"/>
              <w:marRight w:val="0"/>
              <w:marTop w:val="0"/>
              <w:marBottom w:val="0"/>
              <w:divBdr>
                <w:top w:val="none" w:sz="0" w:space="0" w:color="auto"/>
                <w:left w:val="none" w:sz="0" w:space="0" w:color="auto"/>
                <w:bottom w:val="none" w:sz="0" w:space="0" w:color="auto"/>
                <w:right w:val="none" w:sz="0" w:space="0" w:color="auto"/>
              </w:divBdr>
            </w:div>
            <w:div w:id="989869936">
              <w:marLeft w:val="0"/>
              <w:marRight w:val="0"/>
              <w:marTop w:val="0"/>
              <w:marBottom w:val="0"/>
              <w:divBdr>
                <w:top w:val="none" w:sz="0" w:space="0" w:color="auto"/>
                <w:left w:val="none" w:sz="0" w:space="0" w:color="auto"/>
                <w:bottom w:val="none" w:sz="0" w:space="0" w:color="auto"/>
                <w:right w:val="none" w:sz="0" w:space="0" w:color="auto"/>
              </w:divBdr>
            </w:div>
            <w:div w:id="1256747733">
              <w:marLeft w:val="0"/>
              <w:marRight w:val="0"/>
              <w:marTop w:val="0"/>
              <w:marBottom w:val="0"/>
              <w:divBdr>
                <w:top w:val="none" w:sz="0" w:space="0" w:color="auto"/>
                <w:left w:val="none" w:sz="0" w:space="0" w:color="auto"/>
                <w:bottom w:val="none" w:sz="0" w:space="0" w:color="auto"/>
                <w:right w:val="none" w:sz="0" w:space="0" w:color="auto"/>
              </w:divBdr>
            </w:div>
            <w:div w:id="69548218">
              <w:marLeft w:val="0"/>
              <w:marRight w:val="0"/>
              <w:marTop w:val="0"/>
              <w:marBottom w:val="0"/>
              <w:divBdr>
                <w:top w:val="none" w:sz="0" w:space="0" w:color="auto"/>
                <w:left w:val="none" w:sz="0" w:space="0" w:color="auto"/>
                <w:bottom w:val="none" w:sz="0" w:space="0" w:color="auto"/>
                <w:right w:val="none" w:sz="0" w:space="0" w:color="auto"/>
              </w:divBdr>
            </w:div>
            <w:div w:id="1485514382">
              <w:marLeft w:val="0"/>
              <w:marRight w:val="0"/>
              <w:marTop w:val="0"/>
              <w:marBottom w:val="0"/>
              <w:divBdr>
                <w:top w:val="none" w:sz="0" w:space="0" w:color="auto"/>
                <w:left w:val="none" w:sz="0" w:space="0" w:color="auto"/>
                <w:bottom w:val="none" w:sz="0" w:space="0" w:color="auto"/>
                <w:right w:val="none" w:sz="0" w:space="0" w:color="auto"/>
              </w:divBdr>
            </w:div>
            <w:div w:id="1005283771">
              <w:marLeft w:val="0"/>
              <w:marRight w:val="0"/>
              <w:marTop w:val="0"/>
              <w:marBottom w:val="0"/>
              <w:divBdr>
                <w:top w:val="none" w:sz="0" w:space="0" w:color="auto"/>
                <w:left w:val="none" w:sz="0" w:space="0" w:color="auto"/>
                <w:bottom w:val="none" w:sz="0" w:space="0" w:color="auto"/>
                <w:right w:val="none" w:sz="0" w:space="0" w:color="auto"/>
              </w:divBdr>
            </w:div>
            <w:div w:id="1174031314">
              <w:marLeft w:val="0"/>
              <w:marRight w:val="0"/>
              <w:marTop w:val="0"/>
              <w:marBottom w:val="0"/>
              <w:divBdr>
                <w:top w:val="none" w:sz="0" w:space="0" w:color="auto"/>
                <w:left w:val="none" w:sz="0" w:space="0" w:color="auto"/>
                <w:bottom w:val="none" w:sz="0" w:space="0" w:color="auto"/>
                <w:right w:val="none" w:sz="0" w:space="0" w:color="auto"/>
              </w:divBdr>
            </w:div>
            <w:div w:id="1283266939">
              <w:marLeft w:val="0"/>
              <w:marRight w:val="0"/>
              <w:marTop w:val="0"/>
              <w:marBottom w:val="0"/>
              <w:divBdr>
                <w:top w:val="none" w:sz="0" w:space="0" w:color="auto"/>
                <w:left w:val="none" w:sz="0" w:space="0" w:color="auto"/>
                <w:bottom w:val="none" w:sz="0" w:space="0" w:color="auto"/>
                <w:right w:val="none" w:sz="0" w:space="0" w:color="auto"/>
              </w:divBdr>
            </w:div>
            <w:div w:id="369765703">
              <w:marLeft w:val="0"/>
              <w:marRight w:val="0"/>
              <w:marTop w:val="0"/>
              <w:marBottom w:val="0"/>
              <w:divBdr>
                <w:top w:val="none" w:sz="0" w:space="0" w:color="auto"/>
                <w:left w:val="none" w:sz="0" w:space="0" w:color="auto"/>
                <w:bottom w:val="none" w:sz="0" w:space="0" w:color="auto"/>
                <w:right w:val="none" w:sz="0" w:space="0" w:color="auto"/>
              </w:divBdr>
            </w:div>
            <w:div w:id="320814951">
              <w:marLeft w:val="0"/>
              <w:marRight w:val="0"/>
              <w:marTop w:val="0"/>
              <w:marBottom w:val="0"/>
              <w:divBdr>
                <w:top w:val="none" w:sz="0" w:space="0" w:color="auto"/>
                <w:left w:val="none" w:sz="0" w:space="0" w:color="auto"/>
                <w:bottom w:val="none" w:sz="0" w:space="0" w:color="auto"/>
                <w:right w:val="none" w:sz="0" w:space="0" w:color="auto"/>
              </w:divBdr>
            </w:div>
            <w:div w:id="1921713788">
              <w:marLeft w:val="0"/>
              <w:marRight w:val="0"/>
              <w:marTop w:val="0"/>
              <w:marBottom w:val="0"/>
              <w:divBdr>
                <w:top w:val="none" w:sz="0" w:space="0" w:color="auto"/>
                <w:left w:val="none" w:sz="0" w:space="0" w:color="auto"/>
                <w:bottom w:val="none" w:sz="0" w:space="0" w:color="auto"/>
                <w:right w:val="none" w:sz="0" w:space="0" w:color="auto"/>
              </w:divBdr>
            </w:div>
            <w:div w:id="1030494463">
              <w:marLeft w:val="0"/>
              <w:marRight w:val="0"/>
              <w:marTop w:val="0"/>
              <w:marBottom w:val="0"/>
              <w:divBdr>
                <w:top w:val="none" w:sz="0" w:space="0" w:color="auto"/>
                <w:left w:val="none" w:sz="0" w:space="0" w:color="auto"/>
                <w:bottom w:val="none" w:sz="0" w:space="0" w:color="auto"/>
                <w:right w:val="none" w:sz="0" w:space="0" w:color="auto"/>
              </w:divBdr>
            </w:div>
            <w:div w:id="237831071">
              <w:marLeft w:val="0"/>
              <w:marRight w:val="0"/>
              <w:marTop w:val="0"/>
              <w:marBottom w:val="0"/>
              <w:divBdr>
                <w:top w:val="none" w:sz="0" w:space="0" w:color="auto"/>
                <w:left w:val="none" w:sz="0" w:space="0" w:color="auto"/>
                <w:bottom w:val="none" w:sz="0" w:space="0" w:color="auto"/>
                <w:right w:val="none" w:sz="0" w:space="0" w:color="auto"/>
              </w:divBdr>
            </w:div>
          </w:divsChild>
        </w:div>
        <w:div w:id="1918126724">
          <w:marLeft w:val="0"/>
          <w:marRight w:val="0"/>
          <w:marTop w:val="0"/>
          <w:marBottom w:val="0"/>
          <w:divBdr>
            <w:top w:val="none" w:sz="0" w:space="0" w:color="auto"/>
            <w:left w:val="none" w:sz="0" w:space="0" w:color="auto"/>
            <w:bottom w:val="none" w:sz="0" w:space="0" w:color="auto"/>
            <w:right w:val="none" w:sz="0" w:space="0" w:color="auto"/>
          </w:divBdr>
        </w:div>
        <w:div w:id="1182161866">
          <w:marLeft w:val="0"/>
          <w:marRight w:val="0"/>
          <w:marTop w:val="0"/>
          <w:marBottom w:val="0"/>
          <w:divBdr>
            <w:top w:val="none" w:sz="0" w:space="0" w:color="auto"/>
            <w:left w:val="none" w:sz="0" w:space="0" w:color="auto"/>
            <w:bottom w:val="none" w:sz="0" w:space="0" w:color="auto"/>
            <w:right w:val="none" w:sz="0" w:space="0" w:color="auto"/>
          </w:divBdr>
        </w:div>
        <w:div w:id="1999990903">
          <w:marLeft w:val="0"/>
          <w:marRight w:val="0"/>
          <w:marTop w:val="0"/>
          <w:marBottom w:val="0"/>
          <w:divBdr>
            <w:top w:val="none" w:sz="0" w:space="0" w:color="auto"/>
            <w:left w:val="none" w:sz="0" w:space="0" w:color="auto"/>
            <w:bottom w:val="none" w:sz="0" w:space="0" w:color="auto"/>
            <w:right w:val="none" w:sz="0" w:space="0" w:color="auto"/>
          </w:divBdr>
        </w:div>
        <w:div w:id="1043748980">
          <w:marLeft w:val="0"/>
          <w:marRight w:val="0"/>
          <w:marTop w:val="0"/>
          <w:marBottom w:val="0"/>
          <w:divBdr>
            <w:top w:val="none" w:sz="0" w:space="0" w:color="auto"/>
            <w:left w:val="none" w:sz="0" w:space="0" w:color="auto"/>
            <w:bottom w:val="none" w:sz="0" w:space="0" w:color="auto"/>
            <w:right w:val="none" w:sz="0" w:space="0" w:color="auto"/>
          </w:divBdr>
        </w:div>
        <w:div w:id="2034987987">
          <w:marLeft w:val="0"/>
          <w:marRight w:val="0"/>
          <w:marTop w:val="0"/>
          <w:marBottom w:val="0"/>
          <w:divBdr>
            <w:top w:val="none" w:sz="0" w:space="0" w:color="auto"/>
            <w:left w:val="none" w:sz="0" w:space="0" w:color="auto"/>
            <w:bottom w:val="none" w:sz="0" w:space="0" w:color="auto"/>
            <w:right w:val="none" w:sz="0" w:space="0" w:color="auto"/>
          </w:divBdr>
        </w:div>
        <w:div w:id="146555625">
          <w:marLeft w:val="0"/>
          <w:marRight w:val="0"/>
          <w:marTop w:val="0"/>
          <w:marBottom w:val="0"/>
          <w:divBdr>
            <w:top w:val="none" w:sz="0" w:space="0" w:color="auto"/>
            <w:left w:val="none" w:sz="0" w:space="0" w:color="auto"/>
            <w:bottom w:val="none" w:sz="0" w:space="0" w:color="auto"/>
            <w:right w:val="none" w:sz="0" w:space="0" w:color="auto"/>
          </w:divBdr>
        </w:div>
        <w:div w:id="211507103">
          <w:marLeft w:val="0"/>
          <w:marRight w:val="0"/>
          <w:marTop w:val="0"/>
          <w:marBottom w:val="0"/>
          <w:divBdr>
            <w:top w:val="none" w:sz="0" w:space="0" w:color="auto"/>
            <w:left w:val="none" w:sz="0" w:space="0" w:color="auto"/>
            <w:bottom w:val="none" w:sz="0" w:space="0" w:color="auto"/>
            <w:right w:val="none" w:sz="0" w:space="0" w:color="auto"/>
          </w:divBdr>
        </w:div>
        <w:div w:id="866648794">
          <w:marLeft w:val="0"/>
          <w:marRight w:val="0"/>
          <w:marTop w:val="0"/>
          <w:marBottom w:val="0"/>
          <w:divBdr>
            <w:top w:val="none" w:sz="0" w:space="0" w:color="auto"/>
            <w:left w:val="none" w:sz="0" w:space="0" w:color="auto"/>
            <w:bottom w:val="none" w:sz="0" w:space="0" w:color="auto"/>
            <w:right w:val="none" w:sz="0" w:space="0" w:color="auto"/>
          </w:divBdr>
          <w:divsChild>
            <w:div w:id="69349574">
              <w:marLeft w:val="0"/>
              <w:marRight w:val="0"/>
              <w:marTop w:val="0"/>
              <w:marBottom w:val="0"/>
              <w:divBdr>
                <w:top w:val="none" w:sz="0" w:space="0" w:color="auto"/>
                <w:left w:val="none" w:sz="0" w:space="0" w:color="auto"/>
                <w:bottom w:val="none" w:sz="0" w:space="0" w:color="auto"/>
                <w:right w:val="none" w:sz="0" w:space="0" w:color="auto"/>
              </w:divBdr>
            </w:div>
          </w:divsChild>
        </w:div>
        <w:div w:id="2139175535">
          <w:marLeft w:val="0"/>
          <w:marRight w:val="0"/>
          <w:marTop w:val="0"/>
          <w:marBottom w:val="0"/>
          <w:divBdr>
            <w:top w:val="none" w:sz="0" w:space="0" w:color="auto"/>
            <w:left w:val="none" w:sz="0" w:space="0" w:color="auto"/>
            <w:bottom w:val="none" w:sz="0" w:space="0" w:color="auto"/>
            <w:right w:val="none" w:sz="0" w:space="0" w:color="auto"/>
          </w:divBdr>
        </w:div>
        <w:div w:id="1588416322">
          <w:marLeft w:val="0"/>
          <w:marRight w:val="0"/>
          <w:marTop w:val="0"/>
          <w:marBottom w:val="0"/>
          <w:divBdr>
            <w:top w:val="none" w:sz="0" w:space="0" w:color="auto"/>
            <w:left w:val="none" w:sz="0" w:space="0" w:color="auto"/>
            <w:bottom w:val="none" w:sz="0" w:space="0" w:color="auto"/>
            <w:right w:val="none" w:sz="0" w:space="0" w:color="auto"/>
          </w:divBdr>
        </w:div>
        <w:div w:id="1089228432">
          <w:marLeft w:val="0"/>
          <w:marRight w:val="0"/>
          <w:marTop w:val="0"/>
          <w:marBottom w:val="0"/>
          <w:divBdr>
            <w:top w:val="none" w:sz="0" w:space="0" w:color="auto"/>
            <w:left w:val="none" w:sz="0" w:space="0" w:color="auto"/>
            <w:bottom w:val="none" w:sz="0" w:space="0" w:color="auto"/>
            <w:right w:val="none" w:sz="0" w:space="0" w:color="auto"/>
          </w:divBdr>
        </w:div>
        <w:div w:id="194849775">
          <w:marLeft w:val="0"/>
          <w:marRight w:val="0"/>
          <w:marTop w:val="0"/>
          <w:marBottom w:val="0"/>
          <w:divBdr>
            <w:top w:val="none" w:sz="0" w:space="0" w:color="auto"/>
            <w:left w:val="none" w:sz="0" w:space="0" w:color="auto"/>
            <w:bottom w:val="none" w:sz="0" w:space="0" w:color="auto"/>
            <w:right w:val="none" w:sz="0" w:space="0" w:color="auto"/>
          </w:divBdr>
        </w:div>
        <w:div w:id="203253334">
          <w:marLeft w:val="0"/>
          <w:marRight w:val="0"/>
          <w:marTop w:val="0"/>
          <w:marBottom w:val="0"/>
          <w:divBdr>
            <w:top w:val="none" w:sz="0" w:space="0" w:color="auto"/>
            <w:left w:val="none" w:sz="0" w:space="0" w:color="auto"/>
            <w:bottom w:val="none" w:sz="0" w:space="0" w:color="auto"/>
            <w:right w:val="none" w:sz="0" w:space="0" w:color="auto"/>
          </w:divBdr>
        </w:div>
        <w:div w:id="655886439">
          <w:marLeft w:val="0"/>
          <w:marRight w:val="0"/>
          <w:marTop w:val="0"/>
          <w:marBottom w:val="0"/>
          <w:divBdr>
            <w:top w:val="none" w:sz="0" w:space="0" w:color="auto"/>
            <w:left w:val="none" w:sz="0" w:space="0" w:color="auto"/>
            <w:bottom w:val="none" w:sz="0" w:space="0" w:color="auto"/>
            <w:right w:val="none" w:sz="0" w:space="0" w:color="auto"/>
          </w:divBdr>
        </w:div>
        <w:div w:id="1718312181">
          <w:marLeft w:val="0"/>
          <w:marRight w:val="0"/>
          <w:marTop w:val="0"/>
          <w:marBottom w:val="0"/>
          <w:divBdr>
            <w:top w:val="none" w:sz="0" w:space="0" w:color="auto"/>
            <w:left w:val="none" w:sz="0" w:space="0" w:color="auto"/>
            <w:bottom w:val="none" w:sz="0" w:space="0" w:color="auto"/>
            <w:right w:val="none" w:sz="0" w:space="0" w:color="auto"/>
          </w:divBdr>
        </w:div>
        <w:div w:id="1119690941">
          <w:marLeft w:val="0"/>
          <w:marRight w:val="0"/>
          <w:marTop w:val="0"/>
          <w:marBottom w:val="0"/>
          <w:divBdr>
            <w:top w:val="none" w:sz="0" w:space="0" w:color="auto"/>
            <w:left w:val="none" w:sz="0" w:space="0" w:color="auto"/>
            <w:bottom w:val="none" w:sz="0" w:space="0" w:color="auto"/>
            <w:right w:val="none" w:sz="0" w:space="0" w:color="auto"/>
          </w:divBdr>
        </w:div>
        <w:div w:id="280694665">
          <w:marLeft w:val="0"/>
          <w:marRight w:val="0"/>
          <w:marTop w:val="0"/>
          <w:marBottom w:val="0"/>
          <w:divBdr>
            <w:top w:val="none" w:sz="0" w:space="0" w:color="auto"/>
            <w:left w:val="none" w:sz="0" w:space="0" w:color="auto"/>
            <w:bottom w:val="none" w:sz="0" w:space="0" w:color="auto"/>
            <w:right w:val="none" w:sz="0" w:space="0" w:color="auto"/>
          </w:divBdr>
        </w:div>
        <w:div w:id="2059164274">
          <w:marLeft w:val="0"/>
          <w:marRight w:val="0"/>
          <w:marTop w:val="0"/>
          <w:marBottom w:val="0"/>
          <w:divBdr>
            <w:top w:val="none" w:sz="0" w:space="0" w:color="auto"/>
            <w:left w:val="none" w:sz="0" w:space="0" w:color="auto"/>
            <w:bottom w:val="none" w:sz="0" w:space="0" w:color="auto"/>
            <w:right w:val="none" w:sz="0" w:space="0" w:color="auto"/>
          </w:divBdr>
        </w:div>
        <w:div w:id="1481769611">
          <w:marLeft w:val="0"/>
          <w:marRight w:val="0"/>
          <w:marTop w:val="0"/>
          <w:marBottom w:val="0"/>
          <w:divBdr>
            <w:top w:val="none" w:sz="0" w:space="0" w:color="auto"/>
            <w:left w:val="none" w:sz="0" w:space="0" w:color="auto"/>
            <w:bottom w:val="none" w:sz="0" w:space="0" w:color="auto"/>
            <w:right w:val="none" w:sz="0" w:space="0" w:color="auto"/>
          </w:divBdr>
        </w:div>
        <w:div w:id="585307532">
          <w:marLeft w:val="0"/>
          <w:marRight w:val="0"/>
          <w:marTop w:val="0"/>
          <w:marBottom w:val="0"/>
          <w:divBdr>
            <w:top w:val="none" w:sz="0" w:space="0" w:color="auto"/>
            <w:left w:val="none" w:sz="0" w:space="0" w:color="auto"/>
            <w:bottom w:val="none" w:sz="0" w:space="0" w:color="auto"/>
            <w:right w:val="none" w:sz="0" w:space="0" w:color="auto"/>
          </w:divBdr>
        </w:div>
        <w:div w:id="550386104">
          <w:marLeft w:val="0"/>
          <w:marRight w:val="0"/>
          <w:marTop w:val="0"/>
          <w:marBottom w:val="0"/>
          <w:divBdr>
            <w:top w:val="none" w:sz="0" w:space="0" w:color="auto"/>
            <w:left w:val="none" w:sz="0" w:space="0" w:color="auto"/>
            <w:bottom w:val="none" w:sz="0" w:space="0" w:color="auto"/>
            <w:right w:val="none" w:sz="0" w:space="0" w:color="auto"/>
          </w:divBdr>
        </w:div>
        <w:div w:id="1796361612">
          <w:marLeft w:val="0"/>
          <w:marRight w:val="0"/>
          <w:marTop w:val="0"/>
          <w:marBottom w:val="0"/>
          <w:divBdr>
            <w:top w:val="none" w:sz="0" w:space="0" w:color="auto"/>
            <w:left w:val="none" w:sz="0" w:space="0" w:color="auto"/>
            <w:bottom w:val="none" w:sz="0" w:space="0" w:color="auto"/>
            <w:right w:val="none" w:sz="0" w:space="0" w:color="auto"/>
          </w:divBdr>
        </w:div>
        <w:div w:id="248125647">
          <w:marLeft w:val="0"/>
          <w:marRight w:val="0"/>
          <w:marTop w:val="0"/>
          <w:marBottom w:val="0"/>
          <w:divBdr>
            <w:top w:val="none" w:sz="0" w:space="0" w:color="auto"/>
            <w:left w:val="none" w:sz="0" w:space="0" w:color="auto"/>
            <w:bottom w:val="none" w:sz="0" w:space="0" w:color="auto"/>
            <w:right w:val="none" w:sz="0" w:space="0" w:color="auto"/>
          </w:divBdr>
        </w:div>
        <w:div w:id="1830707165">
          <w:marLeft w:val="0"/>
          <w:marRight w:val="0"/>
          <w:marTop w:val="0"/>
          <w:marBottom w:val="0"/>
          <w:divBdr>
            <w:top w:val="none" w:sz="0" w:space="0" w:color="auto"/>
            <w:left w:val="none" w:sz="0" w:space="0" w:color="auto"/>
            <w:bottom w:val="none" w:sz="0" w:space="0" w:color="auto"/>
            <w:right w:val="none" w:sz="0" w:space="0" w:color="auto"/>
          </w:divBdr>
          <w:divsChild>
            <w:div w:id="1205216895">
              <w:marLeft w:val="0"/>
              <w:marRight w:val="0"/>
              <w:marTop w:val="0"/>
              <w:marBottom w:val="0"/>
              <w:divBdr>
                <w:top w:val="none" w:sz="0" w:space="0" w:color="auto"/>
                <w:left w:val="none" w:sz="0" w:space="0" w:color="auto"/>
                <w:bottom w:val="none" w:sz="0" w:space="0" w:color="auto"/>
                <w:right w:val="none" w:sz="0" w:space="0" w:color="auto"/>
              </w:divBdr>
            </w:div>
          </w:divsChild>
        </w:div>
        <w:div w:id="1384986118">
          <w:marLeft w:val="0"/>
          <w:marRight w:val="0"/>
          <w:marTop w:val="0"/>
          <w:marBottom w:val="0"/>
          <w:divBdr>
            <w:top w:val="none" w:sz="0" w:space="0" w:color="auto"/>
            <w:left w:val="none" w:sz="0" w:space="0" w:color="auto"/>
            <w:bottom w:val="none" w:sz="0" w:space="0" w:color="auto"/>
            <w:right w:val="none" w:sz="0" w:space="0" w:color="auto"/>
          </w:divBdr>
        </w:div>
        <w:div w:id="349651669">
          <w:marLeft w:val="0"/>
          <w:marRight w:val="0"/>
          <w:marTop w:val="0"/>
          <w:marBottom w:val="0"/>
          <w:divBdr>
            <w:top w:val="none" w:sz="0" w:space="0" w:color="auto"/>
            <w:left w:val="none" w:sz="0" w:space="0" w:color="auto"/>
            <w:bottom w:val="none" w:sz="0" w:space="0" w:color="auto"/>
            <w:right w:val="none" w:sz="0" w:space="0" w:color="auto"/>
          </w:divBdr>
        </w:div>
        <w:div w:id="1862087011">
          <w:marLeft w:val="0"/>
          <w:marRight w:val="0"/>
          <w:marTop w:val="0"/>
          <w:marBottom w:val="0"/>
          <w:divBdr>
            <w:top w:val="none" w:sz="0" w:space="0" w:color="auto"/>
            <w:left w:val="none" w:sz="0" w:space="0" w:color="auto"/>
            <w:bottom w:val="none" w:sz="0" w:space="0" w:color="auto"/>
            <w:right w:val="none" w:sz="0" w:space="0" w:color="auto"/>
          </w:divBdr>
        </w:div>
        <w:div w:id="1190530672">
          <w:marLeft w:val="0"/>
          <w:marRight w:val="0"/>
          <w:marTop w:val="0"/>
          <w:marBottom w:val="0"/>
          <w:divBdr>
            <w:top w:val="none" w:sz="0" w:space="0" w:color="auto"/>
            <w:left w:val="none" w:sz="0" w:space="0" w:color="auto"/>
            <w:bottom w:val="none" w:sz="0" w:space="0" w:color="auto"/>
            <w:right w:val="none" w:sz="0" w:space="0" w:color="auto"/>
          </w:divBdr>
        </w:div>
        <w:div w:id="1581022787">
          <w:marLeft w:val="0"/>
          <w:marRight w:val="0"/>
          <w:marTop w:val="0"/>
          <w:marBottom w:val="0"/>
          <w:divBdr>
            <w:top w:val="none" w:sz="0" w:space="0" w:color="auto"/>
            <w:left w:val="none" w:sz="0" w:space="0" w:color="auto"/>
            <w:bottom w:val="none" w:sz="0" w:space="0" w:color="auto"/>
            <w:right w:val="none" w:sz="0" w:space="0" w:color="auto"/>
          </w:divBdr>
        </w:div>
        <w:div w:id="1957909921">
          <w:marLeft w:val="0"/>
          <w:marRight w:val="0"/>
          <w:marTop w:val="0"/>
          <w:marBottom w:val="0"/>
          <w:divBdr>
            <w:top w:val="none" w:sz="0" w:space="0" w:color="auto"/>
            <w:left w:val="none" w:sz="0" w:space="0" w:color="auto"/>
            <w:bottom w:val="none" w:sz="0" w:space="0" w:color="auto"/>
            <w:right w:val="none" w:sz="0" w:space="0" w:color="auto"/>
          </w:divBdr>
        </w:div>
        <w:div w:id="496268663">
          <w:marLeft w:val="0"/>
          <w:marRight w:val="0"/>
          <w:marTop w:val="0"/>
          <w:marBottom w:val="0"/>
          <w:divBdr>
            <w:top w:val="none" w:sz="0" w:space="0" w:color="auto"/>
            <w:left w:val="none" w:sz="0" w:space="0" w:color="auto"/>
            <w:bottom w:val="none" w:sz="0" w:space="0" w:color="auto"/>
            <w:right w:val="none" w:sz="0" w:space="0" w:color="auto"/>
          </w:divBdr>
        </w:div>
        <w:div w:id="6759019">
          <w:marLeft w:val="0"/>
          <w:marRight w:val="0"/>
          <w:marTop w:val="0"/>
          <w:marBottom w:val="0"/>
          <w:divBdr>
            <w:top w:val="none" w:sz="0" w:space="0" w:color="auto"/>
            <w:left w:val="none" w:sz="0" w:space="0" w:color="auto"/>
            <w:bottom w:val="none" w:sz="0" w:space="0" w:color="auto"/>
            <w:right w:val="none" w:sz="0" w:space="0" w:color="auto"/>
          </w:divBdr>
        </w:div>
        <w:div w:id="1763644458">
          <w:marLeft w:val="0"/>
          <w:marRight w:val="0"/>
          <w:marTop w:val="0"/>
          <w:marBottom w:val="0"/>
          <w:divBdr>
            <w:top w:val="none" w:sz="0" w:space="0" w:color="auto"/>
            <w:left w:val="none" w:sz="0" w:space="0" w:color="auto"/>
            <w:bottom w:val="none" w:sz="0" w:space="0" w:color="auto"/>
            <w:right w:val="none" w:sz="0" w:space="0" w:color="auto"/>
          </w:divBdr>
        </w:div>
        <w:div w:id="620498925">
          <w:marLeft w:val="0"/>
          <w:marRight w:val="0"/>
          <w:marTop w:val="0"/>
          <w:marBottom w:val="0"/>
          <w:divBdr>
            <w:top w:val="none" w:sz="0" w:space="0" w:color="auto"/>
            <w:left w:val="none" w:sz="0" w:space="0" w:color="auto"/>
            <w:bottom w:val="none" w:sz="0" w:space="0" w:color="auto"/>
            <w:right w:val="none" w:sz="0" w:space="0" w:color="auto"/>
          </w:divBdr>
        </w:div>
        <w:div w:id="272320832">
          <w:marLeft w:val="0"/>
          <w:marRight w:val="0"/>
          <w:marTop w:val="0"/>
          <w:marBottom w:val="0"/>
          <w:divBdr>
            <w:top w:val="none" w:sz="0" w:space="0" w:color="auto"/>
            <w:left w:val="none" w:sz="0" w:space="0" w:color="auto"/>
            <w:bottom w:val="none" w:sz="0" w:space="0" w:color="auto"/>
            <w:right w:val="none" w:sz="0" w:space="0" w:color="auto"/>
          </w:divBdr>
        </w:div>
        <w:div w:id="700743132">
          <w:marLeft w:val="0"/>
          <w:marRight w:val="0"/>
          <w:marTop w:val="0"/>
          <w:marBottom w:val="0"/>
          <w:divBdr>
            <w:top w:val="none" w:sz="0" w:space="0" w:color="auto"/>
            <w:left w:val="none" w:sz="0" w:space="0" w:color="auto"/>
            <w:bottom w:val="none" w:sz="0" w:space="0" w:color="auto"/>
            <w:right w:val="none" w:sz="0" w:space="0" w:color="auto"/>
          </w:divBdr>
        </w:div>
        <w:div w:id="1459955321">
          <w:marLeft w:val="0"/>
          <w:marRight w:val="0"/>
          <w:marTop w:val="0"/>
          <w:marBottom w:val="0"/>
          <w:divBdr>
            <w:top w:val="none" w:sz="0" w:space="0" w:color="auto"/>
            <w:left w:val="none" w:sz="0" w:space="0" w:color="auto"/>
            <w:bottom w:val="none" w:sz="0" w:space="0" w:color="auto"/>
            <w:right w:val="none" w:sz="0" w:space="0" w:color="auto"/>
          </w:divBdr>
          <w:divsChild>
            <w:div w:id="212156890">
              <w:marLeft w:val="0"/>
              <w:marRight w:val="0"/>
              <w:marTop w:val="0"/>
              <w:marBottom w:val="0"/>
              <w:divBdr>
                <w:top w:val="none" w:sz="0" w:space="0" w:color="auto"/>
                <w:left w:val="none" w:sz="0" w:space="0" w:color="auto"/>
                <w:bottom w:val="none" w:sz="0" w:space="0" w:color="auto"/>
                <w:right w:val="none" w:sz="0" w:space="0" w:color="auto"/>
              </w:divBdr>
            </w:div>
          </w:divsChild>
        </w:div>
        <w:div w:id="130903983">
          <w:marLeft w:val="0"/>
          <w:marRight w:val="0"/>
          <w:marTop w:val="0"/>
          <w:marBottom w:val="0"/>
          <w:divBdr>
            <w:top w:val="none" w:sz="0" w:space="0" w:color="auto"/>
            <w:left w:val="none" w:sz="0" w:space="0" w:color="auto"/>
            <w:bottom w:val="none" w:sz="0" w:space="0" w:color="auto"/>
            <w:right w:val="none" w:sz="0" w:space="0" w:color="auto"/>
          </w:divBdr>
        </w:div>
        <w:div w:id="1152524893">
          <w:marLeft w:val="0"/>
          <w:marRight w:val="0"/>
          <w:marTop w:val="0"/>
          <w:marBottom w:val="0"/>
          <w:divBdr>
            <w:top w:val="none" w:sz="0" w:space="0" w:color="auto"/>
            <w:left w:val="none" w:sz="0" w:space="0" w:color="auto"/>
            <w:bottom w:val="none" w:sz="0" w:space="0" w:color="auto"/>
            <w:right w:val="none" w:sz="0" w:space="0" w:color="auto"/>
          </w:divBdr>
        </w:div>
        <w:div w:id="1461679974">
          <w:marLeft w:val="0"/>
          <w:marRight w:val="0"/>
          <w:marTop w:val="0"/>
          <w:marBottom w:val="0"/>
          <w:divBdr>
            <w:top w:val="none" w:sz="0" w:space="0" w:color="auto"/>
            <w:left w:val="none" w:sz="0" w:space="0" w:color="auto"/>
            <w:bottom w:val="none" w:sz="0" w:space="0" w:color="auto"/>
            <w:right w:val="none" w:sz="0" w:space="0" w:color="auto"/>
          </w:divBdr>
        </w:div>
        <w:div w:id="807404635">
          <w:marLeft w:val="0"/>
          <w:marRight w:val="0"/>
          <w:marTop w:val="0"/>
          <w:marBottom w:val="0"/>
          <w:divBdr>
            <w:top w:val="none" w:sz="0" w:space="0" w:color="auto"/>
            <w:left w:val="none" w:sz="0" w:space="0" w:color="auto"/>
            <w:bottom w:val="none" w:sz="0" w:space="0" w:color="auto"/>
            <w:right w:val="none" w:sz="0" w:space="0" w:color="auto"/>
          </w:divBdr>
        </w:div>
        <w:div w:id="371618904">
          <w:marLeft w:val="0"/>
          <w:marRight w:val="0"/>
          <w:marTop w:val="0"/>
          <w:marBottom w:val="0"/>
          <w:divBdr>
            <w:top w:val="none" w:sz="0" w:space="0" w:color="auto"/>
            <w:left w:val="none" w:sz="0" w:space="0" w:color="auto"/>
            <w:bottom w:val="none" w:sz="0" w:space="0" w:color="auto"/>
            <w:right w:val="none" w:sz="0" w:space="0" w:color="auto"/>
          </w:divBdr>
        </w:div>
        <w:div w:id="1891961265">
          <w:marLeft w:val="0"/>
          <w:marRight w:val="0"/>
          <w:marTop w:val="0"/>
          <w:marBottom w:val="0"/>
          <w:divBdr>
            <w:top w:val="none" w:sz="0" w:space="0" w:color="auto"/>
            <w:left w:val="none" w:sz="0" w:space="0" w:color="auto"/>
            <w:bottom w:val="none" w:sz="0" w:space="0" w:color="auto"/>
            <w:right w:val="none" w:sz="0" w:space="0" w:color="auto"/>
          </w:divBdr>
        </w:div>
        <w:div w:id="1185707697">
          <w:marLeft w:val="0"/>
          <w:marRight w:val="0"/>
          <w:marTop w:val="0"/>
          <w:marBottom w:val="0"/>
          <w:divBdr>
            <w:top w:val="none" w:sz="0" w:space="0" w:color="auto"/>
            <w:left w:val="none" w:sz="0" w:space="0" w:color="auto"/>
            <w:bottom w:val="none" w:sz="0" w:space="0" w:color="auto"/>
            <w:right w:val="none" w:sz="0" w:space="0" w:color="auto"/>
          </w:divBdr>
        </w:div>
        <w:div w:id="422339290">
          <w:marLeft w:val="0"/>
          <w:marRight w:val="0"/>
          <w:marTop w:val="0"/>
          <w:marBottom w:val="0"/>
          <w:divBdr>
            <w:top w:val="none" w:sz="0" w:space="0" w:color="auto"/>
            <w:left w:val="none" w:sz="0" w:space="0" w:color="auto"/>
            <w:bottom w:val="none" w:sz="0" w:space="0" w:color="auto"/>
            <w:right w:val="none" w:sz="0" w:space="0" w:color="auto"/>
          </w:divBdr>
        </w:div>
        <w:div w:id="1825509285">
          <w:marLeft w:val="0"/>
          <w:marRight w:val="0"/>
          <w:marTop w:val="0"/>
          <w:marBottom w:val="0"/>
          <w:divBdr>
            <w:top w:val="none" w:sz="0" w:space="0" w:color="auto"/>
            <w:left w:val="none" w:sz="0" w:space="0" w:color="auto"/>
            <w:bottom w:val="none" w:sz="0" w:space="0" w:color="auto"/>
            <w:right w:val="none" w:sz="0" w:space="0" w:color="auto"/>
          </w:divBdr>
        </w:div>
        <w:div w:id="805392135">
          <w:marLeft w:val="0"/>
          <w:marRight w:val="0"/>
          <w:marTop w:val="0"/>
          <w:marBottom w:val="0"/>
          <w:divBdr>
            <w:top w:val="none" w:sz="0" w:space="0" w:color="auto"/>
            <w:left w:val="none" w:sz="0" w:space="0" w:color="auto"/>
            <w:bottom w:val="none" w:sz="0" w:space="0" w:color="auto"/>
            <w:right w:val="none" w:sz="0" w:space="0" w:color="auto"/>
          </w:divBdr>
        </w:div>
        <w:div w:id="1595698569">
          <w:marLeft w:val="0"/>
          <w:marRight w:val="0"/>
          <w:marTop w:val="0"/>
          <w:marBottom w:val="0"/>
          <w:divBdr>
            <w:top w:val="none" w:sz="0" w:space="0" w:color="auto"/>
            <w:left w:val="none" w:sz="0" w:space="0" w:color="auto"/>
            <w:bottom w:val="none" w:sz="0" w:space="0" w:color="auto"/>
            <w:right w:val="none" w:sz="0" w:space="0" w:color="auto"/>
          </w:divBdr>
        </w:div>
        <w:div w:id="1192454562">
          <w:marLeft w:val="0"/>
          <w:marRight w:val="0"/>
          <w:marTop w:val="0"/>
          <w:marBottom w:val="0"/>
          <w:divBdr>
            <w:top w:val="none" w:sz="0" w:space="0" w:color="auto"/>
            <w:left w:val="none" w:sz="0" w:space="0" w:color="auto"/>
            <w:bottom w:val="none" w:sz="0" w:space="0" w:color="auto"/>
            <w:right w:val="none" w:sz="0" w:space="0" w:color="auto"/>
          </w:divBdr>
        </w:div>
        <w:div w:id="180438165">
          <w:marLeft w:val="0"/>
          <w:marRight w:val="0"/>
          <w:marTop w:val="0"/>
          <w:marBottom w:val="0"/>
          <w:divBdr>
            <w:top w:val="none" w:sz="0" w:space="0" w:color="auto"/>
            <w:left w:val="none" w:sz="0" w:space="0" w:color="auto"/>
            <w:bottom w:val="none" w:sz="0" w:space="0" w:color="auto"/>
            <w:right w:val="none" w:sz="0" w:space="0" w:color="auto"/>
          </w:divBdr>
        </w:div>
        <w:div w:id="379746677">
          <w:marLeft w:val="0"/>
          <w:marRight w:val="0"/>
          <w:marTop w:val="0"/>
          <w:marBottom w:val="0"/>
          <w:divBdr>
            <w:top w:val="none" w:sz="0" w:space="0" w:color="auto"/>
            <w:left w:val="none" w:sz="0" w:space="0" w:color="auto"/>
            <w:bottom w:val="none" w:sz="0" w:space="0" w:color="auto"/>
            <w:right w:val="none" w:sz="0" w:space="0" w:color="auto"/>
          </w:divBdr>
        </w:div>
        <w:div w:id="563221940">
          <w:marLeft w:val="0"/>
          <w:marRight w:val="0"/>
          <w:marTop w:val="0"/>
          <w:marBottom w:val="0"/>
          <w:divBdr>
            <w:top w:val="none" w:sz="0" w:space="0" w:color="auto"/>
            <w:left w:val="none" w:sz="0" w:space="0" w:color="auto"/>
            <w:bottom w:val="none" w:sz="0" w:space="0" w:color="auto"/>
            <w:right w:val="none" w:sz="0" w:space="0" w:color="auto"/>
          </w:divBdr>
        </w:div>
        <w:div w:id="480847467">
          <w:marLeft w:val="0"/>
          <w:marRight w:val="0"/>
          <w:marTop w:val="0"/>
          <w:marBottom w:val="0"/>
          <w:divBdr>
            <w:top w:val="none" w:sz="0" w:space="0" w:color="auto"/>
            <w:left w:val="none" w:sz="0" w:space="0" w:color="auto"/>
            <w:bottom w:val="none" w:sz="0" w:space="0" w:color="auto"/>
            <w:right w:val="none" w:sz="0" w:space="0" w:color="auto"/>
          </w:divBdr>
        </w:div>
        <w:div w:id="1855538454">
          <w:marLeft w:val="0"/>
          <w:marRight w:val="0"/>
          <w:marTop w:val="0"/>
          <w:marBottom w:val="0"/>
          <w:divBdr>
            <w:top w:val="none" w:sz="0" w:space="0" w:color="auto"/>
            <w:left w:val="none" w:sz="0" w:space="0" w:color="auto"/>
            <w:bottom w:val="none" w:sz="0" w:space="0" w:color="auto"/>
            <w:right w:val="none" w:sz="0" w:space="0" w:color="auto"/>
          </w:divBdr>
        </w:div>
        <w:div w:id="2104105265">
          <w:marLeft w:val="0"/>
          <w:marRight w:val="0"/>
          <w:marTop w:val="0"/>
          <w:marBottom w:val="0"/>
          <w:divBdr>
            <w:top w:val="none" w:sz="0" w:space="0" w:color="auto"/>
            <w:left w:val="none" w:sz="0" w:space="0" w:color="auto"/>
            <w:bottom w:val="none" w:sz="0" w:space="0" w:color="auto"/>
            <w:right w:val="none" w:sz="0" w:space="0" w:color="auto"/>
          </w:divBdr>
        </w:div>
        <w:div w:id="2016179441">
          <w:marLeft w:val="0"/>
          <w:marRight w:val="0"/>
          <w:marTop w:val="0"/>
          <w:marBottom w:val="0"/>
          <w:divBdr>
            <w:top w:val="none" w:sz="0" w:space="0" w:color="auto"/>
            <w:left w:val="none" w:sz="0" w:space="0" w:color="auto"/>
            <w:bottom w:val="none" w:sz="0" w:space="0" w:color="auto"/>
            <w:right w:val="none" w:sz="0" w:space="0" w:color="auto"/>
          </w:divBdr>
        </w:div>
        <w:div w:id="2115126202">
          <w:marLeft w:val="0"/>
          <w:marRight w:val="0"/>
          <w:marTop w:val="0"/>
          <w:marBottom w:val="0"/>
          <w:divBdr>
            <w:top w:val="none" w:sz="0" w:space="0" w:color="auto"/>
            <w:left w:val="none" w:sz="0" w:space="0" w:color="auto"/>
            <w:bottom w:val="none" w:sz="0" w:space="0" w:color="auto"/>
            <w:right w:val="none" w:sz="0" w:space="0" w:color="auto"/>
          </w:divBdr>
        </w:div>
        <w:div w:id="1124540009">
          <w:marLeft w:val="0"/>
          <w:marRight w:val="0"/>
          <w:marTop w:val="0"/>
          <w:marBottom w:val="0"/>
          <w:divBdr>
            <w:top w:val="none" w:sz="0" w:space="0" w:color="auto"/>
            <w:left w:val="none" w:sz="0" w:space="0" w:color="auto"/>
            <w:bottom w:val="none" w:sz="0" w:space="0" w:color="auto"/>
            <w:right w:val="none" w:sz="0" w:space="0" w:color="auto"/>
          </w:divBdr>
        </w:div>
        <w:div w:id="1026633541">
          <w:marLeft w:val="0"/>
          <w:marRight w:val="0"/>
          <w:marTop w:val="0"/>
          <w:marBottom w:val="0"/>
          <w:divBdr>
            <w:top w:val="none" w:sz="0" w:space="0" w:color="auto"/>
            <w:left w:val="none" w:sz="0" w:space="0" w:color="auto"/>
            <w:bottom w:val="none" w:sz="0" w:space="0" w:color="auto"/>
            <w:right w:val="none" w:sz="0" w:space="0" w:color="auto"/>
          </w:divBdr>
        </w:div>
        <w:div w:id="2050059618">
          <w:marLeft w:val="0"/>
          <w:marRight w:val="0"/>
          <w:marTop w:val="0"/>
          <w:marBottom w:val="0"/>
          <w:divBdr>
            <w:top w:val="none" w:sz="0" w:space="0" w:color="auto"/>
            <w:left w:val="none" w:sz="0" w:space="0" w:color="auto"/>
            <w:bottom w:val="none" w:sz="0" w:space="0" w:color="auto"/>
            <w:right w:val="none" w:sz="0" w:space="0" w:color="auto"/>
          </w:divBdr>
        </w:div>
        <w:div w:id="1928077589">
          <w:marLeft w:val="0"/>
          <w:marRight w:val="0"/>
          <w:marTop w:val="0"/>
          <w:marBottom w:val="0"/>
          <w:divBdr>
            <w:top w:val="none" w:sz="0" w:space="0" w:color="auto"/>
            <w:left w:val="none" w:sz="0" w:space="0" w:color="auto"/>
            <w:bottom w:val="none" w:sz="0" w:space="0" w:color="auto"/>
            <w:right w:val="none" w:sz="0" w:space="0" w:color="auto"/>
          </w:divBdr>
        </w:div>
        <w:div w:id="645278337">
          <w:marLeft w:val="0"/>
          <w:marRight w:val="0"/>
          <w:marTop w:val="0"/>
          <w:marBottom w:val="0"/>
          <w:divBdr>
            <w:top w:val="none" w:sz="0" w:space="0" w:color="auto"/>
            <w:left w:val="none" w:sz="0" w:space="0" w:color="auto"/>
            <w:bottom w:val="none" w:sz="0" w:space="0" w:color="auto"/>
            <w:right w:val="none" w:sz="0" w:space="0" w:color="auto"/>
          </w:divBdr>
        </w:div>
        <w:div w:id="575364761">
          <w:marLeft w:val="0"/>
          <w:marRight w:val="0"/>
          <w:marTop w:val="0"/>
          <w:marBottom w:val="0"/>
          <w:divBdr>
            <w:top w:val="none" w:sz="0" w:space="0" w:color="auto"/>
            <w:left w:val="none" w:sz="0" w:space="0" w:color="auto"/>
            <w:bottom w:val="none" w:sz="0" w:space="0" w:color="auto"/>
            <w:right w:val="none" w:sz="0" w:space="0" w:color="auto"/>
          </w:divBdr>
        </w:div>
        <w:div w:id="862786759">
          <w:marLeft w:val="0"/>
          <w:marRight w:val="0"/>
          <w:marTop w:val="0"/>
          <w:marBottom w:val="0"/>
          <w:divBdr>
            <w:top w:val="none" w:sz="0" w:space="0" w:color="auto"/>
            <w:left w:val="none" w:sz="0" w:space="0" w:color="auto"/>
            <w:bottom w:val="none" w:sz="0" w:space="0" w:color="auto"/>
            <w:right w:val="none" w:sz="0" w:space="0" w:color="auto"/>
          </w:divBdr>
        </w:div>
        <w:div w:id="510023493">
          <w:marLeft w:val="0"/>
          <w:marRight w:val="0"/>
          <w:marTop w:val="0"/>
          <w:marBottom w:val="0"/>
          <w:divBdr>
            <w:top w:val="none" w:sz="0" w:space="0" w:color="auto"/>
            <w:left w:val="none" w:sz="0" w:space="0" w:color="auto"/>
            <w:bottom w:val="none" w:sz="0" w:space="0" w:color="auto"/>
            <w:right w:val="none" w:sz="0" w:space="0" w:color="auto"/>
          </w:divBdr>
        </w:div>
        <w:div w:id="122161407">
          <w:marLeft w:val="0"/>
          <w:marRight w:val="0"/>
          <w:marTop w:val="0"/>
          <w:marBottom w:val="0"/>
          <w:divBdr>
            <w:top w:val="none" w:sz="0" w:space="0" w:color="auto"/>
            <w:left w:val="none" w:sz="0" w:space="0" w:color="auto"/>
            <w:bottom w:val="none" w:sz="0" w:space="0" w:color="auto"/>
            <w:right w:val="none" w:sz="0" w:space="0" w:color="auto"/>
          </w:divBdr>
        </w:div>
        <w:div w:id="732629067">
          <w:marLeft w:val="0"/>
          <w:marRight w:val="0"/>
          <w:marTop w:val="0"/>
          <w:marBottom w:val="0"/>
          <w:divBdr>
            <w:top w:val="none" w:sz="0" w:space="0" w:color="auto"/>
            <w:left w:val="none" w:sz="0" w:space="0" w:color="auto"/>
            <w:bottom w:val="none" w:sz="0" w:space="0" w:color="auto"/>
            <w:right w:val="none" w:sz="0" w:space="0" w:color="auto"/>
          </w:divBdr>
        </w:div>
        <w:div w:id="762645387">
          <w:marLeft w:val="0"/>
          <w:marRight w:val="0"/>
          <w:marTop w:val="0"/>
          <w:marBottom w:val="0"/>
          <w:divBdr>
            <w:top w:val="none" w:sz="0" w:space="0" w:color="auto"/>
            <w:left w:val="none" w:sz="0" w:space="0" w:color="auto"/>
            <w:bottom w:val="none" w:sz="0" w:space="0" w:color="auto"/>
            <w:right w:val="none" w:sz="0" w:space="0" w:color="auto"/>
          </w:divBdr>
          <w:divsChild>
            <w:div w:id="682974852">
              <w:marLeft w:val="0"/>
              <w:marRight w:val="0"/>
              <w:marTop w:val="0"/>
              <w:marBottom w:val="0"/>
              <w:divBdr>
                <w:top w:val="none" w:sz="0" w:space="0" w:color="auto"/>
                <w:left w:val="none" w:sz="0" w:space="0" w:color="auto"/>
                <w:bottom w:val="none" w:sz="0" w:space="0" w:color="auto"/>
                <w:right w:val="none" w:sz="0" w:space="0" w:color="auto"/>
              </w:divBdr>
            </w:div>
            <w:div w:id="570506758">
              <w:marLeft w:val="0"/>
              <w:marRight w:val="0"/>
              <w:marTop w:val="0"/>
              <w:marBottom w:val="0"/>
              <w:divBdr>
                <w:top w:val="none" w:sz="0" w:space="0" w:color="auto"/>
                <w:left w:val="none" w:sz="0" w:space="0" w:color="auto"/>
                <w:bottom w:val="none" w:sz="0" w:space="0" w:color="auto"/>
                <w:right w:val="none" w:sz="0" w:space="0" w:color="auto"/>
              </w:divBdr>
            </w:div>
            <w:div w:id="401684172">
              <w:marLeft w:val="0"/>
              <w:marRight w:val="0"/>
              <w:marTop w:val="0"/>
              <w:marBottom w:val="0"/>
              <w:divBdr>
                <w:top w:val="none" w:sz="0" w:space="0" w:color="auto"/>
                <w:left w:val="none" w:sz="0" w:space="0" w:color="auto"/>
                <w:bottom w:val="none" w:sz="0" w:space="0" w:color="auto"/>
                <w:right w:val="none" w:sz="0" w:space="0" w:color="auto"/>
              </w:divBdr>
            </w:div>
            <w:div w:id="1081680743">
              <w:marLeft w:val="0"/>
              <w:marRight w:val="0"/>
              <w:marTop w:val="0"/>
              <w:marBottom w:val="0"/>
              <w:divBdr>
                <w:top w:val="none" w:sz="0" w:space="0" w:color="auto"/>
                <w:left w:val="none" w:sz="0" w:space="0" w:color="auto"/>
                <w:bottom w:val="none" w:sz="0" w:space="0" w:color="auto"/>
                <w:right w:val="none" w:sz="0" w:space="0" w:color="auto"/>
              </w:divBdr>
            </w:div>
            <w:div w:id="750004224">
              <w:marLeft w:val="0"/>
              <w:marRight w:val="0"/>
              <w:marTop w:val="0"/>
              <w:marBottom w:val="0"/>
              <w:divBdr>
                <w:top w:val="none" w:sz="0" w:space="0" w:color="auto"/>
                <w:left w:val="none" w:sz="0" w:space="0" w:color="auto"/>
                <w:bottom w:val="none" w:sz="0" w:space="0" w:color="auto"/>
                <w:right w:val="none" w:sz="0" w:space="0" w:color="auto"/>
              </w:divBdr>
            </w:div>
            <w:div w:id="552040917">
              <w:marLeft w:val="0"/>
              <w:marRight w:val="0"/>
              <w:marTop w:val="0"/>
              <w:marBottom w:val="0"/>
              <w:divBdr>
                <w:top w:val="none" w:sz="0" w:space="0" w:color="auto"/>
                <w:left w:val="none" w:sz="0" w:space="0" w:color="auto"/>
                <w:bottom w:val="none" w:sz="0" w:space="0" w:color="auto"/>
                <w:right w:val="none" w:sz="0" w:space="0" w:color="auto"/>
              </w:divBdr>
            </w:div>
            <w:div w:id="40255410">
              <w:marLeft w:val="0"/>
              <w:marRight w:val="0"/>
              <w:marTop w:val="0"/>
              <w:marBottom w:val="0"/>
              <w:divBdr>
                <w:top w:val="none" w:sz="0" w:space="0" w:color="auto"/>
                <w:left w:val="none" w:sz="0" w:space="0" w:color="auto"/>
                <w:bottom w:val="none" w:sz="0" w:space="0" w:color="auto"/>
                <w:right w:val="none" w:sz="0" w:space="0" w:color="auto"/>
              </w:divBdr>
            </w:div>
            <w:div w:id="990910438">
              <w:marLeft w:val="0"/>
              <w:marRight w:val="0"/>
              <w:marTop w:val="0"/>
              <w:marBottom w:val="0"/>
              <w:divBdr>
                <w:top w:val="none" w:sz="0" w:space="0" w:color="auto"/>
                <w:left w:val="none" w:sz="0" w:space="0" w:color="auto"/>
                <w:bottom w:val="none" w:sz="0" w:space="0" w:color="auto"/>
                <w:right w:val="none" w:sz="0" w:space="0" w:color="auto"/>
              </w:divBdr>
            </w:div>
            <w:div w:id="1347252643">
              <w:marLeft w:val="0"/>
              <w:marRight w:val="0"/>
              <w:marTop w:val="0"/>
              <w:marBottom w:val="0"/>
              <w:divBdr>
                <w:top w:val="none" w:sz="0" w:space="0" w:color="auto"/>
                <w:left w:val="none" w:sz="0" w:space="0" w:color="auto"/>
                <w:bottom w:val="none" w:sz="0" w:space="0" w:color="auto"/>
                <w:right w:val="none" w:sz="0" w:space="0" w:color="auto"/>
              </w:divBdr>
            </w:div>
            <w:div w:id="873274198">
              <w:marLeft w:val="0"/>
              <w:marRight w:val="0"/>
              <w:marTop w:val="0"/>
              <w:marBottom w:val="0"/>
              <w:divBdr>
                <w:top w:val="none" w:sz="0" w:space="0" w:color="auto"/>
                <w:left w:val="none" w:sz="0" w:space="0" w:color="auto"/>
                <w:bottom w:val="none" w:sz="0" w:space="0" w:color="auto"/>
                <w:right w:val="none" w:sz="0" w:space="0" w:color="auto"/>
              </w:divBdr>
            </w:div>
            <w:div w:id="926187096">
              <w:marLeft w:val="0"/>
              <w:marRight w:val="0"/>
              <w:marTop w:val="0"/>
              <w:marBottom w:val="0"/>
              <w:divBdr>
                <w:top w:val="none" w:sz="0" w:space="0" w:color="auto"/>
                <w:left w:val="none" w:sz="0" w:space="0" w:color="auto"/>
                <w:bottom w:val="none" w:sz="0" w:space="0" w:color="auto"/>
                <w:right w:val="none" w:sz="0" w:space="0" w:color="auto"/>
              </w:divBdr>
            </w:div>
            <w:div w:id="394007780">
              <w:marLeft w:val="0"/>
              <w:marRight w:val="0"/>
              <w:marTop w:val="0"/>
              <w:marBottom w:val="0"/>
              <w:divBdr>
                <w:top w:val="none" w:sz="0" w:space="0" w:color="auto"/>
                <w:left w:val="none" w:sz="0" w:space="0" w:color="auto"/>
                <w:bottom w:val="none" w:sz="0" w:space="0" w:color="auto"/>
                <w:right w:val="none" w:sz="0" w:space="0" w:color="auto"/>
              </w:divBdr>
            </w:div>
            <w:div w:id="21328585">
              <w:marLeft w:val="0"/>
              <w:marRight w:val="0"/>
              <w:marTop w:val="0"/>
              <w:marBottom w:val="0"/>
              <w:divBdr>
                <w:top w:val="none" w:sz="0" w:space="0" w:color="auto"/>
                <w:left w:val="none" w:sz="0" w:space="0" w:color="auto"/>
                <w:bottom w:val="none" w:sz="0" w:space="0" w:color="auto"/>
                <w:right w:val="none" w:sz="0" w:space="0" w:color="auto"/>
              </w:divBdr>
            </w:div>
            <w:div w:id="1072851473">
              <w:marLeft w:val="0"/>
              <w:marRight w:val="0"/>
              <w:marTop w:val="0"/>
              <w:marBottom w:val="0"/>
              <w:divBdr>
                <w:top w:val="none" w:sz="0" w:space="0" w:color="auto"/>
                <w:left w:val="none" w:sz="0" w:space="0" w:color="auto"/>
                <w:bottom w:val="none" w:sz="0" w:space="0" w:color="auto"/>
                <w:right w:val="none" w:sz="0" w:space="0" w:color="auto"/>
              </w:divBdr>
            </w:div>
            <w:div w:id="1030257627">
              <w:marLeft w:val="0"/>
              <w:marRight w:val="0"/>
              <w:marTop w:val="0"/>
              <w:marBottom w:val="0"/>
              <w:divBdr>
                <w:top w:val="none" w:sz="0" w:space="0" w:color="auto"/>
                <w:left w:val="none" w:sz="0" w:space="0" w:color="auto"/>
                <w:bottom w:val="none" w:sz="0" w:space="0" w:color="auto"/>
                <w:right w:val="none" w:sz="0" w:space="0" w:color="auto"/>
              </w:divBdr>
            </w:div>
          </w:divsChild>
        </w:div>
        <w:div w:id="795373864">
          <w:marLeft w:val="0"/>
          <w:marRight w:val="0"/>
          <w:marTop w:val="0"/>
          <w:marBottom w:val="0"/>
          <w:divBdr>
            <w:top w:val="none" w:sz="0" w:space="0" w:color="auto"/>
            <w:left w:val="none" w:sz="0" w:space="0" w:color="auto"/>
            <w:bottom w:val="none" w:sz="0" w:space="0" w:color="auto"/>
            <w:right w:val="none" w:sz="0" w:space="0" w:color="auto"/>
          </w:divBdr>
          <w:divsChild>
            <w:div w:id="1527405909">
              <w:marLeft w:val="0"/>
              <w:marRight w:val="0"/>
              <w:marTop w:val="0"/>
              <w:marBottom w:val="0"/>
              <w:divBdr>
                <w:top w:val="none" w:sz="0" w:space="0" w:color="auto"/>
                <w:left w:val="none" w:sz="0" w:space="0" w:color="auto"/>
                <w:bottom w:val="none" w:sz="0" w:space="0" w:color="auto"/>
                <w:right w:val="none" w:sz="0" w:space="0" w:color="auto"/>
              </w:divBdr>
            </w:div>
            <w:div w:id="574822904">
              <w:marLeft w:val="0"/>
              <w:marRight w:val="0"/>
              <w:marTop w:val="0"/>
              <w:marBottom w:val="0"/>
              <w:divBdr>
                <w:top w:val="none" w:sz="0" w:space="0" w:color="auto"/>
                <w:left w:val="none" w:sz="0" w:space="0" w:color="auto"/>
                <w:bottom w:val="none" w:sz="0" w:space="0" w:color="auto"/>
                <w:right w:val="none" w:sz="0" w:space="0" w:color="auto"/>
              </w:divBdr>
            </w:div>
            <w:div w:id="1337077973">
              <w:marLeft w:val="0"/>
              <w:marRight w:val="0"/>
              <w:marTop w:val="0"/>
              <w:marBottom w:val="0"/>
              <w:divBdr>
                <w:top w:val="none" w:sz="0" w:space="0" w:color="auto"/>
                <w:left w:val="none" w:sz="0" w:space="0" w:color="auto"/>
                <w:bottom w:val="none" w:sz="0" w:space="0" w:color="auto"/>
                <w:right w:val="none" w:sz="0" w:space="0" w:color="auto"/>
              </w:divBdr>
            </w:div>
            <w:div w:id="1884250860">
              <w:marLeft w:val="0"/>
              <w:marRight w:val="0"/>
              <w:marTop w:val="0"/>
              <w:marBottom w:val="0"/>
              <w:divBdr>
                <w:top w:val="none" w:sz="0" w:space="0" w:color="auto"/>
                <w:left w:val="none" w:sz="0" w:space="0" w:color="auto"/>
                <w:bottom w:val="none" w:sz="0" w:space="0" w:color="auto"/>
                <w:right w:val="none" w:sz="0" w:space="0" w:color="auto"/>
              </w:divBdr>
            </w:div>
            <w:div w:id="759444661">
              <w:marLeft w:val="0"/>
              <w:marRight w:val="0"/>
              <w:marTop w:val="0"/>
              <w:marBottom w:val="0"/>
              <w:divBdr>
                <w:top w:val="none" w:sz="0" w:space="0" w:color="auto"/>
                <w:left w:val="none" w:sz="0" w:space="0" w:color="auto"/>
                <w:bottom w:val="none" w:sz="0" w:space="0" w:color="auto"/>
                <w:right w:val="none" w:sz="0" w:space="0" w:color="auto"/>
              </w:divBdr>
            </w:div>
            <w:div w:id="756750339">
              <w:marLeft w:val="0"/>
              <w:marRight w:val="0"/>
              <w:marTop w:val="0"/>
              <w:marBottom w:val="0"/>
              <w:divBdr>
                <w:top w:val="none" w:sz="0" w:space="0" w:color="auto"/>
                <w:left w:val="none" w:sz="0" w:space="0" w:color="auto"/>
                <w:bottom w:val="none" w:sz="0" w:space="0" w:color="auto"/>
                <w:right w:val="none" w:sz="0" w:space="0" w:color="auto"/>
              </w:divBdr>
            </w:div>
          </w:divsChild>
        </w:div>
        <w:div w:id="14354830">
          <w:marLeft w:val="0"/>
          <w:marRight w:val="0"/>
          <w:marTop w:val="0"/>
          <w:marBottom w:val="0"/>
          <w:divBdr>
            <w:top w:val="none" w:sz="0" w:space="0" w:color="auto"/>
            <w:left w:val="none" w:sz="0" w:space="0" w:color="auto"/>
            <w:bottom w:val="none" w:sz="0" w:space="0" w:color="auto"/>
            <w:right w:val="none" w:sz="0" w:space="0" w:color="auto"/>
          </w:divBdr>
          <w:divsChild>
            <w:div w:id="883063530">
              <w:marLeft w:val="0"/>
              <w:marRight w:val="0"/>
              <w:marTop w:val="0"/>
              <w:marBottom w:val="0"/>
              <w:divBdr>
                <w:top w:val="none" w:sz="0" w:space="0" w:color="auto"/>
                <w:left w:val="none" w:sz="0" w:space="0" w:color="auto"/>
                <w:bottom w:val="none" w:sz="0" w:space="0" w:color="auto"/>
                <w:right w:val="none" w:sz="0" w:space="0" w:color="auto"/>
              </w:divBdr>
            </w:div>
          </w:divsChild>
        </w:div>
        <w:div w:id="583223554">
          <w:marLeft w:val="0"/>
          <w:marRight w:val="0"/>
          <w:marTop w:val="0"/>
          <w:marBottom w:val="0"/>
          <w:divBdr>
            <w:top w:val="none" w:sz="0" w:space="0" w:color="auto"/>
            <w:left w:val="none" w:sz="0" w:space="0" w:color="auto"/>
            <w:bottom w:val="none" w:sz="0" w:space="0" w:color="auto"/>
            <w:right w:val="none" w:sz="0" w:space="0" w:color="auto"/>
          </w:divBdr>
        </w:div>
        <w:div w:id="1570725397">
          <w:marLeft w:val="0"/>
          <w:marRight w:val="0"/>
          <w:marTop w:val="0"/>
          <w:marBottom w:val="0"/>
          <w:divBdr>
            <w:top w:val="none" w:sz="0" w:space="0" w:color="auto"/>
            <w:left w:val="none" w:sz="0" w:space="0" w:color="auto"/>
            <w:bottom w:val="none" w:sz="0" w:space="0" w:color="auto"/>
            <w:right w:val="none" w:sz="0" w:space="0" w:color="auto"/>
          </w:divBdr>
        </w:div>
        <w:div w:id="19431178">
          <w:marLeft w:val="0"/>
          <w:marRight w:val="0"/>
          <w:marTop w:val="0"/>
          <w:marBottom w:val="0"/>
          <w:divBdr>
            <w:top w:val="none" w:sz="0" w:space="0" w:color="auto"/>
            <w:left w:val="none" w:sz="0" w:space="0" w:color="auto"/>
            <w:bottom w:val="none" w:sz="0" w:space="0" w:color="auto"/>
            <w:right w:val="none" w:sz="0" w:space="0" w:color="auto"/>
          </w:divBdr>
        </w:div>
        <w:div w:id="1637221900">
          <w:marLeft w:val="0"/>
          <w:marRight w:val="0"/>
          <w:marTop w:val="0"/>
          <w:marBottom w:val="0"/>
          <w:divBdr>
            <w:top w:val="none" w:sz="0" w:space="0" w:color="auto"/>
            <w:left w:val="none" w:sz="0" w:space="0" w:color="auto"/>
            <w:bottom w:val="none" w:sz="0" w:space="0" w:color="auto"/>
            <w:right w:val="none" w:sz="0" w:space="0" w:color="auto"/>
          </w:divBdr>
        </w:div>
        <w:div w:id="338627945">
          <w:marLeft w:val="0"/>
          <w:marRight w:val="0"/>
          <w:marTop w:val="0"/>
          <w:marBottom w:val="0"/>
          <w:divBdr>
            <w:top w:val="none" w:sz="0" w:space="0" w:color="auto"/>
            <w:left w:val="none" w:sz="0" w:space="0" w:color="auto"/>
            <w:bottom w:val="none" w:sz="0" w:space="0" w:color="auto"/>
            <w:right w:val="none" w:sz="0" w:space="0" w:color="auto"/>
          </w:divBdr>
        </w:div>
        <w:div w:id="1848251651">
          <w:marLeft w:val="0"/>
          <w:marRight w:val="0"/>
          <w:marTop w:val="0"/>
          <w:marBottom w:val="0"/>
          <w:divBdr>
            <w:top w:val="none" w:sz="0" w:space="0" w:color="auto"/>
            <w:left w:val="none" w:sz="0" w:space="0" w:color="auto"/>
            <w:bottom w:val="none" w:sz="0" w:space="0" w:color="auto"/>
            <w:right w:val="none" w:sz="0" w:space="0" w:color="auto"/>
          </w:divBdr>
        </w:div>
        <w:div w:id="667287858">
          <w:marLeft w:val="0"/>
          <w:marRight w:val="0"/>
          <w:marTop w:val="0"/>
          <w:marBottom w:val="0"/>
          <w:divBdr>
            <w:top w:val="none" w:sz="0" w:space="0" w:color="auto"/>
            <w:left w:val="none" w:sz="0" w:space="0" w:color="auto"/>
            <w:bottom w:val="none" w:sz="0" w:space="0" w:color="auto"/>
            <w:right w:val="none" w:sz="0" w:space="0" w:color="auto"/>
          </w:divBdr>
        </w:div>
        <w:div w:id="1761564243">
          <w:marLeft w:val="0"/>
          <w:marRight w:val="0"/>
          <w:marTop w:val="0"/>
          <w:marBottom w:val="0"/>
          <w:divBdr>
            <w:top w:val="none" w:sz="0" w:space="0" w:color="auto"/>
            <w:left w:val="none" w:sz="0" w:space="0" w:color="auto"/>
            <w:bottom w:val="none" w:sz="0" w:space="0" w:color="auto"/>
            <w:right w:val="none" w:sz="0" w:space="0" w:color="auto"/>
          </w:divBdr>
        </w:div>
        <w:div w:id="1165630876">
          <w:marLeft w:val="0"/>
          <w:marRight w:val="0"/>
          <w:marTop w:val="0"/>
          <w:marBottom w:val="0"/>
          <w:divBdr>
            <w:top w:val="none" w:sz="0" w:space="0" w:color="auto"/>
            <w:left w:val="none" w:sz="0" w:space="0" w:color="auto"/>
            <w:bottom w:val="none" w:sz="0" w:space="0" w:color="auto"/>
            <w:right w:val="none" w:sz="0" w:space="0" w:color="auto"/>
          </w:divBdr>
        </w:div>
        <w:div w:id="1732464124">
          <w:marLeft w:val="0"/>
          <w:marRight w:val="0"/>
          <w:marTop w:val="0"/>
          <w:marBottom w:val="0"/>
          <w:divBdr>
            <w:top w:val="none" w:sz="0" w:space="0" w:color="auto"/>
            <w:left w:val="none" w:sz="0" w:space="0" w:color="auto"/>
            <w:bottom w:val="none" w:sz="0" w:space="0" w:color="auto"/>
            <w:right w:val="none" w:sz="0" w:space="0" w:color="auto"/>
          </w:divBdr>
        </w:div>
        <w:div w:id="1420325499">
          <w:marLeft w:val="0"/>
          <w:marRight w:val="0"/>
          <w:marTop w:val="0"/>
          <w:marBottom w:val="0"/>
          <w:divBdr>
            <w:top w:val="none" w:sz="0" w:space="0" w:color="auto"/>
            <w:left w:val="none" w:sz="0" w:space="0" w:color="auto"/>
            <w:bottom w:val="none" w:sz="0" w:space="0" w:color="auto"/>
            <w:right w:val="none" w:sz="0" w:space="0" w:color="auto"/>
          </w:divBdr>
        </w:div>
        <w:div w:id="1899633155">
          <w:marLeft w:val="0"/>
          <w:marRight w:val="0"/>
          <w:marTop w:val="0"/>
          <w:marBottom w:val="0"/>
          <w:divBdr>
            <w:top w:val="none" w:sz="0" w:space="0" w:color="auto"/>
            <w:left w:val="none" w:sz="0" w:space="0" w:color="auto"/>
            <w:bottom w:val="none" w:sz="0" w:space="0" w:color="auto"/>
            <w:right w:val="none" w:sz="0" w:space="0" w:color="auto"/>
          </w:divBdr>
        </w:div>
        <w:div w:id="2090540123">
          <w:marLeft w:val="0"/>
          <w:marRight w:val="0"/>
          <w:marTop w:val="0"/>
          <w:marBottom w:val="0"/>
          <w:divBdr>
            <w:top w:val="none" w:sz="0" w:space="0" w:color="auto"/>
            <w:left w:val="none" w:sz="0" w:space="0" w:color="auto"/>
            <w:bottom w:val="none" w:sz="0" w:space="0" w:color="auto"/>
            <w:right w:val="none" w:sz="0" w:space="0" w:color="auto"/>
          </w:divBdr>
        </w:div>
        <w:div w:id="1448350439">
          <w:marLeft w:val="0"/>
          <w:marRight w:val="0"/>
          <w:marTop w:val="0"/>
          <w:marBottom w:val="0"/>
          <w:divBdr>
            <w:top w:val="none" w:sz="0" w:space="0" w:color="auto"/>
            <w:left w:val="none" w:sz="0" w:space="0" w:color="auto"/>
            <w:bottom w:val="none" w:sz="0" w:space="0" w:color="auto"/>
            <w:right w:val="none" w:sz="0" w:space="0" w:color="auto"/>
          </w:divBdr>
        </w:div>
        <w:div w:id="778182589">
          <w:marLeft w:val="0"/>
          <w:marRight w:val="0"/>
          <w:marTop w:val="0"/>
          <w:marBottom w:val="0"/>
          <w:divBdr>
            <w:top w:val="none" w:sz="0" w:space="0" w:color="auto"/>
            <w:left w:val="none" w:sz="0" w:space="0" w:color="auto"/>
            <w:bottom w:val="none" w:sz="0" w:space="0" w:color="auto"/>
            <w:right w:val="none" w:sz="0" w:space="0" w:color="auto"/>
          </w:divBdr>
        </w:div>
        <w:div w:id="791243125">
          <w:marLeft w:val="0"/>
          <w:marRight w:val="0"/>
          <w:marTop w:val="0"/>
          <w:marBottom w:val="0"/>
          <w:divBdr>
            <w:top w:val="none" w:sz="0" w:space="0" w:color="auto"/>
            <w:left w:val="none" w:sz="0" w:space="0" w:color="auto"/>
            <w:bottom w:val="none" w:sz="0" w:space="0" w:color="auto"/>
            <w:right w:val="none" w:sz="0" w:space="0" w:color="auto"/>
          </w:divBdr>
        </w:div>
        <w:div w:id="1423260497">
          <w:marLeft w:val="0"/>
          <w:marRight w:val="0"/>
          <w:marTop w:val="0"/>
          <w:marBottom w:val="0"/>
          <w:divBdr>
            <w:top w:val="none" w:sz="0" w:space="0" w:color="auto"/>
            <w:left w:val="none" w:sz="0" w:space="0" w:color="auto"/>
            <w:bottom w:val="none" w:sz="0" w:space="0" w:color="auto"/>
            <w:right w:val="none" w:sz="0" w:space="0" w:color="auto"/>
          </w:divBdr>
        </w:div>
        <w:div w:id="672954282">
          <w:marLeft w:val="0"/>
          <w:marRight w:val="0"/>
          <w:marTop w:val="0"/>
          <w:marBottom w:val="0"/>
          <w:divBdr>
            <w:top w:val="none" w:sz="0" w:space="0" w:color="auto"/>
            <w:left w:val="none" w:sz="0" w:space="0" w:color="auto"/>
            <w:bottom w:val="none" w:sz="0" w:space="0" w:color="auto"/>
            <w:right w:val="none" w:sz="0" w:space="0" w:color="auto"/>
          </w:divBdr>
        </w:div>
        <w:div w:id="1712726163">
          <w:marLeft w:val="0"/>
          <w:marRight w:val="0"/>
          <w:marTop w:val="0"/>
          <w:marBottom w:val="0"/>
          <w:divBdr>
            <w:top w:val="none" w:sz="0" w:space="0" w:color="auto"/>
            <w:left w:val="none" w:sz="0" w:space="0" w:color="auto"/>
            <w:bottom w:val="none" w:sz="0" w:space="0" w:color="auto"/>
            <w:right w:val="none" w:sz="0" w:space="0" w:color="auto"/>
          </w:divBdr>
        </w:div>
        <w:div w:id="1149175873">
          <w:marLeft w:val="0"/>
          <w:marRight w:val="0"/>
          <w:marTop w:val="0"/>
          <w:marBottom w:val="0"/>
          <w:divBdr>
            <w:top w:val="none" w:sz="0" w:space="0" w:color="auto"/>
            <w:left w:val="none" w:sz="0" w:space="0" w:color="auto"/>
            <w:bottom w:val="none" w:sz="0" w:space="0" w:color="auto"/>
            <w:right w:val="none" w:sz="0" w:space="0" w:color="auto"/>
          </w:divBdr>
        </w:div>
        <w:div w:id="817652130">
          <w:marLeft w:val="0"/>
          <w:marRight w:val="0"/>
          <w:marTop w:val="0"/>
          <w:marBottom w:val="0"/>
          <w:divBdr>
            <w:top w:val="none" w:sz="0" w:space="0" w:color="auto"/>
            <w:left w:val="none" w:sz="0" w:space="0" w:color="auto"/>
            <w:bottom w:val="none" w:sz="0" w:space="0" w:color="auto"/>
            <w:right w:val="none" w:sz="0" w:space="0" w:color="auto"/>
          </w:divBdr>
        </w:div>
        <w:div w:id="482622393">
          <w:marLeft w:val="0"/>
          <w:marRight w:val="0"/>
          <w:marTop w:val="0"/>
          <w:marBottom w:val="0"/>
          <w:divBdr>
            <w:top w:val="none" w:sz="0" w:space="0" w:color="auto"/>
            <w:left w:val="none" w:sz="0" w:space="0" w:color="auto"/>
            <w:bottom w:val="none" w:sz="0" w:space="0" w:color="auto"/>
            <w:right w:val="none" w:sz="0" w:space="0" w:color="auto"/>
          </w:divBdr>
        </w:div>
        <w:div w:id="1219392741">
          <w:marLeft w:val="0"/>
          <w:marRight w:val="0"/>
          <w:marTop w:val="0"/>
          <w:marBottom w:val="0"/>
          <w:divBdr>
            <w:top w:val="none" w:sz="0" w:space="0" w:color="auto"/>
            <w:left w:val="none" w:sz="0" w:space="0" w:color="auto"/>
            <w:bottom w:val="none" w:sz="0" w:space="0" w:color="auto"/>
            <w:right w:val="none" w:sz="0" w:space="0" w:color="auto"/>
          </w:divBdr>
        </w:div>
        <w:div w:id="708914032">
          <w:marLeft w:val="0"/>
          <w:marRight w:val="0"/>
          <w:marTop w:val="0"/>
          <w:marBottom w:val="0"/>
          <w:divBdr>
            <w:top w:val="none" w:sz="0" w:space="0" w:color="auto"/>
            <w:left w:val="none" w:sz="0" w:space="0" w:color="auto"/>
            <w:bottom w:val="none" w:sz="0" w:space="0" w:color="auto"/>
            <w:right w:val="none" w:sz="0" w:space="0" w:color="auto"/>
          </w:divBdr>
        </w:div>
        <w:div w:id="258564591">
          <w:marLeft w:val="0"/>
          <w:marRight w:val="0"/>
          <w:marTop w:val="0"/>
          <w:marBottom w:val="0"/>
          <w:divBdr>
            <w:top w:val="none" w:sz="0" w:space="0" w:color="auto"/>
            <w:left w:val="none" w:sz="0" w:space="0" w:color="auto"/>
            <w:bottom w:val="none" w:sz="0" w:space="0" w:color="auto"/>
            <w:right w:val="none" w:sz="0" w:space="0" w:color="auto"/>
          </w:divBdr>
        </w:div>
        <w:div w:id="712190178">
          <w:marLeft w:val="0"/>
          <w:marRight w:val="0"/>
          <w:marTop w:val="0"/>
          <w:marBottom w:val="0"/>
          <w:divBdr>
            <w:top w:val="none" w:sz="0" w:space="0" w:color="auto"/>
            <w:left w:val="none" w:sz="0" w:space="0" w:color="auto"/>
            <w:bottom w:val="none" w:sz="0" w:space="0" w:color="auto"/>
            <w:right w:val="none" w:sz="0" w:space="0" w:color="auto"/>
          </w:divBdr>
        </w:div>
        <w:div w:id="1966890805">
          <w:marLeft w:val="0"/>
          <w:marRight w:val="0"/>
          <w:marTop w:val="0"/>
          <w:marBottom w:val="0"/>
          <w:divBdr>
            <w:top w:val="none" w:sz="0" w:space="0" w:color="auto"/>
            <w:left w:val="none" w:sz="0" w:space="0" w:color="auto"/>
            <w:bottom w:val="none" w:sz="0" w:space="0" w:color="auto"/>
            <w:right w:val="none" w:sz="0" w:space="0" w:color="auto"/>
          </w:divBdr>
        </w:div>
        <w:div w:id="661547151">
          <w:marLeft w:val="0"/>
          <w:marRight w:val="0"/>
          <w:marTop w:val="0"/>
          <w:marBottom w:val="0"/>
          <w:divBdr>
            <w:top w:val="none" w:sz="0" w:space="0" w:color="auto"/>
            <w:left w:val="none" w:sz="0" w:space="0" w:color="auto"/>
            <w:bottom w:val="none" w:sz="0" w:space="0" w:color="auto"/>
            <w:right w:val="none" w:sz="0" w:space="0" w:color="auto"/>
          </w:divBdr>
        </w:div>
        <w:div w:id="1282687554">
          <w:marLeft w:val="0"/>
          <w:marRight w:val="0"/>
          <w:marTop w:val="0"/>
          <w:marBottom w:val="0"/>
          <w:divBdr>
            <w:top w:val="none" w:sz="0" w:space="0" w:color="auto"/>
            <w:left w:val="none" w:sz="0" w:space="0" w:color="auto"/>
            <w:bottom w:val="none" w:sz="0" w:space="0" w:color="auto"/>
            <w:right w:val="none" w:sz="0" w:space="0" w:color="auto"/>
          </w:divBdr>
        </w:div>
        <w:div w:id="91365321">
          <w:marLeft w:val="0"/>
          <w:marRight w:val="0"/>
          <w:marTop w:val="0"/>
          <w:marBottom w:val="0"/>
          <w:divBdr>
            <w:top w:val="none" w:sz="0" w:space="0" w:color="auto"/>
            <w:left w:val="none" w:sz="0" w:space="0" w:color="auto"/>
            <w:bottom w:val="none" w:sz="0" w:space="0" w:color="auto"/>
            <w:right w:val="none" w:sz="0" w:space="0" w:color="auto"/>
          </w:divBdr>
        </w:div>
        <w:div w:id="1814904456">
          <w:marLeft w:val="0"/>
          <w:marRight w:val="0"/>
          <w:marTop w:val="0"/>
          <w:marBottom w:val="0"/>
          <w:divBdr>
            <w:top w:val="none" w:sz="0" w:space="0" w:color="auto"/>
            <w:left w:val="none" w:sz="0" w:space="0" w:color="auto"/>
            <w:bottom w:val="none" w:sz="0" w:space="0" w:color="auto"/>
            <w:right w:val="none" w:sz="0" w:space="0" w:color="auto"/>
          </w:divBdr>
        </w:div>
        <w:div w:id="1990472832">
          <w:marLeft w:val="0"/>
          <w:marRight w:val="0"/>
          <w:marTop w:val="0"/>
          <w:marBottom w:val="0"/>
          <w:divBdr>
            <w:top w:val="none" w:sz="0" w:space="0" w:color="auto"/>
            <w:left w:val="none" w:sz="0" w:space="0" w:color="auto"/>
            <w:bottom w:val="none" w:sz="0" w:space="0" w:color="auto"/>
            <w:right w:val="none" w:sz="0" w:space="0" w:color="auto"/>
          </w:divBdr>
        </w:div>
        <w:div w:id="413431731">
          <w:marLeft w:val="0"/>
          <w:marRight w:val="0"/>
          <w:marTop w:val="0"/>
          <w:marBottom w:val="0"/>
          <w:divBdr>
            <w:top w:val="none" w:sz="0" w:space="0" w:color="auto"/>
            <w:left w:val="none" w:sz="0" w:space="0" w:color="auto"/>
            <w:bottom w:val="none" w:sz="0" w:space="0" w:color="auto"/>
            <w:right w:val="none" w:sz="0" w:space="0" w:color="auto"/>
          </w:divBdr>
        </w:div>
        <w:div w:id="752119316">
          <w:marLeft w:val="0"/>
          <w:marRight w:val="0"/>
          <w:marTop w:val="0"/>
          <w:marBottom w:val="0"/>
          <w:divBdr>
            <w:top w:val="none" w:sz="0" w:space="0" w:color="auto"/>
            <w:left w:val="none" w:sz="0" w:space="0" w:color="auto"/>
            <w:bottom w:val="none" w:sz="0" w:space="0" w:color="auto"/>
            <w:right w:val="none" w:sz="0" w:space="0" w:color="auto"/>
          </w:divBdr>
        </w:div>
        <w:div w:id="658047333">
          <w:marLeft w:val="0"/>
          <w:marRight w:val="0"/>
          <w:marTop w:val="0"/>
          <w:marBottom w:val="0"/>
          <w:divBdr>
            <w:top w:val="none" w:sz="0" w:space="0" w:color="auto"/>
            <w:left w:val="none" w:sz="0" w:space="0" w:color="auto"/>
            <w:bottom w:val="none" w:sz="0" w:space="0" w:color="auto"/>
            <w:right w:val="none" w:sz="0" w:space="0" w:color="auto"/>
          </w:divBdr>
        </w:div>
        <w:div w:id="1993177331">
          <w:marLeft w:val="0"/>
          <w:marRight w:val="0"/>
          <w:marTop w:val="0"/>
          <w:marBottom w:val="0"/>
          <w:divBdr>
            <w:top w:val="none" w:sz="0" w:space="0" w:color="auto"/>
            <w:left w:val="none" w:sz="0" w:space="0" w:color="auto"/>
            <w:bottom w:val="none" w:sz="0" w:space="0" w:color="auto"/>
            <w:right w:val="none" w:sz="0" w:space="0" w:color="auto"/>
          </w:divBdr>
        </w:div>
        <w:div w:id="1075858877">
          <w:marLeft w:val="0"/>
          <w:marRight w:val="0"/>
          <w:marTop w:val="0"/>
          <w:marBottom w:val="0"/>
          <w:divBdr>
            <w:top w:val="none" w:sz="0" w:space="0" w:color="auto"/>
            <w:left w:val="none" w:sz="0" w:space="0" w:color="auto"/>
            <w:bottom w:val="none" w:sz="0" w:space="0" w:color="auto"/>
            <w:right w:val="none" w:sz="0" w:space="0" w:color="auto"/>
          </w:divBdr>
        </w:div>
        <w:div w:id="1523284440">
          <w:marLeft w:val="0"/>
          <w:marRight w:val="0"/>
          <w:marTop w:val="0"/>
          <w:marBottom w:val="0"/>
          <w:divBdr>
            <w:top w:val="none" w:sz="0" w:space="0" w:color="auto"/>
            <w:left w:val="none" w:sz="0" w:space="0" w:color="auto"/>
            <w:bottom w:val="none" w:sz="0" w:space="0" w:color="auto"/>
            <w:right w:val="none" w:sz="0" w:space="0" w:color="auto"/>
          </w:divBdr>
        </w:div>
        <w:div w:id="236399071">
          <w:marLeft w:val="0"/>
          <w:marRight w:val="0"/>
          <w:marTop w:val="0"/>
          <w:marBottom w:val="0"/>
          <w:divBdr>
            <w:top w:val="none" w:sz="0" w:space="0" w:color="auto"/>
            <w:left w:val="none" w:sz="0" w:space="0" w:color="auto"/>
            <w:bottom w:val="none" w:sz="0" w:space="0" w:color="auto"/>
            <w:right w:val="none" w:sz="0" w:space="0" w:color="auto"/>
          </w:divBdr>
        </w:div>
        <w:div w:id="1604923125">
          <w:marLeft w:val="0"/>
          <w:marRight w:val="0"/>
          <w:marTop w:val="0"/>
          <w:marBottom w:val="0"/>
          <w:divBdr>
            <w:top w:val="none" w:sz="0" w:space="0" w:color="auto"/>
            <w:left w:val="none" w:sz="0" w:space="0" w:color="auto"/>
            <w:bottom w:val="none" w:sz="0" w:space="0" w:color="auto"/>
            <w:right w:val="none" w:sz="0" w:space="0" w:color="auto"/>
          </w:divBdr>
        </w:div>
        <w:div w:id="2057778586">
          <w:marLeft w:val="0"/>
          <w:marRight w:val="0"/>
          <w:marTop w:val="0"/>
          <w:marBottom w:val="0"/>
          <w:divBdr>
            <w:top w:val="none" w:sz="0" w:space="0" w:color="auto"/>
            <w:left w:val="none" w:sz="0" w:space="0" w:color="auto"/>
            <w:bottom w:val="none" w:sz="0" w:space="0" w:color="auto"/>
            <w:right w:val="none" w:sz="0" w:space="0" w:color="auto"/>
          </w:divBdr>
        </w:div>
        <w:div w:id="1823352987">
          <w:marLeft w:val="0"/>
          <w:marRight w:val="0"/>
          <w:marTop w:val="0"/>
          <w:marBottom w:val="0"/>
          <w:divBdr>
            <w:top w:val="none" w:sz="0" w:space="0" w:color="auto"/>
            <w:left w:val="none" w:sz="0" w:space="0" w:color="auto"/>
            <w:bottom w:val="none" w:sz="0" w:space="0" w:color="auto"/>
            <w:right w:val="none" w:sz="0" w:space="0" w:color="auto"/>
          </w:divBdr>
        </w:div>
        <w:div w:id="1680810561">
          <w:marLeft w:val="0"/>
          <w:marRight w:val="0"/>
          <w:marTop w:val="0"/>
          <w:marBottom w:val="0"/>
          <w:divBdr>
            <w:top w:val="none" w:sz="0" w:space="0" w:color="auto"/>
            <w:left w:val="none" w:sz="0" w:space="0" w:color="auto"/>
            <w:bottom w:val="none" w:sz="0" w:space="0" w:color="auto"/>
            <w:right w:val="none" w:sz="0" w:space="0" w:color="auto"/>
          </w:divBdr>
        </w:div>
        <w:div w:id="845898982">
          <w:marLeft w:val="0"/>
          <w:marRight w:val="0"/>
          <w:marTop w:val="0"/>
          <w:marBottom w:val="0"/>
          <w:divBdr>
            <w:top w:val="none" w:sz="0" w:space="0" w:color="auto"/>
            <w:left w:val="none" w:sz="0" w:space="0" w:color="auto"/>
            <w:bottom w:val="none" w:sz="0" w:space="0" w:color="auto"/>
            <w:right w:val="none" w:sz="0" w:space="0" w:color="auto"/>
          </w:divBdr>
        </w:div>
        <w:div w:id="2086143298">
          <w:marLeft w:val="0"/>
          <w:marRight w:val="0"/>
          <w:marTop w:val="0"/>
          <w:marBottom w:val="0"/>
          <w:divBdr>
            <w:top w:val="none" w:sz="0" w:space="0" w:color="auto"/>
            <w:left w:val="none" w:sz="0" w:space="0" w:color="auto"/>
            <w:bottom w:val="none" w:sz="0" w:space="0" w:color="auto"/>
            <w:right w:val="none" w:sz="0" w:space="0" w:color="auto"/>
          </w:divBdr>
        </w:div>
        <w:div w:id="936326893">
          <w:marLeft w:val="0"/>
          <w:marRight w:val="0"/>
          <w:marTop w:val="0"/>
          <w:marBottom w:val="0"/>
          <w:divBdr>
            <w:top w:val="none" w:sz="0" w:space="0" w:color="auto"/>
            <w:left w:val="none" w:sz="0" w:space="0" w:color="auto"/>
            <w:bottom w:val="none" w:sz="0" w:space="0" w:color="auto"/>
            <w:right w:val="none" w:sz="0" w:space="0" w:color="auto"/>
          </w:divBdr>
        </w:div>
        <w:div w:id="1050765231">
          <w:marLeft w:val="0"/>
          <w:marRight w:val="0"/>
          <w:marTop w:val="0"/>
          <w:marBottom w:val="0"/>
          <w:divBdr>
            <w:top w:val="none" w:sz="0" w:space="0" w:color="auto"/>
            <w:left w:val="none" w:sz="0" w:space="0" w:color="auto"/>
            <w:bottom w:val="none" w:sz="0" w:space="0" w:color="auto"/>
            <w:right w:val="none" w:sz="0" w:space="0" w:color="auto"/>
          </w:divBdr>
        </w:div>
        <w:div w:id="1063872110">
          <w:marLeft w:val="0"/>
          <w:marRight w:val="0"/>
          <w:marTop w:val="0"/>
          <w:marBottom w:val="0"/>
          <w:divBdr>
            <w:top w:val="none" w:sz="0" w:space="0" w:color="auto"/>
            <w:left w:val="none" w:sz="0" w:space="0" w:color="auto"/>
            <w:bottom w:val="none" w:sz="0" w:space="0" w:color="auto"/>
            <w:right w:val="none" w:sz="0" w:space="0" w:color="auto"/>
          </w:divBdr>
        </w:div>
        <w:div w:id="976452683">
          <w:marLeft w:val="0"/>
          <w:marRight w:val="0"/>
          <w:marTop w:val="0"/>
          <w:marBottom w:val="0"/>
          <w:divBdr>
            <w:top w:val="none" w:sz="0" w:space="0" w:color="auto"/>
            <w:left w:val="none" w:sz="0" w:space="0" w:color="auto"/>
            <w:bottom w:val="none" w:sz="0" w:space="0" w:color="auto"/>
            <w:right w:val="none" w:sz="0" w:space="0" w:color="auto"/>
          </w:divBdr>
        </w:div>
        <w:div w:id="2096122168">
          <w:marLeft w:val="0"/>
          <w:marRight w:val="0"/>
          <w:marTop w:val="0"/>
          <w:marBottom w:val="0"/>
          <w:divBdr>
            <w:top w:val="none" w:sz="0" w:space="0" w:color="auto"/>
            <w:left w:val="none" w:sz="0" w:space="0" w:color="auto"/>
            <w:bottom w:val="none" w:sz="0" w:space="0" w:color="auto"/>
            <w:right w:val="none" w:sz="0" w:space="0" w:color="auto"/>
          </w:divBdr>
        </w:div>
        <w:div w:id="1964381474">
          <w:marLeft w:val="0"/>
          <w:marRight w:val="0"/>
          <w:marTop w:val="0"/>
          <w:marBottom w:val="0"/>
          <w:divBdr>
            <w:top w:val="none" w:sz="0" w:space="0" w:color="auto"/>
            <w:left w:val="none" w:sz="0" w:space="0" w:color="auto"/>
            <w:bottom w:val="none" w:sz="0" w:space="0" w:color="auto"/>
            <w:right w:val="none" w:sz="0" w:space="0" w:color="auto"/>
          </w:divBdr>
        </w:div>
        <w:div w:id="939722449">
          <w:marLeft w:val="0"/>
          <w:marRight w:val="0"/>
          <w:marTop w:val="0"/>
          <w:marBottom w:val="0"/>
          <w:divBdr>
            <w:top w:val="none" w:sz="0" w:space="0" w:color="auto"/>
            <w:left w:val="none" w:sz="0" w:space="0" w:color="auto"/>
            <w:bottom w:val="none" w:sz="0" w:space="0" w:color="auto"/>
            <w:right w:val="none" w:sz="0" w:space="0" w:color="auto"/>
          </w:divBdr>
        </w:div>
        <w:div w:id="244537566">
          <w:marLeft w:val="0"/>
          <w:marRight w:val="0"/>
          <w:marTop w:val="0"/>
          <w:marBottom w:val="0"/>
          <w:divBdr>
            <w:top w:val="none" w:sz="0" w:space="0" w:color="auto"/>
            <w:left w:val="none" w:sz="0" w:space="0" w:color="auto"/>
            <w:bottom w:val="none" w:sz="0" w:space="0" w:color="auto"/>
            <w:right w:val="none" w:sz="0" w:space="0" w:color="auto"/>
          </w:divBdr>
        </w:div>
        <w:div w:id="1432504751">
          <w:marLeft w:val="0"/>
          <w:marRight w:val="0"/>
          <w:marTop w:val="0"/>
          <w:marBottom w:val="0"/>
          <w:divBdr>
            <w:top w:val="none" w:sz="0" w:space="0" w:color="auto"/>
            <w:left w:val="none" w:sz="0" w:space="0" w:color="auto"/>
            <w:bottom w:val="none" w:sz="0" w:space="0" w:color="auto"/>
            <w:right w:val="none" w:sz="0" w:space="0" w:color="auto"/>
          </w:divBdr>
        </w:div>
        <w:div w:id="1681882862">
          <w:marLeft w:val="0"/>
          <w:marRight w:val="0"/>
          <w:marTop w:val="0"/>
          <w:marBottom w:val="0"/>
          <w:divBdr>
            <w:top w:val="none" w:sz="0" w:space="0" w:color="auto"/>
            <w:left w:val="none" w:sz="0" w:space="0" w:color="auto"/>
            <w:bottom w:val="none" w:sz="0" w:space="0" w:color="auto"/>
            <w:right w:val="none" w:sz="0" w:space="0" w:color="auto"/>
          </w:divBdr>
        </w:div>
        <w:div w:id="506674330">
          <w:marLeft w:val="0"/>
          <w:marRight w:val="0"/>
          <w:marTop w:val="0"/>
          <w:marBottom w:val="0"/>
          <w:divBdr>
            <w:top w:val="none" w:sz="0" w:space="0" w:color="auto"/>
            <w:left w:val="none" w:sz="0" w:space="0" w:color="auto"/>
            <w:bottom w:val="none" w:sz="0" w:space="0" w:color="auto"/>
            <w:right w:val="none" w:sz="0" w:space="0" w:color="auto"/>
          </w:divBdr>
        </w:div>
        <w:div w:id="183593252">
          <w:marLeft w:val="0"/>
          <w:marRight w:val="0"/>
          <w:marTop w:val="0"/>
          <w:marBottom w:val="0"/>
          <w:divBdr>
            <w:top w:val="none" w:sz="0" w:space="0" w:color="auto"/>
            <w:left w:val="none" w:sz="0" w:space="0" w:color="auto"/>
            <w:bottom w:val="none" w:sz="0" w:space="0" w:color="auto"/>
            <w:right w:val="none" w:sz="0" w:space="0" w:color="auto"/>
          </w:divBdr>
        </w:div>
        <w:div w:id="990252025">
          <w:marLeft w:val="0"/>
          <w:marRight w:val="0"/>
          <w:marTop w:val="0"/>
          <w:marBottom w:val="0"/>
          <w:divBdr>
            <w:top w:val="none" w:sz="0" w:space="0" w:color="auto"/>
            <w:left w:val="none" w:sz="0" w:space="0" w:color="auto"/>
            <w:bottom w:val="none" w:sz="0" w:space="0" w:color="auto"/>
            <w:right w:val="none" w:sz="0" w:space="0" w:color="auto"/>
          </w:divBdr>
        </w:div>
        <w:div w:id="1809978093">
          <w:marLeft w:val="0"/>
          <w:marRight w:val="0"/>
          <w:marTop w:val="0"/>
          <w:marBottom w:val="0"/>
          <w:divBdr>
            <w:top w:val="none" w:sz="0" w:space="0" w:color="auto"/>
            <w:left w:val="none" w:sz="0" w:space="0" w:color="auto"/>
            <w:bottom w:val="none" w:sz="0" w:space="0" w:color="auto"/>
            <w:right w:val="none" w:sz="0" w:space="0" w:color="auto"/>
          </w:divBdr>
        </w:div>
        <w:div w:id="718168276">
          <w:marLeft w:val="0"/>
          <w:marRight w:val="0"/>
          <w:marTop w:val="0"/>
          <w:marBottom w:val="0"/>
          <w:divBdr>
            <w:top w:val="none" w:sz="0" w:space="0" w:color="auto"/>
            <w:left w:val="none" w:sz="0" w:space="0" w:color="auto"/>
            <w:bottom w:val="none" w:sz="0" w:space="0" w:color="auto"/>
            <w:right w:val="none" w:sz="0" w:space="0" w:color="auto"/>
          </w:divBdr>
        </w:div>
        <w:div w:id="1318609492">
          <w:marLeft w:val="0"/>
          <w:marRight w:val="0"/>
          <w:marTop w:val="0"/>
          <w:marBottom w:val="0"/>
          <w:divBdr>
            <w:top w:val="none" w:sz="0" w:space="0" w:color="auto"/>
            <w:left w:val="none" w:sz="0" w:space="0" w:color="auto"/>
            <w:bottom w:val="none" w:sz="0" w:space="0" w:color="auto"/>
            <w:right w:val="none" w:sz="0" w:space="0" w:color="auto"/>
          </w:divBdr>
        </w:div>
        <w:div w:id="1746564374">
          <w:marLeft w:val="0"/>
          <w:marRight w:val="0"/>
          <w:marTop w:val="0"/>
          <w:marBottom w:val="0"/>
          <w:divBdr>
            <w:top w:val="none" w:sz="0" w:space="0" w:color="auto"/>
            <w:left w:val="none" w:sz="0" w:space="0" w:color="auto"/>
            <w:bottom w:val="none" w:sz="0" w:space="0" w:color="auto"/>
            <w:right w:val="none" w:sz="0" w:space="0" w:color="auto"/>
          </w:divBdr>
        </w:div>
        <w:div w:id="1720392949">
          <w:marLeft w:val="0"/>
          <w:marRight w:val="0"/>
          <w:marTop w:val="0"/>
          <w:marBottom w:val="0"/>
          <w:divBdr>
            <w:top w:val="none" w:sz="0" w:space="0" w:color="auto"/>
            <w:left w:val="none" w:sz="0" w:space="0" w:color="auto"/>
            <w:bottom w:val="none" w:sz="0" w:space="0" w:color="auto"/>
            <w:right w:val="none" w:sz="0" w:space="0" w:color="auto"/>
          </w:divBdr>
        </w:div>
        <w:div w:id="1781535412">
          <w:marLeft w:val="0"/>
          <w:marRight w:val="0"/>
          <w:marTop w:val="0"/>
          <w:marBottom w:val="0"/>
          <w:divBdr>
            <w:top w:val="none" w:sz="0" w:space="0" w:color="auto"/>
            <w:left w:val="none" w:sz="0" w:space="0" w:color="auto"/>
            <w:bottom w:val="none" w:sz="0" w:space="0" w:color="auto"/>
            <w:right w:val="none" w:sz="0" w:space="0" w:color="auto"/>
          </w:divBdr>
        </w:div>
        <w:div w:id="241069747">
          <w:marLeft w:val="0"/>
          <w:marRight w:val="0"/>
          <w:marTop w:val="0"/>
          <w:marBottom w:val="0"/>
          <w:divBdr>
            <w:top w:val="none" w:sz="0" w:space="0" w:color="auto"/>
            <w:left w:val="none" w:sz="0" w:space="0" w:color="auto"/>
            <w:bottom w:val="none" w:sz="0" w:space="0" w:color="auto"/>
            <w:right w:val="none" w:sz="0" w:space="0" w:color="auto"/>
          </w:divBdr>
        </w:div>
        <w:div w:id="2117482706">
          <w:marLeft w:val="0"/>
          <w:marRight w:val="0"/>
          <w:marTop w:val="0"/>
          <w:marBottom w:val="0"/>
          <w:divBdr>
            <w:top w:val="none" w:sz="0" w:space="0" w:color="auto"/>
            <w:left w:val="none" w:sz="0" w:space="0" w:color="auto"/>
            <w:bottom w:val="none" w:sz="0" w:space="0" w:color="auto"/>
            <w:right w:val="none" w:sz="0" w:space="0" w:color="auto"/>
          </w:divBdr>
        </w:div>
        <w:div w:id="1764455036">
          <w:marLeft w:val="0"/>
          <w:marRight w:val="0"/>
          <w:marTop w:val="0"/>
          <w:marBottom w:val="0"/>
          <w:divBdr>
            <w:top w:val="none" w:sz="0" w:space="0" w:color="auto"/>
            <w:left w:val="none" w:sz="0" w:space="0" w:color="auto"/>
            <w:bottom w:val="none" w:sz="0" w:space="0" w:color="auto"/>
            <w:right w:val="none" w:sz="0" w:space="0" w:color="auto"/>
          </w:divBdr>
        </w:div>
        <w:div w:id="985008258">
          <w:marLeft w:val="0"/>
          <w:marRight w:val="0"/>
          <w:marTop w:val="0"/>
          <w:marBottom w:val="0"/>
          <w:divBdr>
            <w:top w:val="none" w:sz="0" w:space="0" w:color="auto"/>
            <w:left w:val="none" w:sz="0" w:space="0" w:color="auto"/>
            <w:bottom w:val="none" w:sz="0" w:space="0" w:color="auto"/>
            <w:right w:val="none" w:sz="0" w:space="0" w:color="auto"/>
          </w:divBdr>
        </w:div>
        <w:div w:id="1840652381">
          <w:marLeft w:val="0"/>
          <w:marRight w:val="0"/>
          <w:marTop w:val="0"/>
          <w:marBottom w:val="0"/>
          <w:divBdr>
            <w:top w:val="none" w:sz="0" w:space="0" w:color="auto"/>
            <w:left w:val="none" w:sz="0" w:space="0" w:color="auto"/>
            <w:bottom w:val="none" w:sz="0" w:space="0" w:color="auto"/>
            <w:right w:val="none" w:sz="0" w:space="0" w:color="auto"/>
          </w:divBdr>
        </w:div>
        <w:div w:id="857353289">
          <w:marLeft w:val="0"/>
          <w:marRight w:val="0"/>
          <w:marTop w:val="0"/>
          <w:marBottom w:val="0"/>
          <w:divBdr>
            <w:top w:val="none" w:sz="0" w:space="0" w:color="auto"/>
            <w:left w:val="none" w:sz="0" w:space="0" w:color="auto"/>
            <w:bottom w:val="none" w:sz="0" w:space="0" w:color="auto"/>
            <w:right w:val="none" w:sz="0" w:space="0" w:color="auto"/>
          </w:divBdr>
        </w:div>
        <w:div w:id="2114588763">
          <w:marLeft w:val="0"/>
          <w:marRight w:val="0"/>
          <w:marTop w:val="0"/>
          <w:marBottom w:val="0"/>
          <w:divBdr>
            <w:top w:val="none" w:sz="0" w:space="0" w:color="auto"/>
            <w:left w:val="none" w:sz="0" w:space="0" w:color="auto"/>
            <w:bottom w:val="none" w:sz="0" w:space="0" w:color="auto"/>
            <w:right w:val="none" w:sz="0" w:space="0" w:color="auto"/>
          </w:divBdr>
        </w:div>
        <w:div w:id="9336772">
          <w:marLeft w:val="0"/>
          <w:marRight w:val="0"/>
          <w:marTop w:val="0"/>
          <w:marBottom w:val="0"/>
          <w:divBdr>
            <w:top w:val="none" w:sz="0" w:space="0" w:color="auto"/>
            <w:left w:val="none" w:sz="0" w:space="0" w:color="auto"/>
            <w:bottom w:val="none" w:sz="0" w:space="0" w:color="auto"/>
            <w:right w:val="none" w:sz="0" w:space="0" w:color="auto"/>
          </w:divBdr>
        </w:div>
        <w:div w:id="1128937184">
          <w:marLeft w:val="0"/>
          <w:marRight w:val="0"/>
          <w:marTop w:val="0"/>
          <w:marBottom w:val="0"/>
          <w:divBdr>
            <w:top w:val="none" w:sz="0" w:space="0" w:color="auto"/>
            <w:left w:val="none" w:sz="0" w:space="0" w:color="auto"/>
            <w:bottom w:val="none" w:sz="0" w:space="0" w:color="auto"/>
            <w:right w:val="none" w:sz="0" w:space="0" w:color="auto"/>
          </w:divBdr>
        </w:div>
        <w:div w:id="1467505575">
          <w:marLeft w:val="0"/>
          <w:marRight w:val="0"/>
          <w:marTop w:val="0"/>
          <w:marBottom w:val="0"/>
          <w:divBdr>
            <w:top w:val="none" w:sz="0" w:space="0" w:color="auto"/>
            <w:left w:val="none" w:sz="0" w:space="0" w:color="auto"/>
            <w:bottom w:val="none" w:sz="0" w:space="0" w:color="auto"/>
            <w:right w:val="none" w:sz="0" w:space="0" w:color="auto"/>
          </w:divBdr>
        </w:div>
        <w:div w:id="656153687">
          <w:marLeft w:val="0"/>
          <w:marRight w:val="0"/>
          <w:marTop w:val="0"/>
          <w:marBottom w:val="0"/>
          <w:divBdr>
            <w:top w:val="none" w:sz="0" w:space="0" w:color="auto"/>
            <w:left w:val="none" w:sz="0" w:space="0" w:color="auto"/>
            <w:bottom w:val="none" w:sz="0" w:space="0" w:color="auto"/>
            <w:right w:val="none" w:sz="0" w:space="0" w:color="auto"/>
          </w:divBdr>
        </w:div>
        <w:div w:id="1231773204">
          <w:marLeft w:val="0"/>
          <w:marRight w:val="0"/>
          <w:marTop w:val="0"/>
          <w:marBottom w:val="0"/>
          <w:divBdr>
            <w:top w:val="none" w:sz="0" w:space="0" w:color="auto"/>
            <w:left w:val="none" w:sz="0" w:space="0" w:color="auto"/>
            <w:bottom w:val="none" w:sz="0" w:space="0" w:color="auto"/>
            <w:right w:val="none" w:sz="0" w:space="0" w:color="auto"/>
          </w:divBdr>
        </w:div>
        <w:div w:id="1153446969">
          <w:marLeft w:val="0"/>
          <w:marRight w:val="0"/>
          <w:marTop w:val="0"/>
          <w:marBottom w:val="0"/>
          <w:divBdr>
            <w:top w:val="none" w:sz="0" w:space="0" w:color="auto"/>
            <w:left w:val="none" w:sz="0" w:space="0" w:color="auto"/>
            <w:bottom w:val="none" w:sz="0" w:space="0" w:color="auto"/>
            <w:right w:val="none" w:sz="0" w:space="0" w:color="auto"/>
          </w:divBdr>
        </w:div>
        <w:div w:id="2034138879">
          <w:marLeft w:val="0"/>
          <w:marRight w:val="0"/>
          <w:marTop w:val="0"/>
          <w:marBottom w:val="0"/>
          <w:divBdr>
            <w:top w:val="none" w:sz="0" w:space="0" w:color="auto"/>
            <w:left w:val="none" w:sz="0" w:space="0" w:color="auto"/>
            <w:bottom w:val="none" w:sz="0" w:space="0" w:color="auto"/>
            <w:right w:val="none" w:sz="0" w:space="0" w:color="auto"/>
          </w:divBdr>
        </w:div>
        <w:div w:id="788278514">
          <w:marLeft w:val="0"/>
          <w:marRight w:val="0"/>
          <w:marTop w:val="0"/>
          <w:marBottom w:val="0"/>
          <w:divBdr>
            <w:top w:val="none" w:sz="0" w:space="0" w:color="auto"/>
            <w:left w:val="none" w:sz="0" w:space="0" w:color="auto"/>
            <w:bottom w:val="none" w:sz="0" w:space="0" w:color="auto"/>
            <w:right w:val="none" w:sz="0" w:space="0" w:color="auto"/>
          </w:divBdr>
        </w:div>
        <w:div w:id="1160385211">
          <w:marLeft w:val="0"/>
          <w:marRight w:val="0"/>
          <w:marTop w:val="0"/>
          <w:marBottom w:val="0"/>
          <w:divBdr>
            <w:top w:val="none" w:sz="0" w:space="0" w:color="auto"/>
            <w:left w:val="none" w:sz="0" w:space="0" w:color="auto"/>
            <w:bottom w:val="none" w:sz="0" w:space="0" w:color="auto"/>
            <w:right w:val="none" w:sz="0" w:space="0" w:color="auto"/>
          </w:divBdr>
        </w:div>
        <w:div w:id="742994050">
          <w:marLeft w:val="0"/>
          <w:marRight w:val="0"/>
          <w:marTop w:val="0"/>
          <w:marBottom w:val="0"/>
          <w:divBdr>
            <w:top w:val="none" w:sz="0" w:space="0" w:color="auto"/>
            <w:left w:val="none" w:sz="0" w:space="0" w:color="auto"/>
            <w:bottom w:val="none" w:sz="0" w:space="0" w:color="auto"/>
            <w:right w:val="none" w:sz="0" w:space="0" w:color="auto"/>
          </w:divBdr>
        </w:div>
        <w:div w:id="2020813424">
          <w:marLeft w:val="0"/>
          <w:marRight w:val="0"/>
          <w:marTop w:val="0"/>
          <w:marBottom w:val="0"/>
          <w:divBdr>
            <w:top w:val="none" w:sz="0" w:space="0" w:color="auto"/>
            <w:left w:val="none" w:sz="0" w:space="0" w:color="auto"/>
            <w:bottom w:val="none" w:sz="0" w:space="0" w:color="auto"/>
            <w:right w:val="none" w:sz="0" w:space="0" w:color="auto"/>
          </w:divBdr>
        </w:div>
        <w:div w:id="845095528">
          <w:marLeft w:val="0"/>
          <w:marRight w:val="0"/>
          <w:marTop w:val="0"/>
          <w:marBottom w:val="0"/>
          <w:divBdr>
            <w:top w:val="none" w:sz="0" w:space="0" w:color="auto"/>
            <w:left w:val="none" w:sz="0" w:space="0" w:color="auto"/>
            <w:bottom w:val="none" w:sz="0" w:space="0" w:color="auto"/>
            <w:right w:val="none" w:sz="0" w:space="0" w:color="auto"/>
          </w:divBdr>
        </w:div>
        <w:div w:id="353116108">
          <w:marLeft w:val="0"/>
          <w:marRight w:val="0"/>
          <w:marTop w:val="0"/>
          <w:marBottom w:val="0"/>
          <w:divBdr>
            <w:top w:val="none" w:sz="0" w:space="0" w:color="auto"/>
            <w:left w:val="none" w:sz="0" w:space="0" w:color="auto"/>
            <w:bottom w:val="none" w:sz="0" w:space="0" w:color="auto"/>
            <w:right w:val="none" w:sz="0" w:space="0" w:color="auto"/>
          </w:divBdr>
        </w:div>
        <w:div w:id="1774133830">
          <w:marLeft w:val="0"/>
          <w:marRight w:val="0"/>
          <w:marTop w:val="0"/>
          <w:marBottom w:val="0"/>
          <w:divBdr>
            <w:top w:val="none" w:sz="0" w:space="0" w:color="auto"/>
            <w:left w:val="none" w:sz="0" w:space="0" w:color="auto"/>
            <w:bottom w:val="none" w:sz="0" w:space="0" w:color="auto"/>
            <w:right w:val="none" w:sz="0" w:space="0" w:color="auto"/>
          </w:divBdr>
        </w:div>
        <w:div w:id="2042975268">
          <w:marLeft w:val="0"/>
          <w:marRight w:val="0"/>
          <w:marTop w:val="0"/>
          <w:marBottom w:val="0"/>
          <w:divBdr>
            <w:top w:val="none" w:sz="0" w:space="0" w:color="auto"/>
            <w:left w:val="none" w:sz="0" w:space="0" w:color="auto"/>
            <w:bottom w:val="none" w:sz="0" w:space="0" w:color="auto"/>
            <w:right w:val="none" w:sz="0" w:space="0" w:color="auto"/>
          </w:divBdr>
        </w:div>
        <w:div w:id="289748667">
          <w:marLeft w:val="0"/>
          <w:marRight w:val="0"/>
          <w:marTop w:val="0"/>
          <w:marBottom w:val="0"/>
          <w:divBdr>
            <w:top w:val="none" w:sz="0" w:space="0" w:color="auto"/>
            <w:left w:val="none" w:sz="0" w:space="0" w:color="auto"/>
            <w:bottom w:val="none" w:sz="0" w:space="0" w:color="auto"/>
            <w:right w:val="none" w:sz="0" w:space="0" w:color="auto"/>
          </w:divBdr>
        </w:div>
        <w:div w:id="1251159470">
          <w:marLeft w:val="0"/>
          <w:marRight w:val="0"/>
          <w:marTop w:val="0"/>
          <w:marBottom w:val="0"/>
          <w:divBdr>
            <w:top w:val="none" w:sz="0" w:space="0" w:color="auto"/>
            <w:left w:val="none" w:sz="0" w:space="0" w:color="auto"/>
            <w:bottom w:val="none" w:sz="0" w:space="0" w:color="auto"/>
            <w:right w:val="none" w:sz="0" w:space="0" w:color="auto"/>
          </w:divBdr>
        </w:div>
        <w:div w:id="1934588709">
          <w:marLeft w:val="0"/>
          <w:marRight w:val="0"/>
          <w:marTop w:val="0"/>
          <w:marBottom w:val="0"/>
          <w:divBdr>
            <w:top w:val="none" w:sz="0" w:space="0" w:color="auto"/>
            <w:left w:val="none" w:sz="0" w:space="0" w:color="auto"/>
            <w:bottom w:val="none" w:sz="0" w:space="0" w:color="auto"/>
            <w:right w:val="none" w:sz="0" w:space="0" w:color="auto"/>
          </w:divBdr>
        </w:div>
        <w:div w:id="1762332895">
          <w:marLeft w:val="0"/>
          <w:marRight w:val="0"/>
          <w:marTop w:val="0"/>
          <w:marBottom w:val="0"/>
          <w:divBdr>
            <w:top w:val="none" w:sz="0" w:space="0" w:color="auto"/>
            <w:left w:val="none" w:sz="0" w:space="0" w:color="auto"/>
            <w:bottom w:val="none" w:sz="0" w:space="0" w:color="auto"/>
            <w:right w:val="none" w:sz="0" w:space="0" w:color="auto"/>
          </w:divBdr>
        </w:div>
        <w:div w:id="1495293377">
          <w:marLeft w:val="0"/>
          <w:marRight w:val="0"/>
          <w:marTop w:val="0"/>
          <w:marBottom w:val="0"/>
          <w:divBdr>
            <w:top w:val="none" w:sz="0" w:space="0" w:color="auto"/>
            <w:left w:val="none" w:sz="0" w:space="0" w:color="auto"/>
            <w:bottom w:val="none" w:sz="0" w:space="0" w:color="auto"/>
            <w:right w:val="none" w:sz="0" w:space="0" w:color="auto"/>
          </w:divBdr>
        </w:div>
        <w:div w:id="1360547904">
          <w:marLeft w:val="0"/>
          <w:marRight w:val="0"/>
          <w:marTop w:val="0"/>
          <w:marBottom w:val="0"/>
          <w:divBdr>
            <w:top w:val="none" w:sz="0" w:space="0" w:color="auto"/>
            <w:left w:val="none" w:sz="0" w:space="0" w:color="auto"/>
            <w:bottom w:val="none" w:sz="0" w:space="0" w:color="auto"/>
            <w:right w:val="none" w:sz="0" w:space="0" w:color="auto"/>
          </w:divBdr>
        </w:div>
        <w:div w:id="1475756062">
          <w:marLeft w:val="0"/>
          <w:marRight w:val="0"/>
          <w:marTop w:val="0"/>
          <w:marBottom w:val="0"/>
          <w:divBdr>
            <w:top w:val="none" w:sz="0" w:space="0" w:color="auto"/>
            <w:left w:val="none" w:sz="0" w:space="0" w:color="auto"/>
            <w:bottom w:val="none" w:sz="0" w:space="0" w:color="auto"/>
            <w:right w:val="none" w:sz="0" w:space="0" w:color="auto"/>
          </w:divBdr>
        </w:div>
        <w:div w:id="1240561626">
          <w:marLeft w:val="0"/>
          <w:marRight w:val="0"/>
          <w:marTop w:val="0"/>
          <w:marBottom w:val="0"/>
          <w:divBdr>
            <w:top w:val="none" w:sz="0" w:space="0" w:color="auto"/>
            <w:left w:val="none" w:sz="0" w:space="0" w:color="auto"/>
            <w:bottom w:val="none" w:sz="0" w:space="0" w:color="auto"/>
            <w:right w:val="none" w:sz="0" w:space="0" w:color="auto"/>
          </w:divBdr>
        </w:div>
        <w:div w:id="340082268">
          <w:marLeft w:val="0"/>
          <w:marRight w:val="0"/>
          <w:marTop w:val="0"/>
          <w:marBottom w:val="0"/>
          <w:divBdr>
            <w:top w:val="none" w:sz="0" w:space="0" w:color="auto"/>
            <w:left w:val="none" w:sz="0" w:space="0" w:color="auto"/>
            <w:bottom w:val="none" w:sz="0" w:space="0" w:color="auto"/>
            <w:right w:val="none" w:sz="0" w:space="0" w:color="auto"/>
          </w:divBdr>
        </w:div>
        <w:div w:id="1638563396">
          <w:marLeft w:val="0"/>
          <w:marRight w:val="0"/>
          <w:marTop w:val="0"/>
          <w:marBottom w:val="0"/>
          <w:divBdr>
            <w:top w:val="none" w:sz="0" w:space="0" w:color="auto"/>
            <w:left w:val="none" w:sz="0" w:space="0" w:color="auto"/>
            <w:bottom w:val="none" w:sz="0" w:space="0" w:color="auto"/>
            <w:right w:val="none" w:sz="0" w:space="0" w:color="auto"/>
          </w:divBdr>
        </w:div>
        <w:div w:id="527648673">
          <w:marLeft w:val="0"/>
          <w:marRight w:val="0"/>
          <w:marTop w:val="0"/>
          <w:marBottom w:val="0"/>
          <w:divBdr>
            <w:top w:val="none" w:sz="0" w:space="0" w:color="auto"/>
            <w:left w:val="none" w:sz="0" w:space="0" w:color="auto"/>
            <w:bottom w:val="none" w:sz="0" w:space="0" w:color="auto"/>
            <w:right w:val="none" w:sz="0" w:space="0" w:color="auto"/>
          </w:divBdr>
        </w:div>
        <w:div w:id="1991788176">
          <w:marLeft w:val="0"/>
          <w:marRight w:val="0"/>
          <w:marTop w:val="0"/>
          <w:marBottom w:val="0"/>
          <w:divBdr>
            <w:top w:val="none" w:sz="0" w:space="0" w:color="auto"/>
            <w:left w:val="none" w:sz="0" w:space="0" w:color="auto"/>
            <w:bottom w:val="none" w:sz="0" w:space="0" w:color="auto"/>
            <w:right w:val="none" w:sz="0" w:space="0" w:color="auto"/>
          </w:divBdr>
        </w:div>
        <w:div w:id="736779688">
          <w:marLeft w:val="0"/>
          <w:marRight w:val="0"/>
          <w:marTop w:val="0"/>
          <w:marBottom w:val="0"/>
          <w:divBdr>
            <w:top w:val="none" w:sz="0" w:space="0" w:color="auto"/>
            <w:left w:val="none" w:sz="0" w:space="0" w:color="auto"/>
            <w:bottom w:val="none" w:sz="0" w:space="0" w:color="auto"/>
            <w:right w:val="none" w:sz="0" w:space="0" w:color="auto"/>
          </w:divBdr>
        </w:div>
        <w:div w:id="411129233">
          <w:marLeft w:val="0"/>
          <w:marRight w:val="0"/>
          <w:marTop w:val="0"/>
          <w:marBottom w:val="0"/>
          <w:divBdr>
            <w:top w:val="none" w:sz="0" w:space="0" w:color="auto"/>
            <w:left w:val="none" w:sz="0" w:space="0" w:color="auto"/>
            <w:bottom w:val="none" w:sz="0" w:space="0" w:color="auto"/>
            <w:right w:val="none" w:sz="0" w:space="0" w:color="auto"/>
          </w:divBdr>
        </w:div>
        <w:div w:id="1347901016">
          <w:marLeft w:val="0"/>
          <w:marRight w:val="0"/>
          <w:marTop w:val="0"/>
          <w:marBottom w:val="0"/>
          <w:divBdr>
            <w:top w:val="none" w:sz="0" w:space="0" w:color="auto"/>
            <w:left w:val="none" w:sz="0" w:space="0" w:color="auto"/>
            <w:bottom w:val="none" w:sz="0" w:space="0" w:color="auto"/>
            <w:right w:val="none" w:sz="0" w:space="0" w:color="auto"/>
          </w:divBdr>
        </w:div>
        <w:div w:id="148714739">
          <w:marLeft w:val="0"/>
          <w:marRight w:val="0"/>
          <w:marTop w:val="0"/>
          <w:marBottom w:val="0"/>
          <w:divBdr>
            <w:top w:val="none" w:sz="0" w:space="0" w:color="auto"/>
            <w:left w:val="none" w:sz="0" w:space="0" w:color="auto"/>
            <w:bottom w:val="none" w:sz="0" w:space="0" w:color="auto"/>
            <w:right w:val="none" w:sz="0" w:space="0" w:color="auto"/>
          </w:divBdr>
        </w:div>
        <w:div w:id="1619219149">
          <w:marLeft w:val="0"/>
          <w:marRight w:val="0"/>
          <w:marTop w:val="0"/>
          <w:marBottom w:val="0"/>
          <w:divBdr>
            <w:top w:val="none" w:sz="0" w:space="0" w:color="auto"/>
            <w:left w:val="none" w:sz="0" w:space="0" w:color="auto"/>
            <w:bottom w:val="none" w:sz="0" w:space="0" w:color="auto"/>
            <w:right w:val="none" w:sz="0" w:space="0" w:color="auto"/>
          </w:divBdr>
        </w:div>
        <w:div w:id="815494029">
          <w:marLeft w:val="0"/>
          <w:marRight w:val="0"/>
          <w:marTop w:val="0"/>
          <w:marBottom w:val="0"/>
          <w:divBdr>
            <w:top w:val="none" w:sz="0" w:space="0" w:color="auto"/>
            <w:left w:val="none" w:sz="0" w:space="0" w:color="auto"/>
            <w:bottom w:val="none" w:sz="0" w:space="0" w:color="auto"/>
            <w:right w:val="none" w:sz="0" w:space="0" w:color="auto"/>
          </w:divBdr>
        </w:div>
        <w:div w:id="792213995">
          <w:marLeft w:val="0"/>
          <w:marRight w:val="0"/>
          <w:marTop w:val="0"/>
          <w:marBottom w:val="0"/>
          <w:divBdr>
            <w:top w:val="none" w:sz="0" w:space="0" w:color="auto"/>
            <w:left w:val="none" w:sz="0" w:space="0" w:color="auto"/>
            <w:bottom w:val="none" w:sz="0" w:space="0" w:color="auto"/>
            <w:right w:val="none" w:sz="0" w:space="0" w:color="auto"/>
          </w:divBdr>
          <w:divsChild>
            <w:div w:id="813375588">
              <w:marLeft w:val="0"/>
              <w:marRight w:val="0"/>
              <w:marTop w:val="0"/>
              <w:marBottom w:val="0"/>
              <w:divBdr>
                <w:top w:val="none" w:sz="0" w:space="0" w:color="auto"/>
                <w:left w:val="none" w:sz="0" w:space="0" w:color="auto"/>
                <w:bottom w:val="none" w:sz="0" w:space="0" w:color="auto"/>
                <w:right w:val="none" w:sz="0" w:space="0" w:color="auto"/>
              </w:divBdr>
              <w:divsChild>
                <w:div w:id="40727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320964">
          <w:marLeft w:val="0"/>
          <w:marRight w:val="0"/>
          <w:marTop w:val="0"/>
          <w:marBottom w:val="0"/>
          <w:divBdr>
            <w:top w:val="none" w:sz="0" w:space="0" w:color="auto"/>
            <w:left w:val="none" w:sz="0" w:space="0" w:color="auto"/>
            <w:bottom w:val="none" w:sz="0" w:space="0" w:color="auto"/>
            <w:right w:val="none" w:sz="0" w:space="0" w:color="auto"/>
          </w:divBdr>
        </w:div>
        <w:div w:id="1543636181">
          <w:marLeft w:val="0"/>
          <w:marRight w:val="0"/>
          <w:marTop w:val="0"/>
          <w:marBottom w:val="0"/>
          <w:divBdr>
            <w:top w:val="none" w:sz="0" w:space="0" w:color="auto"/>
            <w:left w:val="none" w:sz="0" w:space="0" w:color="auto"/>
            <w:bottom w:val="none" w:sz="0" w:space="0" w:color="auto"/>
            <w:right w:val="none" w:sz="0" w:space="0" w:color="auto"/>
          </w:divBdr>
        </w:div>
        <w:div w:id="1630234963">
          <w:marLeft w:val="0"/>
          <w:marRight w:val="0"/>
          <w:marTop w:val="0"/>
          <w:marBottom w:val="0"/>
          <w:divBdr>
            <w:top w:val="none" w:sz="0" w:space="0" w:color="auto"/>
            <w:left w:val="none" w:sz="0" w:space="0" w:color="auto"/>
            <w:bottom w:val="none" w:sz="0" w:space="0" w:color="auto"/>
            <w:right w:val="none" w:sz="0" w:space="0" w:color="auto"/>
          </w:divBdr>
        </w:div>
        <w:div w:id="1098599414">
          <w:marLeft w:val="0"/>
          <w:marRight w:val="0"/>
          <w:marTop w:val="0"/>
          <w:marBottom w:val="0"/>
          <w:divBdr>
            <w:top w:val="none" w:sz="0" w:space="0" w:color="auto"/>
            <w:left w:val="none" w:sz="0" w:space="0" w:color="auto"/>
            <w:bottom w:val="none" w:sz="0" w:space="0" w:color="auto"/>
            <w:right w:val="none" w:sz="0" w:space="0" w:color="auto"/>
          </w:divBdr>
        </w:div>
        <w:div w:id="840120947">
          <w:marLeft w:val="0"/>
          <w:marRight w:val="0"/>
          <w:marTop w:val="0"/>
          <w:marBottom w:val="0"/>
          <w:divBdr>
            <w:top w:val="none" w:sz="0" w:space="0" w:color="auto"/>
            <w:left w:val="none" w:sz="0" w:space="0" w:color="auto"/>
            <w:bottom w:val="none" w:sz="0" w:space="0" w:color="auto"/>
            <w:right w:val="none" w:sz="0" w:space="0" w:color="auto"/>
          </w:divBdr>
        </w:div>
        <w:div w:id="1914659152">
          <w:marLeft w:val="0"/>
          <w:marRight w:val="0"/>
          <w:marTop w:val="0"/>
          <w:marBottom w:val="0"/>
          <w:divBdr>
            <w:top w:val="none" w:sz="0" w:space="0" w:color="auto"/>
            <w:left w:val="none" w:sz="0" w:space="0" w:color="auto"/>
            <w:bottom w:val="none" w:sz="0" w:space="0" w:color="auto"/>
            <w:right w:val="none" w:sz="0" w:space="0" w:color="auto"/>
          </w:divBdr>
        </w:div>
        <w:div w:id="1746797389">
          <w:marLeft w:val="0"/>
          <w:marRight w:val="0"/>
          <w:marTop w:val="0"/>
          <w:marBottom w:val="0"/>
          <w:divBdr>
            <w:top w:val="none" w:sz="0" w:space="0" w:color="auto"/>
            <w:left w:val="none" w:sz="0" w:space="0" w:color="auto"/>
            <w:bottom w:val="none" w:sz="0" w:space="0" w:color="auto"/>
            <w:right w:val="none" w:sz="0" w:space="0" w:color="auto"/>
          </w:divBdr>
        </w:div>
        <w:div w:id="456879662">
          <w:marLeft w:val="0"/>
          <w:marRight w:val="0"/>
          <w:marTop w:val="0"/>
          <w:marBottom w:val="0"/>
          <w:divBdr>
            <w:top w:val="none" w:sz="0" w:space="0" w:color="auto"/>
            <w:left w:val="none" w:sz="0" w:space="0" w:color="auto"/>
            <w:bottom w:val="none" w:sz="0" w:space="0" w:color="auto"/>
            <w:right w:val="none" w:sz="0" w:space="0" w:color="auto"/>
          </w:divBdr>
        </w:div>
        <w:div w:id="2028865430">
          <w:marLeft w:val="0"/>
          <w:marRight w:val="0"/>
          <w:marTop w:val="0"/>
          <w:marBottom w:val="0"/>
          <w:divBdr>
            <w:top w:val="none" w:sz="0" w:space="0" w:color="auto"/>
            <w:left w:val="none" w:sz="0" w:space="0" w:color="auto"/>
            <w:bottom w:val="none" w:sz="0" w:space="0" w:color="auto"/>
            <w:right w:val="none" w:sz="0" w:space="0" w:color="auto"/>
          </w:divBdr>
        </w:div>
        <w:div w:id="2090615443">
          <w:marLeft w:val="0"/>
          <w:marRight w:val="0"/>
          <w:marTop w:val="0"/>
          <w:marBottom w:val="0"/>
          <w:divBdr>
            <w:top w:val="none" w:sz="0" w:space="0" w:color="auto"/>
            <w:left w:val="none" w:sz="0" w:space="0" w:color="auto"/>
            <w:bottom w:val="none" w:sz="0" w:space="0" w:color="auto"/>
            <w:right w:val="none" w:sz="0" w:space="0" w:color="auto"/>
          </w:divBdr>
        </w:div>
        <w:div w:id="410397456">
          <w:marLeft w:val="0"/>
          <w:marRight w:val="0"/>
          <w:marTop w:val="0"/>
          <w:marBottom w:val="0"/>
          <w:divBdr>
            <w:top w:val="none" w:sz="0" w:space="0" w:color="auto"/>
            <w:left w:val="none" w:sz="0" w:space="0" w:color="auto"/>
            <w:bottom w:val="none" w:sz="0" w:space="0" w:color="auto"/>
            <w:right w:val="none" w:sz="0" w:space="0" w:color="auto"/>
          </w:divBdr>
        </w:div>
        <w:div w:id="360132571">
          <w:marLeft w:val="0"/>
          <w:marRight w:val="0"/>
          <w:marTop w:val="0"/>
          <w:marBottom w:val="0"/>
          <w:divBdr>
            <w:top w:val="none" w:sz="0" w:space="0" w:color="auto"/>
            <w:left w:val="none" w:sz="0" w:space="0" w:color="auto"/>
            <w:bottom w:val="none" w:sz="0" w:space="0" w:color="auto"/>
            <w:right w:val="none" w:sz="0" w:space="0" w:color="auto"/>
          </w:divBdr>
        </w:div>
        <w:div w:id="1874998211">
          <w:marLeft w:val="0"/>
          <w:marRight w:val="0"/>
          <w:marTop w:val="0"/>
          <w:marBottom w:val="0"/>
          <w:divBdr>
            <w:top w:val="none" w:sz="0" w:space="0" w:color="auto"/>
            <w:left w:val="none" w:sz="0" w:space="0" w:color="auto"/>
            <w:bottom w:val="none" w:sz="0" w:space="0" w:color="auto"/>
            <w:right w:val="none" w:sz="0" w:space="0" w:color="auto"/>
          </w:divBdr>
        </w:div>
        <w:div w:id="1458446527">
          <w:marLeft w:val="0"/>
          <w:marRight w:val="0"/>
          <w:marTop w:val="0"/>
          <w:marBottom w:val="0"/>
          <w:divBdr>
            <w:top w:val="none" w:sz="0" w:space="0" w:color="auto"/>
            <w:left w:val="none" w:sz="0" w:space="0" w:color="auto"/>
            <w:bottom w:val="none" w:sz="0" w:space="0" w:color="auto"/>
            <w:right w:val="none" w:sz="0" w:space="0" w:color="auto"/>
          </w:divBdr>
        </w:div>
        <w:div w:id="1167744945">
          <w:marLeft w:val="0"/>
          <w:marRight w:val="0"/>
          <w:marTop w:val="0"/>
          <w:marBottom w:val="0"/>
          <w:divBdr>
            <w:top w:val="none" w:sz="0" w:space="0" w:color="auto"/>
            <w:left w:val="none" w:sz="0" w:space="0" w:color="auto"/>
            <w:bottom w:val="none" w:sz="0" w:space="0" w:color="auto"/>
            <w:right w:val="none" w:sz="0" w:space="0" w:color="auto"/>
          </w:divBdr>
        </w:div>
        <w:div w:id="864632837">
          <w:marLeft w:val="0"/>
          <w:marRight w:val="0"/>
          <w:marTop w:val="0"/>
          <w:marBottom w:val="0"/>
          <w:divBdr>
            <w:top w:val="none" w:sz="0" w:space="0" w:color="auto"/>
            <w:left w:val="none" w:sz="0" w:space="0" w:color="auto"/>
            <w:bottom w:val="none" w:sz="0" w:space="0" w:color="auto"/>
            <w:right w:val="none" w:sz="0" w:space="0" w:color="auto"/>
          </w:divBdr>
        </w:div>
        <w:div w:id="560363674">
          <w:marLeft w:val="0"/>
          <w:marRight w:val="0"/>
          <w:marTop w:val="0"/>
          <w:marBottom w:val="0"/>
          <w:divBdr>
            <w:top w:val="none" w:sz="0" w:space="0" w:color="auto"/>
            <w:left w:val="none" w:sz="0" w:space="0" w:color="auto"/>
            <w:bottom w:val="none" w:sz="0" w:space="0" w:color="auto"/>
            <w:right w:val="none" w:sz="0" w:space="0" w:color="auto"/>
          </w:divBdr>
        </w:div>
        <w:div w:id="1797018273">
          <w:marLeft w:val="0"/>
          <w:marRight w:val="0"/>
          <w:marTop w:val="0"/>
          <w:marBottom w:val="0"/>
          <w:divBdr>
            <w:top w:val="none" w:sz="0" w:space="0" w:color="auto"/>
            <w:left w:val="none" w:sz="0" w:space="0" w:color="auto"/>
            <w:bottom w:val="none" w:sz="0" w:space="0" w:color="auto"/>
            <w:right w:val="none" w:sz="0" w:space="0" w:color="auto"/>
          </w:divBdr>
        </w:div>
        <w:div w:id="130565651">
          <w:marLeft w:val="0"/>
          <w:marRight w:val="0"/>
          <w:marTop w:val="0"/>
          <w:marBottom w:val="0"/>
          <w:divBdr>
            <w:top w:val="none" w:sz="0" w:space="0" w:color="auto"/>
            <w:left w:val="none" w:sz="0" w:space="0" w:color="auto"/>
            <w:bottom w:val="none" w:sz="0" w:space="0" w:color="auto"/>
            <w:right w:val="none" w:sz="0" w:space="0" w:color="auto"/>
          </w:divBdr>
        </w:div>
        <w:div w:id="1720785748">
          <w:marLeft w:val="0"/>
          <w:marRight w:val="0"/>
          <w:marTop w:val="0"/>
          <w:marBottom w:val="0"/>
          <w:divBdr>
            <w:top w:val="none" w:sz="0" w:space="0" w:color="auto"/>
            <w:left w:val="none" w:sz="0" w:space="0" w:color="auto"/>
            <w:bottom w:val="none" w:sz="0" w:space="0" w:color="auto"/>
            <w:right w:val="none" w:sz="0" w:space="0" w:color="auto"/>
          </w:divBdr>
        </w:div>
        <w:div w:id="1809973860">
          <w:marLeft w:val="0"/>
          <w:marRight w:val="0"/>
          <w:marTop w:val="0"/>
          <w:marBottom w:val="0"/>
          <w:divBdr>
            <w:top w:val="none" w:sz="0" w:space="0" w:color="auto"/>
            <w:left w:val="none" w:sz="0" w:space="0" w:color="auto"/>
            <w:bottom w:val="none" w:sz="0" w:space="0" w:color="auto"/>
            <w:right w:val="none" w:sz="0" w:space="0" w:color="auto"/>
          </w:divBdr>
        </w:div>
        <w:div w:id="709302425">
          <w:marLeft w:val="0"/>
          <w:marRight w:val="0"/>
          <w:marTop w:val="0"/>
          <w:marBottom w:val="0"/>
          <w:divBdr>
            <w:top w:val="none" w:sz="0" w:space="0" w:color="auto"/>
            <w:left w:val="none" w:sz="0" w:space="0" w:color="auto"/>
            <w:bottom w:val="none" w:sz="0" w:space="0" w:color="auto"/>
            <w:right w:val="none" w:sz="0" w:space="0" w:color="auto"/>
          </w:divBdr>
          <w:divsChild>
            <w:div w:id="951977312">
              <w:marLeft w:val="0"/>
              <w:marRight w:val="0"/>
              <w:marTop w:val="0"/>
              <w:marBottom w:val="0"/>
              <w:divBdr>
                <w:top w:val="none" w:sz="0" w:space="0" w:color="auto"/>
                <w:left w:val="none" w:sz="0" w:space="0" w:color="auto"/>
                <w:bottom w:val="none" w:sz="0" w:space="0" w:color="auto"/>
                <w:right w:val="none" w:sz="0" w:space="0" w:color="auto"/>
              </w:divBdr>
            </w:div>
            <w:div w:id="891043053">
              <w:marLeft w:val="0"/>
              <w:marRight w:val="0"/>
              <w:marTop w:val="0"/>
              <w:marBottom w:val="0"/>
              <w:divBdr>
                <w:top w:val="none" w:sz="0" w:space="0" w:color="auto"/>
                <w:left w:val="none" w:sz="0" w:space="0" w:color="auto"/>
                <w:bottom w:val="none" w:sz="0" w:space="0" w:color="auto"/>
                <w:right w:val="none" w:sz="0" w:space="0" w:color="auto"/>
              </w:divBdr>
            </w:div>
            <w:div w:id="1790971437">
              <w:marLeft w:val="0"/>
              <w:marRight w:val="0"/>
              <w:marTop w:val="0"/>
              <w:marBottom w:val="0"/>
              <w:divBdr>
                <w:top w:val="none" w:sz="0" w:space="0" w:color="auto"/>
                <w:left w:val="none" w:sz="0" w:space="0" w:color="auto"/>
                <w:bottom w:val="none" w:sz="0" w:space="0" w:color="auto"/>
                <w:right w:val="none" w:sz="0" w:space="0" w:color="auto"/>
              </w:divBdr>
            </w:div>
            <w:div w:id="1764572993">
              <w:marLeft w:val="0"/>
              <w:marRight w:val="0"/>
              <w:marTop w:val="0"/>
              <w:marBottom w:val="0"/>
              <w:divBdr>
                <w:top w:val="none" w:sz="0" w:space="0" w:color="auto"/>
                <w:left w:val="none" w:sz="0" w:space="0" w:color="auto"/>
                <w:bottom w:val="none" w:sz="0" w:space="0" w:color="auto"/>
                <w:right w:val="none" w:sz="0" w:space="0" w:color="auto"/>
              </w:divBdr>
            </w:div>
            <w:div w:id="1052771452">
              <w:marLeft w:val="0"/>
              <w:marRight w:val="0"/>
              <w:marTop w:val="0"/>
              <w:marBottom w:val="0"/>
              <w:divBdr>
                <w:top w:val="none" w:sz="0" w:space="0" w:color="auto"/>
                <w:left w:val="none" w:sz="0" w:space="0" w:color="auto"/>
                <w:bottom w:val="none" w:sz="0" w:space="0" w:color="auto"/>
                <w:right w:val="none" w:sz="0" w:space="0" w:color="auto"/>
              </w:divBdr>
            </w:div>
            <w:div w:id="197667438">
              <w:marLeft w:val="0"/>
              <w:marRight w:val="0"/>
              <w:marTop w:val="0"/>
              <w:marBottom w:val="0"/>
              <w:divBdr>
                <w:top w:val="none" w:sz="0" w:space="0" w:color="auto"/>
                <w:left w:val="none" w:sz="0" w:space="0" w:color="auto"/>
                <w:bottom w:val="none" w:sz="0" w:space="0" w:color="auto"/>
                <w:right w:val="none" w:sz="0" w:space="0" w:color="auto"/>
              </w:divBdr>
            </w:div>
            <w:div w:id="1648633855">
              <w:marLeft w:val="0"/>
              <w:marRight w:val="0"/>
              <w:marTop w:val="0"/>
              <w:marBottom w:val="0"/>
              <w:divBdr>
                <w:top w:val="none" w:sz="0" w:space="0" w:color="auto"/>
                <w:left w:val="none" w:sz="0" w:space="0" w:color="auto"/>
                <w:bottom w:val="none" w:sz="0" w:space="0" w:color="auto"/>
                <w:right w:val="none" w:sz="0" w:space="0" w:color="auto"/>
              </w:divBdr>
            </w:div>
            <w:div w:id="2011178687">
              <w:marLeft w:val="0"/>
              <w:marRight w:val="0"/>
              <w:marTop w:val="0"/>
              <w:marBottom w:val="0"/>
              <w:divBdr>
                <w:top w:val="none" w:sz="0" w:space="0" w:color="auto"/>
                <w:left w:val="none" w:sz="0" w:space="0" w:color="auto"/>
                <w:bottom w:val="none" w:sz="0" w:space="0" w:color="auto"/>
                <w:right w:val="none" w:sz="0" w:space="0" w:color="auto"/>
              </w:divBdr>
            </w:div>
            <w:div w:id="183590673">
              <w:marLeft w:val="0"/>
              <w:marRight w:val="0"/>
              <w:marTop w:val="0"/>
              <w:marBottom w:val="0"/>
              <w:divBdr>
                <w:top w:val="none" w:sz="0" w:space="0" w:color="auto"/>
                <w:left w:val="none" w:sz="0" w:space="0" w:color="auto"/>
                <w:bottom w:val="none" w:sz="0" w:space="0" w:color="auto"/>
                <w:right w:val="none" w:sz="0" w:space="0" w:color="auto"/>
              </w:divBdr>
            </w:div>
            <w:div w:id="1061711288">
              <w:marLeft w:val="0"/>
              <w:marRight w:val="0"/>
              <w:marTop w:val="0"/>
              <w:marBottom w:val="0"/>
              <w:divBdr>
                <w:top w:val="none" w:sz="0" w:space="0" w:color="auto"/>
                <w:left w:val="none" w:sz="0" w:space="0" w:color="auto"/>
                <w:bottom w:val="none" w:sz="0" w:space="0" w:color="auto"/>
                <w:right w:val="none" w:sz="0" w:space="0" w:color="auto"/>
              </w:divBdr>
            </w:div>
            <w:div w:id="1228296352">
              <w:marLeft w:val="0"/>
              <w:marRight w:val="0"/>
              <w:marTop w:val="0"/>
              <w:marBottom w:val="0"/>
              <w:divBdr>
                <w:top w:val="none" w:sz="0" w:space="0" w:color="auto"/>
                <w:left w:val="none" w:sz="0" w:space="0" w:color="auto"/>
                <w:bottom w:val="none" w:sz="0" w:space="0" w:color="auto"/>
                <w:right w:val="none" w:sz="0" w:space="0" w:color="auto"/>
              </w:divBdr>
            </w:div>
            <w:div w:id="607662336">
              <w:marLeft w:val="0"/>
              <w:marRight w:val="0"/>
              <w:marTop w:val="0"/>
              <w:marBottom w:val="0"/>
              <w:divBdr>
                <w:top w:val="none" w:sz="0" w:space="0" w:color="auto"/>
                <w:left w:val="none" w:sz="0" w:space="0" w:color="auto"/>
                <w:bottom w:val="none" w:sz="0" w:space="0" w:color="auto"/>
                <w:right w:val="none" w:sz="0" w:space="0" w:color="auto"/>
              </w:divBdr>
            </w:div>
            <w:div w:id="1922443418">
              <w:marLeft w:val="0"/>
              <w:marRight w:val="0"/>
              <w:marTop w:val="0"/>
              <w:marBottom w:val="0"/>
              <w:divBdr>
                <w:top w:val="none" w:sz="0" w:space="0" w:color="auto"/>
                <w:left w:val="none" w:sz="0" w:space="0" w:color="auto"/>
                <w:bottom w:val="none" w:sz="0" w:space="0" w:color="auto"/>
                <w:right w:val="none" w:sz="0" w:space="0" w:color="auto"/>
              </w:divBdr>
            </w:div>
            <w:div w:id="685333054">
              <w:marLeft w:val="0"/>
              <w:marRight w:val="0"/>
              <w:marTop w:val="0"/>
              <w:marBottom w:val="0"/>
              <w:divBdr>
                <w:top w:val="none" w:sz="0" w:space="0" w:color="auto"/>
                <w:left w:val="none" w:sz="0" w:space="0" w:color="auto"/>
                <w:bottom w:val="none" w:sz="0" w:space="0" w:color="auto"/>
                <w:right w:val="none" w:sz="0" w:space="0" w:color="auto"/>
              </w:divBdr>
            </w:div>
            <w:div w:id="654334387">
              <w:marLeft w:val="0"/>
              <w:marRight w:val="0"/>
              <w:marTop w:val="0"/>
              <w:marBottom w:val="0"/>
              <w:divBdr>
                <w:top w:val="none" w:sz="0" w:space="0" w:color="auto"/>
                <w:left w:val="none" w:sz="0" w:space="0" w:color="auto"/>
                <w:bottom w:val="none" w:sz="0" w:space="0" w:color="auto"/>
                <w:right w:val="none" w:sz="0" w:space="0" w:color="auto"/>
              </w:divBdr>
            </w:div>
            <w:div w:id="1140415749">
              <w:marLeft w:val="0"/>
              <w:marRight w:val="0"/>
              <w:marTop w:val="0"/>
              <w:marBottom w:val="0"/>
              <w:divBdr>
                <w:top w:val="none" w:sz="0" w:space="0" w:color="auto"/>
                <w:left w:val="none" w:sz="0" w:space="0" w:color="auto"/>
                <w:bottom w:val="none" w:sz="0" w:space="0" w:color="auto"/>
                <w:right w:val="none" w:sz="0" w:space="0" w:color="auto"/>
              </w:divBdr>
            </w:div>
          </w:divsChild>
        </w:div>
        <w:div w:id="1043023194">
          <w:marLeft w:val="0"/>
          <w:marRight w:val="0"/>
          <w:marTop w:val="0"/>
          <w:marBottom w:val="0"/>
          <w:divBdr>
            <w:top w:val="none" w:sz="0" w:space="0" w:color="auto"/>
            <w:left w:val="none" w:sz="0" w:space="0" w:color="auto"/>
            <w:bottom w:val="none" w:sz="0" w:space="0" w:color="auto"/>
            <w:right w:val="none" w:sz="0" w:space="0" w:color="auto"/>
          </w:divBdr>
        </w:div>
        <w:div w:id="642273622">
          <w:marLeft w:val="0"/>
          <w:marRight w:val="0"/>
          <w:marTop w:val="0"/>
          <w:marBottom w:val="0"/>
          <w:divBdr>
            <w:top w:val="none" w:sz="0" w:space="0" w:color="auto"/>
            <w:left w:val="none" w:sz="0" w:space="0" w:color="auto"/>
            <w:bottom w:val="none" w:sz="0" w:space="0" w:color="auto"/>
            <w:right w:val="none" w:sz="0" w:space="0" w:color="auto"/>
          </w:divBdr>
        </w:div>
        <w:div w:id="45379170">
          <w:marLeft w:val="0"/>
          <w:marRight w:val="0"/>
          <w:marTop w:val="0"/>
          <w:marBottom w:val="0"/>
          <w:divBdr>
            <w:top w:val="none" w:sz="0" w:space="0" w:color="auto"/>
            <w:left w:val="none" w:sz="0" w:space="0" w:color="auto"/>
            <w:bottom w:val="none" w:sz="0" w:space="0" w:color="auto"/>
            <w:right w:val="none" w:sz="0" w:space="0" w:color="auto"/>
          </w:divBdr>
        </w:div>
        <w:div w:id="1268585017">
          <w:marLeft w:val="0"/>
          <w:marRight w:val="0"/>
          <w:marTop w:val="0"/>
          <w:marBottom w:val="0"/>
          <w:divBdr>
            <w:top w:val="none" w:sz="0" w:space="0" w:color="auto"/>
            <w:left w:val="none" w:sz="0" w:space="0" w:color="auto"/>
            <w:bottom w:val="none" w:sz="0" w:space="0" w:color="auto"/>
            <w:right w:val="none" w:sz="0" w:space="0" w:color="auto"/>
          </w:divBdr>
        </w:div>
        <w:div w:id="865025021">
          <w:marLeft w:val="0"/>
          <w:marRight w:val="0"/>
          <w:marTop w:val="0"/>
          <w:marBottom w:val="0"/>
          <w:divBdr>
            <w:top w:val="none" w:sz="0" w:space="0" w:color="auto"/>
            <w:left w:val="none" w:sz="0" w:space="0" w:color="auto"/>
            <w:bottom w:val="none" w:sz="0" w:space="0" w:color="auto"/>
            <w:right w:val="none" w:sz="0" w:space="0" w:color="auto"/>
          </w:divBdr>
        </w:div>
        <w:div w:id="1858808160">
          <w:marLeft w:val="0"/>
          <w:marRight w:val="0"/>
          <w:marTop w:val="0"/>
          <w:marBottom w:val="0"/>
          <w:divBdr>
            <w:top w:val="none" w:sz="0" w:space="0" w:color="auto"/>
            <w:left w:val="none" w:sz="0" w:space="0" w:color="auto"/>
            <w:bottom w:val="none" w:sz="0" w:space="0" w:color="auto"/>
            <w:right w:val="none" w:sz="0" w:space="0" w:color="auto"/>
          </w:divBdr>
        </w:div>
        <w:div w:id="1321229239">
          <w:marLeft w:val="0"/>
          <w:marRight w:val="0"/>
          <w:marTop w:val="0"/>
          <w:marBottom w:val="0"/>
          <w:divBdr>
            <w:top w:val="none" w:sz="0" w:space="0" w:color="auto"/>
            <w:left w:val="none" w:sz="0" w:space="0" w:color="auto"/>
            <w:bottom w:val="none" w:sz="0" w:space="0" w:color="auto"/>
            <w:right w:val="none" w:sz="0" w:space="0" w:color="auto"/>
          </w:divBdr>
        </w:div>
        <w:div w:id="196436688">
          <w:marLeft w:val="0"/>
          <w:marRight w:val="0"/>
          <w:marTop w:val="0"/>
          <w:marBottom w:val="0"/>
          <w:divBdr>
            <w:top w:val="none" w:sz="0" w:space="0" w:color="auto"/>
            <w:left w:val="none" w:sz="0" w:space="0" w:color="auto"/>
            <w:bottom w:val="none" w:sz="0" w:space="0" w:color="auto"/>
            <w:right w:val="none" w:sz="0" w:space="0" w:color="auto"/>
          </w:divBdr>
        </w:div>
        <w:div w:id="1782334300">
          <w:marLeft w:val="0"/>
          <w:marRight w:val="0"/>
          <w:marTop w:val="0"/>
          <w:marBottom w:val="0"/>
          <w:divBdr>
            <w:top w:val="none" w:sz="0" w:space="0" w:color="auto"/>
            <w:left w:val="none" w:sz="0" w:space="0" w:color="auto"/>
            <w:bottom w:val="none" w:sz="0" w:space="0" w:color="auto"/>
            <w:right w:val="none" w:sz="0" w:space="0" w:color="auto"/>
          </w:divBdr>
        </w:div>
        <w:div w:id="1103112760">
          <w:marLeft w:val="0"/>
          <w:marRight w:val="0"/>
          <w:marTop w:val="0"/>
          <w:marBottom w:val="0"/>
          <w:divBdr>
            <w:top w:val="none" w:sz="0" w:space="0" w:color="auto"/>
            <w:left w:val="none" w:sz="0" w:space="0" w:color="auto"/>
            <w:bottom w:val="none" w:sz="0" w:space="0" w:color="auto"/>
            <w:right w:val="none" w:sz="0" w:space="0" w:color="auto"/>
          </w:divBdr>
        </w:div>
        <w:div w:id="1219393416">
          <w:marLeft w:val="0"/>
          <w:marRight w:val="0"/>
          <w:marTop w:val="0"/>
          <w:marBottom w:val="0"/>
          <w:divBdr>
            <w:top w:val="none" w:sz="0" w:space="0" w:color="auto"/>
            <w:left w:val="none" w:sz="0" w:space="0" w:color="auto"/>
            <w:bottom w:val="none" w:sz="0" w:space="0" w:color="auto"/>
            <w:right w:val="none" w:sz="0" w:space="0" w:color="auto"/>
          </w:divBdr>
        </w:div>
        <w:div w:id="1017150502">
          <w:marLeft w:val="0"/>
          <w:marRight w:val="0"/>
          <w:marTop w:val="0"/>
          <w:marBottom w:val="0"/>
          <w:divBdr>
            <w:top w:val="none" w:sz="0" w:space="0" w:color="auto"/>
            <w:left w:val="none" w:sz="0" w:space="0" w:color="auto"/>
            <w:bottom w:val="none" w:sz="0" w:space="0" w:color="auto"/>
            <w:right w:val="none" w:sz="0" w:space="0" w:color="auto"/>
          </w:divBdr>
        </w:div>
        <w:div w:id="1914006796">
          <w:marLeft w:val="0"/>
          <w:marRight w:val="0"/>
          <w:marTop w:val="0"/>
          <w:marBottom w:val="0"/>
          <w:divBdr>
            <w:top w:val="none" w:sz="0" w:space="0" w:color="auto"/>
            <w:left w:val="none" w:sz="0" w:space="0" w:color="auto"/>
            <w:bottom w:val="none" w:sz="0" w:space="0" w:color="auto"/>
            <w:right w:val="none" w:sz="0" w:space="0" w:color="auto"/>
          </w:divBdr>
        </w:div>
        <w:div w:id="22445629">
          <w:marLeft w:val="0"/>
          <w:marRight w:val="0"/>
          <w:marTop w:val="0"/>
          <w:marBottom w:val="0"/>
          <w:divBdr>
            <w:top w:val="none" w:sz="0" w:space="0" w:color="auto"/>
            <w:left w:val="none" w:sz="0" w:space="0" w:color="auto"/>
            <w:bottom w:val="none" w:sz="0" w:space="0" w:color="auto"/>
            <w:right w:val="none" w:sz="0" w:space="0" w:color="auto"/>
          </w:divBdr>
        </w:div>
        <w:div w:id="396325207">
          <w:marLeft w:val="0"/>
          <w:marRight w:val="0"/>
          <w:marTop w:val="0"/>
          <w:marBottom w:val="0"/>
          <w:divBdr>
            <w:top w:val="none" w:sz="0" w:space="0" w:color="auto"/>
            <w:left w:val="none" w:sz="0" w:space="0" w:color="auto"/>
            <w:bottom w:val="none" w:sz="0" w:space="0" w:color="auto"/>
            <w:right w:val="none" w:sz="0" w:space="0" w:color="auto"/>
          </w:divBdr>
        </w:div>
        <w:div w:id="761415787">
          <w:marLeft w:val="0"/>
          <w:marRight w:val="0"/>
          <w:marTop w:val="0"/>
          <w:marBottom w:val="0"/>
          <w:divBdr>
            <w:top w:val="none" w:sz="0" w:space="0" w:color="auto"/>
            <w:left w:val="none" w:sz="0" w:space="0" w:color="auto"/>
            <w:bottom w:val="none" w:sz="0" w:space="0" w:color="auto"/>
            <w:right w:val="none" w:sz="0" w:space="0" w:color="auto"/>
          </w:divBdr>
        </w:div>
        <w:div w:id="1481727065">
          <w:marLeft w:val="0"/>
          <w:marRight w:val="0"/>
          <w:marTop w:val="0"/>
          <w:marBottom w:val="0"/>
          <w:divBdr>
            <w:top w:val="none" w:sz="0" w:space="0" w:color="auto"/>
            <w:left w:val="none" w:sz="0" w:space="0" w:color="auto"/>
            <w:bottom w:val="none" w:sz="0" w:space="0" w:color="auto"/>
            <w:right w:val="none" w:sz="0" w:space="0" w:color="auto"/>
          </w:divBdr>
        </w:div>
        <w:div w:id="678892432">
          <w:marLeft w:val="0"/>
          <w:marRight w:val="0"/>
          <w:marTop w:val="0"/>
          <w:marBottom w:val="0"/>
          <w:divBdr>
            <w:top w:val="none" w:sz="0" w:space="0" w:color="auto"/>
            <w:left w:val="none" w:sz="0" w:space="0" w:color="auto"/>
            <w:bottom w:val="none" w:sz="0" w:space="0" w:color="auto"/>
            <w:right w:val="none" w:sz="0" w:space="0" w:color="auto"/>
          </w:divBdr>
          <w:divsChild>
            <w:div w:id="1535071641">
              <w:marLeft w:val="0"/>
              <w:marRight w:val="0"/>
              <w:marTop w:val="0"/>
              <w:marBottom w:val="0"/>
              <w:divBdr>
                <w:top w:val="none" w:sz="0" w:space="0" w:color="auto"/>
                <w:left w:val="none" w:sz="0" w:space="0" w:color="auto"/>
                <w:bottom w:val="none" w:sz="0" w:space="0" w:color="auto"/>
                <w:right w:val="none" w:sz="0" w:space="0" w:color="auto"/>
              </w:divBdr>
            </w:div>
            <w:div w:id="1804686955">
              <w:marLeft w:val="0"/>
              <w:marRight w:val="0"/>
              <w:marTop w:val="0"/>
              <w:marBottom w:val="0"/>
              <w:divBdr>
                <w:top w:val="none" w:sz="0" w:space="0" w:color="auto"/>
                <w:left w:val="none" w:sz="0" w:space="0" w:color="auto"/>
                <w:bottom w:val="none" w:sz="0" w:space="0" w:color="auto"/>
                <w:right w:val="none" w:sz="0" w:space="0" w:color="auto"/>
              </w:divBdr>
            </w:div>
            <w:div w:id="1549105618">
              <w:marLeft w:val="0"/>
              <w:marRight w:val="0"/>
              <w:marTop w:val="0"/>
              <w:marBottom w:val="0"/>
              <w:divBdr>
                <w:top w:val="none" w:sz="0" w:space="0" w:color="auto"/>
                <w:left w:val="none" w:sz="0" w:space="0" w:color="auto"/>
                <w:bottom w:val="none" w:sz="0" w:space="0" w:color="auto"/>
                <w:right w:val="none" w:sz="0" w:space="0" w:color="auto"/>
              </w:divBdr>
            </w:div>
          </w:divsChild>
        </w:div>
        <w:div w:id="2072342713">
          <w:marLeft w:val="0"/>
          <w:marRight w:val="0"/>
          <w:marTop w:val="0"/>
          <w:marBottom w:val="0"/>
          <w:divBdr>
            <w:top w:val="none" w:sz="0" w:space="0" w:color="auto"/>
            <w:left w:val="none" w:sz="0" w:space="0" w:color="auto"/>
            <w:bottom w:val="none" w:sz="0" w:space="0" w:color="auto"/>
            <w:right w:val="none" w:sz="0" w:space="0" w:color="auto"/>
          </w:divBdr>
        </w:div>
        <w:div w:id="549003340">
          <w:marLeft w:val="0"/>
          <w:marRight w:val="0"/>
          <w:marTop w:val="0"/>
          <w:marBottom w:val="0"/>
          <w:divBdr>
            <w:top w:val="none" w:sz="0" w:space="0" w:color="auto"/>
            <w:left w:val="none" w:sz="0" w:space="0" w:color="auto"/>
            <w:bottom w:val="none" w:sz="0" w:space="0" w:color="auto"/>
            <w:right w:val="none" w:sz="0" w:space="0" w:color="auto"/>
          </w:divBdr>
        </w:div>
        <w:div w:id="227376973">
          <w:marLeft w:val="0"/>
          <w:marRight w:val="0"/>
          <w:marTop w:val="0"/>
          <w:marBottom w:val="0"/>
          <w:divBdr>
            <w:top w:val="none" w:sz="0" w:space="0" w:color="auto"/>
            <w:left w:val="none" w:sz="0" w:space="0" w:color="auto"/>
            <w:bottom w:val="none" w:sz="0" w:space="0" w:color="auto"/>
            <w:right w:val="none" w:sz="0" w:space="0" w:color="auto"/>
          </w:divBdr>
        </w:div>
        <w:div w:id="1463302413">
          <w:marLeft w:val="0"/>
          <w:marRight w:val="0"/>
          <w:marTop w:val="0"/>
          <w:marBottom w:val="0"/>
          <w:divBdr>
            <w:top w:val="none" w:sz="0" w:space="0" w:color="auto"/>
            <w:left w:val="none" w:sz="0" w:space="0" w:color="auto"/>
            <w:bottom w:val="none" w:sz="0" w:space="0" w:color="auto"/>
            <w:right w:val="none" w:sz="0" w:space="0" w:color="auto"/>
          </w:divBdr>
        </w:div>
        <w:div w:id="1272981631">
          <w:marLeft w:val="0"/>
          <w:marRight w:val="0"/>
          <w:marTop w:val="0"/>
          <w:marBottom w:val="0"/>
          <w:divBdr>
            <w:top w:val="none" w:sz="0" w:space="0" w:color="auto"/>
            <w:left w:val="none" w:sz="0" w:space="0" w:color="auto"/>
            <w:bottom w:val="none" w:sz="0" w:space="0" w:color="auto"/>
            <w:right w:val="none" w:sz="0" w:space="0" w:color="auto"/>
          </w:divBdr>
        </w:div>
        <w:div w:id="673806684">
          <w:marLeft w:val="0"/>
          <w:marRight w:val="0"/>
          <w:marTop w:val="0"/>
          <w:marBottom w:val="0"/>
          <w:divBdr>
            <w:top w:val="none" w:sz="0" w:space="0" w:color="auto"/>
            <w:left w:val="none" w:sz="0" w:space="0" w:color="auto"/>
            <w:bottom w:val="none" w:sz="0" w:space="0" w:color="auto"/>
            <w:right w:val="none" w:sz="0" w:space="0" w:color="auto"/>
          </w:divBdr>
        </w:div>
        <w:div w:id="1765571020">
          <w:marLeft w:val="0"/>
          <w:marRight w:val="0"/>
          <w:marTop w:val="0"/>
          <w:marBottom w:val="0"/>
          <w:divBdr>
            <w:top w:val="none" w:sz="0" w:space="0" w:color="auto"/>
            <w:left w:val="none" w:sz="0" w:space="0" w:color="auto"/>
            <w:bottom w:val="none" w:sz="0" w:space="0" w:color="auto"/>
            <w:right w:val="none" w:sz="0" w:space="0" w:color="auto"/>
          </w:divBdr>
        </w:div>
        <w:div w:id="991519158">
          <w:marLeft w:val="0"/>
          <w:marRight w:val="0"/>
          <w:marTop w:val="0"/>
          <w:marBottom w:val="0"/>
          <w:divBdr>
            <w:top w:val="none" w:sz="0" w:space="0" w:color="auto"/>
            <w:left w:val="none" w:sz="0" w:space="0" w:color="auto"/>
            <w:bottom w:val="none" w:sz="0" w:space="0" w:color="auto"/>
            <w:right w:val="none" w:sz="0" w:space="0" w:color="auto"/>
          </w:divBdr>
        </w:div>
        <w:div w:id="749734415">
          <w:marLeft w:val="0"/>
          <w:marRight w:val="0"/>
          <w:marTop w:val="0"/>
          <w:marBottom w:val="0"/>
          <w:divBdr>
            <w:top w:val="none" w:sz="0" w:space="0" w:color="auto"/>
            <w:left w:val="none" w:sz="0" w:space="0" w:color="auto"/>
            <w:bottom w:val="none" w:sz="0" w:space="0" w:color="auto"/>
            <w:right w:val="none" w:sz="0" w:space="0" w:color="auto"/>
          </w:divBdr>
        </w:div>
        <w:div w:id="1673802030">
          <w:marLeft w:val="0"/>
          <w:marRight w:val="0"/>
          <w:marTop w:val="0"/>
          <w:marBottom w:val="0"/>
          <w:divBdr>
            <w:top w:val="none" w:sz="0" w:space="0" w:color="auto"/>
            <w:left w:val="none" w:sz="0" w:space="0" w:color="auto"/>
            <w:bottom w:val="none" w:sz="0" w:space="0" w:color="auto"/>
            <w:right w:val="none" w:sz="0" w:space="0" w:color="auto"/>
          </w:divBdr>
        </w:div>
        <w:div w:id="1039478640">
          <w:marLeft w:val="0"/>
          <w:marRight w:val="0"/>
          <w:marTop w:val="0"/>
          <w:marBottom w:val="0"/>
          <w:divBdr>
            <w:top w:val="none" w:sz="0" w:space="0" w:color="auto"/>
            <w:left w:val="none" w:sz="0" w:space="0" w:color="auto"/>
            <w:bottom w:val="none" w:sz="0" w:space="0" w:color="auto"/>
            <w:right w:val="none" w:sz="0" w:space="0" w:color="auto"/>
          </w:divBdr>
        </w:div>
        <w:div w:id="1608148929">
          <w:marLeft w:val="0"/>
          <w:marRight w:val="0"/>
          <w:marTop w:val="0"/>
          <w:marBottom w:val="0"/>
          <w:divBdr>
            <w:top w:val="none" w:sz="0" w:space="0" w:color="auto"/>
            <w:left w:val="none" w:sz="0" w:space="0" w:color="auto"/>
            <w:bottom w:val="none" w:sz="0" w:space="0" w:color="auto"/>
            <w:right w:val="none" w:sz="0" w:space="0" w:color="auto"/>
          </w:divBdr>
        </w:div>
        <w:div w:id="2058047140">
          <w:marLeft w:val="0"/>
          <w:marRight w:val="0"/>
          <w:marTop w:val="0"/>
          <w:marBottom w:val="0"/>
          <w:divBdr>
            <w:top w:val="none" w:sz="0" w:space="0" w:color="auto"/>
            <w:left w:val="none" w:sz="0" w:space="0" w:color="auto"/>
            <w:bottom w:val="none" w:sz="0" w:space="0" w:color="auto"/>
            <w:right w:val="none" w:sz="0" w:space="0" w:color="auto"/>
          </w:divBdr>
        </w:div>
        <w:div w:id="271057668">
          <w:marLeft w:val="0"/>
          <w:marRight w:val="0"/>
          <w:marTop w:val="0"/>
          <w:marBottom w:val="0"/>
          <w:divBdr>
            <w:top w:val="none" w:sz="0" w:space="0" w:color="auto"/>
            <w:left w:val="none" w:sz="0" w:space="0" w:color="auto"/>
            <w:bottom w:val="none" w:sz="0" w:space="0" w:color="auto"/>
            <w:right w:val="none" w:sz="0" w:space="0" w:color="auto"/>
          </w:divBdr>
        </w:div>
        <w:div w:id="1142119519">
          <w:marLeft w:val="0"/>
          <w:marRight w:val="0"/>
          <w:marTop w:val="0"/>
          <w:marBottom w:val="0"/>
          <w:divBdr>
            <w:top w:val="none" w:sz="0" w:space="0" w:color="auto"/>
            <w:left w:val="none" w:sz="0" w:space="0" w:color="auto"/>
            <w:bottom w:val="none" w:sz="0" w:space="0" w:color="auto"/>
            <w:right w:val="none" w:sz="0" w:space="0" w:color="auto"/>
          </w:divBdr>
        </w:div>
        <w:div w:id="1518042014">
          <w:marLeft w:val="0"/>
          <w:marRight w:val="0"/>
          <w:marTop w:val="0"/>
          <w:marBottom w:val="0"/>
          <w:divBdr>
            <w:top w:val="none" w:sz="0" w:space="0" w:color="auto"/>
            <w:left w:val="none" w:sz="0" w:space="0" w:color="auto"/>
            <w:bottom w:val="none" w:sz="0" w:space="0" w:color="auto"/>
            <w:right w:val="none" w:sz="0" w:space="0" w:color="auto"/>
          </w:divBdr>
        </w:div>
        <w:div w:id="2132163972">
          <w:marLeft w:val="0"/>
          <w:marRight w:val="0"/>
          <w:marTop w:val="0"/>
          <w:marBottom w:val="0"/>
          <w:divBdr>
            <w:top w:val="none" w:sz="0" w:space="0" w:color="auto"/>
            <w:left w:val="none" w:sz="0" w:space="0" w:color="auto"/>
            <w:bottom w:val="none" w:sz="0" w:space="0" w:color="auto"/>
            <w:right w:val="none" w:sz="0" w:space="0" w:color="auto"/>
          </w:divBdr>
        </w:div>
        <w:div w:id="2092579532">
          <w:marLeft w:val="0"/>
          <w:marRight w:val="0"/>
          <w:marTop w:val="0"/>
          <w:marBottom w:val="0"/>
          <w:divBdr>
            <w:top w:val="none" w:sz="0" w:space="0" w:color="auto"/>
            <w:left w:val="none" w:sz="0" w:space="0" w:color="auto"/>
            <w:bottom w:val="none" w:sz="0" w:space="0" w:color="auto"/>
            <w:right w:val="none" w:sz="0" w:space="0" w:color="auto"/>
          </w:divBdr>
        </w:div>
        <w:div w:id="823546085">
          <w:marLeft w:val="0"/>
          <w:marRight w:val="0"/>
          <w:marTop w:val="0"/>
          <w:marBottom w:val="0"/>
          <w:divBdr>
            <w:top w:val="none" w:sz="0" w:space="0" w:color="auto"/>
            <w:left w:val="none" w:sz="0" w:space="0" w:color="auto"/>
            <w:bottom w:val="none" w:sz="0" w:space="0" w:color="auto"/>
            <w:right w:val="none" w:sz="0" w:space="0" w:color="auto"/>
          </w:divBdr>
        </w:div>
        <w:div w:id="307590846">
          <w:marLeft w:val="0"/>
          <w:marRight w:val="0"/>
          <w:marTop w:val="0"/>
          <w:marBottom w:val="0"/>
          <w:divBdr>
            <w:top w:val="none" w:sz="0" w:space="0" w:color="auto"/>
            <w:left w:val="none" w:sz="0" w:space="0" w:color="auto"/>
            <w:bottom w:val="none" w:sz="0" w:space="0" w:color="auto"/>
            <w:right w:val="none" w:sz="0" w:space="0" w:color="auto"/>
          </w:divBdr>
        </w:div>
        <w:div w:id="38556104">
          <w:marLeft w:val="0"/>
          <w:marRight w:val="0"/>
          <w:marTop w:val="0"/>
          <w:marBottom w:val="0"/>
          <w:divBdr>
            <w:top w:val="none" w:sz="0" w:space="0" w:color="auto"/>
            <w:left w:val="none" w:sz="0" w:space="0" w:color="auto"/>
            <w:bottom w:val="none" w:sz="0" w:space="0" w:color="auto"/>
            <w:right w:val="none" w:sz="0" w:space="0" w:color="auto"/>
          </w:divBdr>
        </w:div>
        <w:div w:id="2825054">
          <w:marLeft w:val="0"/>
          <w:marRight w:val="0"/>
          <w:marTop w:val="0"/>
          <w:marBottom w:val="0"/>
          <w:divBdr>
            <w:top w:val="none" w:sz="0" w:space="0" w:color="auto"/>
            <w:left w:val="none" w:sz="0" w:space="0" w:color="auto"/>
            <w:bottom w:val="none" w:sz="0" w:space="0" w:color="auto"/>
            <w:right w:val="none" w:sz="0" w:space="0" w:color="auto"/>
          </w:divBdr>
          <w:divsChild>
            <w:div w:id="284967413">
              <w:marLeft w:val="0"/>
              <w:marRight w:val="0"/>
              <w:marTop w:val="0"/>
              <w:marBottom w:val="0"/>
              <w:divBdr>
                <w:top w:val="none" w:sz="0" w:space="0" w:color="auto"/>
                <w:left w:val="none" w:sz="0" w:space="0" w:color="auto"/>
                <w:bottom w:val="none" w:sz="0" w:space="0" w:color="auto"/>
                <w:right w:val="none" w:sz="0" w:space="0" w:color="auto"/>
              </w:divBdr>
            </w:div>
            <w:div w:id="1692142086">
              <w:marLeft w:val="0"/>
              <w:marRight w:val="0"/>
              <w:marTop w:val="0"/>
              <w:marBottom w:val="0"/>
              <w:divBdr>
                <w:top w:val="none" w:sz="0" w:space="0" w:color="auto"/>
                <w:left w:val="none" w:sz="0" w:space="0" w:color="auto"/>
                <w:bottom w:val="none" w:sz="0" w:space="0" w:color="auto"/>
                <w:right w:val="none" w:sz="0" w:space="0" w:color="auto"/>
              </w:divBdr>
            </w:div>
            <w:div w:id="516164042">
              <w:marLeft w:val="0"/>
              <w:marRight w:val="0"/>
              <w:marTop w:val="0"/>
              <w:marBottom w:val="0"/>
              <w:divBdr>
                <w:top w:val="none" w:sz="0" w:space="0" w:color="auto"/>
                <w:left w:val="none" w:sz="0" w:space="0" w:color="auto"/>
                <w:bottom w:val="none" w:sz="0" w:space="0" w:color="auto"/>
                <w:right w:val="none" w:sz="0" w:space="0" w:color="auto"/>
              </w:divBdr>
            </w:div>
            <w:div w:id="181941619">
              <w:marLeft w:val="0"/>
              <w:marRight w:val="0"/>
              <w:marTop w:val="0"/>
              <w:marBottom w:val="0"/>
              <w:divBdr>
                <w:top w:val="none" w:sz="0" w:space="0" w:color="auto"/>
                <w:left w:val="none" w:sz="0" w:space="0" w:color="auto"/>
                <w:bottom w:val="none" w:sz="0" w:space="0" w:color="auto"/>
                <w:right w:val="none" w:sz="0" w:space="0" w:color="auto"/>
              </w:divBdr>
            </w:div>
            <w:div w:id="268707909">
              <w:marLeft w:val="0"/>
              <w:marRight w:val="0"/>
              <w:marTop w:val="0"/>
              <w:marBottom w:val="0"/>
              <w:divBdr>
                <w:top w:val="none" w:sz="0" w:space="0" w:color="auto"/>
                <w:left w:val="none" w:sz="0" w:space="0" w:color="auto"/>
                <w:bottom w:val="none" w:sz="0" w:space="0" w:color="auto"/>
                <w:right w:val="none" w:sz="0" w:space="0" w:color="auto"/>
              </w:divBdr>
            </w:div>
            <w:div w:id="58527280">
              <w:marLeft w:val="0"/>
              <w:marRight w:val="0"/>
              <w:marTop w:val="0"/>
              <w:marBottom w:val="0"/>
              <w:divBdr>
                <w:top w:val="none" w:sz="0" w:space="0" w:color="auto"/>
                <w:left w:val="none" w:sz="0" w:space="0" w:color="auto"/>
                <w:bottom w:val="none" w:sz="0" w:space="0" w:color="auto"/>
                <w:right w:val="none" w:sz="0" w:space="0" w:color="auto"/>
              </w:divBdr>
            </w:div>
            <w:div w:id="1316253690">
              <w:marLeft w:val="0"/>
              <w:marRight w:val="0"/>
              <w:marTop w:val="0"/>
              <w:marBottom w:val="0"/>
              <w:divBdr>
                <w:top w:val="none" w:sz="0" w:space="0" w:color="auto"/>
                <w:left w:val="none" w:sz="0" w:space="0" w:color="auto"/>
                <w:bottom w:val="none" w:sz="0" w:space="0" w:color="auto"/>
                <w:right w:val="none" w:sz="0" w:space="0" w:color="auto"/>
              </w:divBdr>
            </w:div>
            <w:div w:id="2141268060">
              <w:marLeft w:val="0"/>
              <w:marRight w:val="0"/>
              <w:marTop w:val="0"/>
              <w:marBottom w:val="0"/>
              <w:divBdr>
                <w:top w:val="none" w:sz="0" w:space="0" w:color="auto"/>
                <w:left w:val="none" w:sz="0" w:space="0" w:color="auto"/>
                <w:bottom w:val="none" w:sz="0" w:space="0" w:color="auto"/>
                <w:right w:val="none" w:sz="0" w:space="0" w:color="auto"/>
              </w:divBdr>
            </w:div>
            <w:div w:id="1642227030">
              <w:marLeft w:val="0"/>
              <w:marRight w:val="0"/>
              <w:marTop w:val="0"/>
              <w:marBottom w:val="0"/>
              <w:divBdr>
                <w:top w:val="none" w:sz="0" w:space="0" w:color="auto"/>
                <w:left w:val="none" w:sz="0" w:space="0" w:color="auto"/>
                <w:bottom w:val="none" w:sz="0" w:space="0" w:color="auto"/>
                <w:right w:val="none" w:sz="0" w:space="0" w:color="auto"/>
              </w:divBdr>
            </w:div>
            <w:div w:id="898519061">
              <w:marLeft w:val="0"/>
              <w:marRight w:val="0"/>
              <w:marTop w:val="0"/>
              <w:marBottom w:val="0"/>
              <w:divBdr>
                <w:top w:val="none" w:sz="0" w:space="0" w:color="auto"/>
                <w:left w:val="none" w:sz="0" w:space="0" w:color="auto"/>
                <w:bottom w:val="none" w:sz="0" w:space="0" w:color="auto"/>
                <w:right w:val="none" w:sz="0" w:space="0" w:color="auto"/>
              </w:divBdr>
            </w:div>
            <w:div w:id="1413235049">
              <w:marLeft w:val="0"/>
              <w:marRight w:val="0"/>
              <w:marTop w:val="0"/>
              <w:marBottom w:val="0"/>
              <w:divBdr>
                <w:top w:val="none" w:sz="0" w:space="0" w:color="auto"/>
                <w:left w:val="none" w:sz="0" w:space="0" w:color="auto"/>
                <w:bottom w:val="none" w:sz="0" w:space="0" w:color="auto"/>
                <w:right w:val="none" w:sz="0" w:space="0" w:color="auto"/>
              </w:divBdr>
            </w:div>
          </w:divsChild>
        </w:div>
        <w:div w:id="1845782610">
          <w:marLeft w:val="0"/>
          <w:marRight w:val="0"/>
          <w:marTop w:val="0"/>
          <w:marBottom w:val="0"/>
          <w:divBdr>
            <w:top w:val="none" w:sz="0" w:space="0" w:color="auto"/>
            <w:left w:val="none" w:sz="0" w:space="0" w:color="auto"/>
            <w:bottom w:val="none" w:sz="0" w:space="0" w:color="auto"/>
            <w:right w:val="none" w:sz="0" w:space="0" w:color="auto"/>
          </w:divBdr>
        </w:div>
        <w:div w:id="685405751">
          <w:marLeft w:val="0"/>
          <w:marRight w:val="0"/>
          <w:marTop w:val="0"/>
          <w:marBottom w:val="0"/>
          <w:divBdr>
            <w:top w:val="none" w:sz="0" w:space="0" w:color="auto"/>
            <w:left w:val="none" w:sz="0" w:space="0" w:color="auto"/>
            <w:bottom w:val="none" w:sz="0" w:space="0" w:color="auto"/>
            <w:right w:val="none" w:sz="0" w:space="0" w:color="auto"/>
          </w:divBdr>
        </w:div>
        <w:div w:id="959186200">
          <w:marLeft w:val="0"/>
          <w:marRight w:val="0"/>
          <w:marTop w:val="0"/>
          <w:marBottom w:val="0"/>
          <w:divBdr>
            <w:top w:val="none" w:sz="0" w:space="0" w:color="auto"/>
            <w:left w:val="none" w:sz="0" w:space="0" w:color="auto"/>
            <w:bottom w:val="none" w:sz="0" w:space="0" w:color="auto"/>
            <w:right w:val="none" w:sz="0" w:space="0" w:color="auto"/>
          </w:divBdr>
        </w:div>
        <w:div w:id="1719282866">
          <w:marLeft w:val="0"/>
          <w:marRight w:val="0"/>
          <w:marTop w:val="0"/>
          <w:marBottom w:val="0"/>
          <w:divBdr>
            <w:top w:val="none" w:sz="0" w:space="0" w:color="auto"/>
            <w:left w:val="none" w:sz="0" w:space="0" w:color="auto"/>
            <w:bottom w:val="none" w:sz="0" w:space="0" w:color="auto"/>
            <w:right w:val="none" w:sz="0" w:space="0" w:color="auto"/>
          </w:divBdr>
        </w:div>
        <w:div w:id="1079715654">
          <w:marLeft w:val="0"/>
          <w:marRight w:val="0"/>
          <w:marTop w:val="0"/>
          <w:marBottom w:val="0"/>
          <w:divBdr>
            <w:top w:val="none" w:sz="0" w:space="0" w:color="auto"/>
            <w:left w:val="none" w:sz="0" w:space="0" w:color="auto"/>
            <w:bottom w:val="none" w:sz="0" w:space="0" w:color="auto"/>
            <w:right w:val="none" w:sz="0" w:space="0" w:color="auto"/>
          </w:divBdr>
        </w:div>
        <w:div w:id="965937194">
          <w:marLeft w:val="0"/>
          <w:marRight w:val="0"/>
          <w:marTop w:val="0"/>
          <w:marBottom w:val="0"/>
          <w:divBdr>
            <w:top w:val="none" w:sz="0" w:space="0" w:color="auto"/>
            <w:left w:val="none" w:sz="0" w:space="0" w:color="auto"/>
            <w:bottom w:val="none" w:sz="0" w:space="0" w:color="auto"/>
            <w:right w:val="none" w:sz="0" w:space="0" w:color="auto"/>
          </w:divBdr>
        </w:div>
        <w:div w:id="1262567789">
          <w:marLeft w:val="0"/>
          <w:marRight w:val="0"/>
          <w:marTop w:val="0"/>
          <w:marBottom w:val="0"/>
          <w:divBdr>
            <w:top w:val="none" w:sz="0" w:space="0" w:color="auto"/>
            <w:left w:val="none" w:sz="0" w:space="0" w:color="auto"/>
            <w:bottom w:val="none" w:sz="0" w:space="0" w:color="auto"/>
            <w:right w:val="none" w:sz="0" w:space="0" w:color="auto"/>
          </w:divBdr>
        </w:div>
        <w:div w:id="2110814917">
          <w:marLeft w:val="0"/>
          <w:marRight w:val="0"/>
          <w:marTop w:val="0"/>
          <w:marBottom w:val="0"/>
          <w:divBdr>
            <w:top w:val="none" w:sz="0" w:space="0" w:color="auto"/>
            <w:left w:val="none" w:sz="0" w:space="0" w:color="auto"/>
            <w:bottom w:val="none" w:sz="0" w:space="0" w:color="auto"/>
            <w:right w:val="none" w:sz="0" w:space="0" w:color="auto"/>
          </w:divBdr>
        </w:div>
        <w:div w:id="2110470911">
          <w:marLeft w:val="0"/>
          <w:marRight w:val="0"/>
          <w:marTop w:val="0"/>
          <w:marBottom w:val="0"/>
          <w:divBdr>
            <w:top w:val="none" w:sz="0" w:space="0" w:color="auto"/>
            <w:left w:val="none" w:sz="0" w:space="0" w:color="auto"/>
            <w:bottom w:val="none" w:sz="0" w:space="0" w:color="auto"/>
            <w:right w:val="none" w:sz="0" w:space="0" w:color="auto"/>
          </w:divBdr>
        </w:div>
        <w:div w:id="1451896879">
          <w:marLeft w:val="0"/>
          <w:marRight w:val="0"/>
          <w:marTop w:val="0"/>
          <w:marBottom w:val="0"/>
          <w:divBdr>
            <w:top w:val="none" w:sz="0" w:space="0" w:color="auto"/>
            <w:left w:val="none" w:sz="0" w:space="0" w:color="auto"/>
            <w:bottom w:val="none" w:sz="0" w:space="0" w:color="auto"/>
            <w:right w:val="none" w:sz="0" w:space="0" w:color="auto"/>
          </w:divBdr>
        </w:div>
        <w:div w:id="350882984">
          <w:marLeft w:val="0"/>
          <w:marRight w:val="0"/>
          <w:marTop w:val="0"/>
          <w:marBottom w:val="0"/>
          <w:divBdr>
            <w:top w:val="none" w:sz="0" w:space="0" w:color="auto"/>
            <w:left w:val="none" w:sz="0" w:space="0" w:color="auto"/>
            <w:bottom w:val="none" w:sz="0" w:space="0" w:color="auto"/>
            <w:right w:val="none" w:sz="0" w:space="0" w:color="auto"/>
          </w:divBdr>
        </w:div>
        <w:div w:id="370308616">
          <w:marLeft w:val="0"/>
          <w:marRight w:val="0"/>
          <w:marTop w:val="0"/>
          <w:marBottom w:val="0"/>
          <w:divBdr>
            <w:top w:val="none" w:sz="0" w:space="0" w:color="auto"/>
            <w:left w:val="none" w:sz="0" w:space="0" w:color="auto"/>
            <w:bottom w:val="none" w:sz="0" w:space="0" w:color="auto"/>
            <w:right w:val="none" w:sz="0" w:space="0" w:color="auto"/>
          </w:divBdr>
        </w:div>
        <w:div w:id="1283533804">
          <w:marLeft w:val="0"/>
          <w:marRight w:val="0"/>
          <w:marTop w:val="0"/>
          <w:marBottom w:val="0"/>
          <w:divBdr>
            <w:top w:val="none" w:sz="0" w:space="0" w:color="auto"/>
            <w:left w:val="none" w:sz="0" w:space="0" w:color="auto"/>
            <w:bottom w:val="none" w:sz="0" w:space="0" w:color="auto"/>
            <w:right w:val="none" w:sz="0" w:space="0" w:color="auto"/>
          </w:divBdr>
        </w:div>
        <w:div w:id="354111150">
          <w:marLeft w:val="0"/>
          <w:marRight w:val="0"/>
          <w:marTop w:val="0"/>
          <w:marBottom w:val="0"/>
          <w:divBdr>
            <w:top w:val="none" w:sz="0" w:space="0" w:color="auto"/>
            <w:left w:val="none" w:sz="0" w:space="0" w:color="auto"/>
            <w:bottom w:val="none" w:sz="0" w:space="0" w:color="auto"/>
            <w:right w:val="none" w:sz="0" w:space="0" w:color="auto"/>
          </w:divBdr>
        </w:div>
        <w:div w:id="209075990">
          <w:marLeft w:val="0"/>
          <w:marRight w:val="0"/>
          <w:marTop w:val="0"/>
          <w:marBottom w:val="0"/>
          <w:divBdr>
            <w:top w:val="none" w:sz="0" w:space="0" w:color="auto"/>
            <w:left w:val="none" w:sz="0" w:space="0" w:color="auto"/>
            <w:bottom w:val="none" w:sz="0" w:space="0" w:color="auto"/>
            <w:right w:val="none" w:sz="0" w:space="0" w:color="auto"/>
          </w:divBdr>
        </w:div>
        <w:div w:id="1397512647">
          <w:marLeft w:val="0"/>
          <w:marRight w:val="0"/>
          <w:marTop w:val="0"/>
          <w:marBottom w:val="0"/>
          <w:divBdr>
            <w:top w:val="none" w:sz="0" w:space="0" w:color="auto"/>
            <w:left w:val="none" w:sz="0" w:space="0" w:color="auto"/>
            <w:bottom w:val="none" w:sz="0" w:space="0" w:color="auto"/>
            <w:right w:val="none" w:sz="0" w:space="0" w:color="auto"/>
          </w:divBdr>
        </w:div>
        <w:div w:id="958686949">
          <w:marLeft w:val="0"/>
          <w:marRight w:val="0"/>
          <w:marTop w:val="0"/>
          <w:marBottom w:val="0"/>
          <w:divBdr>
            <w:top w:val="none" w:sz="0" w:space="0" w:color="auto"/>
            <w:left w:val="none" w:sz="0" w:space="0" w:color="auto"/>
            <w:bottom w:val="none" w:sz="0" w:space="0" w:color="auto"/>
            <w:right w:val="none" w:sz="0" w:space="0" w:color="auto"/>
          </w:divBdr>
        </w:div>
        <w:div w:id="2014649586">
          <w:marLeft w:val="0"/>
          <w:marRight w:val="0"/>
          <w:marTop w:val="0"/>
          <w:marBottom w:val="0"/>
          <w:divBdr>
            <w:top w:val="none" w:sz="0" w:space="0" w:color="auto"/>
            <w:left w:val="none" w:sz="0" w:space="0" w:color="auto"/>
            <w:bottom w:val="none" w:sz="0" w:space="0" w:color="auto"/>
            <w:right w:val="none" w:sz="0" w:space="0" w:color="auto"/>
          </w:divBdr>
        </w:div>
        <w:div w:id="114445583">
          <w:marLeft w:val="0"/>
          <w:marRight w:val="0"/>
          <w:marTop w:val="0"/>
          <w:marBottom w:val="0"/>
          <w:divBdr>
            <w:top w:val="none" w:sz="0" w:space="0" w:color="auto"/>
            <w:left w:val="none" w:sz="0" w:space="0" w:color="auto"/>
            <w:bottom w:val="none" w:sz="0" w:space="0" w:color="auto"/>
            <w:right w:val="none" w:sz="0" w:space="0" w:color="auto"/>
          </w:divBdr>
        </w:div>
        <w:div w:id="1315063379">
          <w:marLeft w:val="0"/>
          <w:marRight w:val="0"/>
          <w:marTop w:val="0"/>
          <w:marBottom w:val="0"/>
          <w:divBdr>
            <w:top w:val="none" w:sz="0" w:space="0" w:color="auto"/>
            <w:left w:val="none" w:sz="0" w:space="0" w:color="auto"/>
            <w:bottom w:val="none" w:sz="0" w:space="0" w:color="auto"/>
            <w:right w:val="none" w:sz="0" w:space="0" w:color="auto"/>
          </w:divBdr>
        </w:div>
        <w:div w:id="28726636">
          <w:marLeft w:val="0"/>
          <w:marRight w:val="0"/>
          <w:marTop w:val="0"/>
          <w:marBottom w:val="0"/>
          <w:divBdr>
            <w:top w:val="none" w:sz="0" w:space="0" w:color="auto"/>
            <w:left w:val="none" w:sz="0" w:space="0" w:color="auto"/>
            <w:bottom w:val="none" w:sz="0" w:space="0" w:color="auto"/>
            <w:right w:val="none" w:sz="0" w:space="0" w:color="auto"/>
          </w:divBdr>
        </w:div>
        <w:div w:id="950668020">
          <w:marLeft w:val="0"/>
          <w:marRight w:val="0"/>
          <w:marTop w:val="0"/>
          <w:marBottom w:val="0"/>
          <w:divBdr>
            <w:top w:val="none" w:sz="0" w:space="0" w:color="auto"/>
            <w:left w:val="none" w:sz="0" w:space="0" w:color="auto"/>
            <w:bottom w:val="none" w:sz="0" w:space="0" w:color="auto"/>
            <w:right w:val="none" w:sz="0" w:space="0" w:color="auto"/>
          </w:divBdr>
        </w:div>
        <w:div w:id="1021932226">
          <w:marLeft w:val="0"/>
          <w:marRight w:val="0"/>
          <w:marTop w:val="0"/>
          <w:marBottom w:val="0"/>
          <w:divBdr>
            <w:top w:val="none" w:sz="0" w:space="0" w:color="auto"/>
            <w:left w:val="none" w:sz="0" w:space="0" w:color="auto"/>
            <w:bottom w:val="none" w:sz="0" w:space="0" w:color="auto"/>
            <w:right w:val="none" w:sz="0" w:space="0" w:color="auto"/>
          </w:divBdr>
        </w:div>
        <w:div w:id="797719161">
          <w:marLeft w:val="0"/>
          <w:marRight w:val="0"/>
          <w:marTop w:val="0"/>
          <w:marBottom w:val="0"/>
          <w:divBdr>
            <w:top w:val="none" w:sz="0" w:space="0" w:color="auto"/>
            <w:left w:val="none" w:sz="0" w:space="0" w:color="auto"/>
            <w:bottom w:val="none" w:sz="0" w:space="0" w:color="auto"/>
            <w:right w:val="none" w:sz="0" w:space="0" w:color="auto"/>
          </w:divBdr>
        </w:div>
        <w:div w:id="1359309877">
          <w:marLeft w:val="0"/>
          <w:marRight w:val="0"/>
          <w:marTop w:val="0"/>
          <w:marBottom w:val="0"/>
          <w:divBdr>
            <w:top w:val="none" w:sz="0" w:space="0" w:color="auto"/>
            <w:left w:val="none" w:sz="0" w:space="0" w:color="auto"/>
            <w:bottom w:val="none" w:sz="0" w:space="0" w:color="auto"/>
            <w:right w:val="none" w:sz="0" w:space="0" w:color="auto"/>
          </w:divBdr>
        </w:div>
        <w:div w:id="1351570618">
          <w:marLeft w:val="0"/>
          <w:marRight w:val="0"/>
          <w:marTop w:val="0"/>
          <w:marBottom w:val="0"/>
          <w:divBdr>
            <w:top w:val="none" w:sz="0" w:space="0" w:color="auto"/>
            <w:left w:val="none" w:sz="0" w:space="0" w:color="auto"/>
            <w:bottom w:val="none" w:sz="0" w:space="0" w:color="auto"/>
            <w:right w:val="none" w:sz="0" w:space="0" w:color="auto"/>
          </w:divBdr>
        </w:div>
        <w:div w:id="1977952308">
          <w:marLeft w:val="0"/>
          <w:marRight w:val="0"/>
          <w:marTop w:val="0"/>
          <w:marBottom w:val="0"/>
          <w:divBdr>
            <w:top w:val="none" w:sz="0" w:space="0" w:color="auto"/>
            <w:left w:val="none" w:sz="0" w:space="0" w:color="auto"/>
            <w:bottom w:val="none" w:sz="0" w:space="0" w:color="auto"/>
            <w:right w:val="none" w:sz="0" w:space="0" w:color="auto"/>
          </w:divBdr>
        </w:div>
        <w:div w:id="1496144260">
          <w:marLeft w:val="0"/>
          <w:marRight w:val="0"/>
          <w:marTop w:val="0"/>
          <w:marBottom w:val="0"/>
          <w:divBdr>
            <w:top w:val="none" w:sz="0" w:space="0" w:color="auto"/>
            <w:left w:val="none" w:sz="0" w:space="0" w:color="auto"/>
            <w:bottom w:val="none" w:sz="0" w:space="0" w:color="auto"/>
            <w:right w:val="none" w:sz="0" w:space="0" w:color="auto"/>
          </w:divBdr>
        </w:div>
        <w:div w:id="1141657980">
          <w:marLeft w:val="0"/>
          <w:marRight w:val="0"/>
          <w:marTop w:val="0"/>
          <w:marBottom w:val="0"/>
          <w:divBdr>
            <w:top w:val="none" w:sz="0" w:space="0" w:color="auto"/>
            <w:left w:val="none" w:sz="0" w:space="0" w:color="auto"/>
            <w:bottom w:val="none" w:sz="0" w:space="0" w:color="auto"/>
            <w:right w:val="none" w:sz="0" w:space="0" w:color="auto"/>
          </w:divBdr>
        </w:div>
        <w:div w:id="447311762">
          <w:marLeft w:val="0"/>
          <w:marRight w:val="0"/>
          <w:marTop w:val="0"/>
          <w:marBottom w:val="0"/>
          <w:divBdr>
            <w:top w:val="none" w:sz="0" w:space="0" w:color="auto"/>
            <w:left w:val="none" w:sz="0" w:space="0" w:color="auto"/>
            <w:bottom w:val="none" w:sz="0" w:space="0" w:color="auto"/>
            <w:right w:val="none" w:sz="0" w:space="0" w:color="auto"/>
          </w:divBdr>
        </w:div>
        <w:div w:id="1779526454">
          <w:marLeft w:val="0"/>
          <w:marRight w:val="0"/>
          <w:marTop w:val="0"/>
          <w:marBottom w:val="0"/>
          <w:divBdr>
            <w:top w:val="none" w:sz="0" w:space="0" w:color="auto"/>
            <w:left w:val="none" w:sz="0" w:space="0" w:color="auto"/>
            <w:bottom w:val="none" w:sz="0" w:space="0" w:color="auto"/>
            <w:right w:val="none" w:sz="0" w:space="0" w:color="auto"/>
          </w:divBdr>
        </w:div>
        <w:div w:id="567225239">
          <w:marLeft w:val="0"/>
          <w:marRight w:val="0"/>
          <w:marTop w:val="0"/>
          <w:marBottom w:val="0"/>
          <w:divBdr>
            <w:top w:val="none" w:sz="0" w:space="0" w:color="auto"/>
            <w:left w:val="none" w:sz="0" w:space="0" w:color="auto"/>
            <w:bottom w:val="none" w:sz="0" w:space="0" w:color="auto"/>
            <w:right w:val="none" w:sz="0" w:space="0" w:color="auto"/>
          </w:divBdr>
        </w:div>
        <w:div w:id="1383945404">
          <w:marLeft w:val="0"/>
          <w:marRight w:val="0"/>
          <w:marTop w:val="0"/>
          <w:marBottom w:val="0"/>
          <w:divBdr>
            <w:top w:val="none" w:sz="0" w:space="0" w:color="auto"/>
            <w:left w:val="none" w:sz="0" w:space="0" w:color="auto"/>
            <w:bottom w:val="none" w:sz="0" w:space="0" w:color="auto"/>
            <w:right w:val="none" w:sz="0" w:space="0" w:color="auto"/>
          </w:divBdr>
        </w:div>
        <w:div w:id="1203590581">
          <w:marLeft w:val="0"/>
          <w:marRight w:val="0"/>
          <w:marTop w:val="0"/>
          <w:marBottom w:val="0"/>
          <w:divBdr>
            <w:top w:val="none" w:sz="0" w:space="0" w:color="auto"/>
            <w:left w:val="none" w:sz="0" w:space="0" w:color="auto"/>
            <w:bottom w:val="none" w:sz="0" w:space="0" w:color="auto"/>
            <w:right w:val="none" w:sz="0" w:space="0" w:color="auto"/>
          </w:divBdr>
        </w:div>
        <w:div w:id="468399695">
          <w:marLeft w:val="0"/>
          <w:marRight w:val="0"/>
          <w:marTop w:val="0"/>
          <w:marBottom w:val="0"/>
          <w:divBdr>
            <w:top w:val="none" w:sz="0" w:space="0" w:color="auto"/>
            <w:left w:val="none" w:sz="0" w:space="0" w:color="auto"/>
            <w:bottom w:val="none" w:sz="0" w:space="0" w:color="auto"/>
            <w:right w:val="none" w:sz="0" w:space="0" w:color="auto"/>
          </w:divBdr>
        </w:div>
        <w:div w:id="421418755">
          <w:marLeft w:val="0"/>
          <w:marRight w:val="0"/>
          <w:marTop w:val="0"/>
          <w:marBottom w:val="0"/>
          <w:divBdr>
            <w:top w:val="none" w:sz="0" w:space="0" w:color="auto"/>
            <w:left w:val="none" w:sz="0" w:space="0" w:color="auto"/>
            <w:bottom w:val="none" w:sz="0" w:space="0" w:color="auto"/>
            <w:right w:val="none" w:sz="0" w:space="0" w:color="auto"/>
          </w:divBdr>
        </w:div>
        <w:div w:id="850219903">
          <w:marLeft w:val="0"/>
          <w:marRight w:val="0"/>
          <w:marTop w:val="0"/>
          <w:marBottom w:val="0"/>
          <w:divBdr>
            <w:top w:val="none" w:sz="0" w:space="0" w:color="auto"/>
            <w:left w:val="none" w:sz="0" w:space="0" w:color="auto"/>
            <w:bottom w:val="none" w:sz="0" w:space="0" w:color="auto"/>
            <w:right w:val="none" w:sz="0" w:space="0" w:color="auto"/>
          </w:divBdr>
        </w:div>
        <w:div w:id="1290747810">
          <w:marLeft w:val="0"/>
          <w:marRight w:val="0"/>
          <w:marTop w:val="0"/>
          <w:marBottom w:val="0"/>
          <w:divBdr>
            <w:top w:val="none" w:sz="0" w:space="0" w:color="auto"/>
            <w:left w:val="none" w:sz="0" w:space="0" w:color="auto"/>
            <w:bottom w:val="none" w:sz="0" w:space="0" w:color="auto"/>
            <w:right w:val="none" w:sz="0" w:space="0" w:color="auto"/>
          </w:divBdr>
        </w:div>
        <w:div w:id="901519656">
          <w:marLeft w:val="0"/>
          <w:marRight w:val="0"/>
          <w:marTop w:val="0"/>
          <w:marBottom w:val="0"/>
          <w:divBdr>
            <w:top w:val="none" w:sz="0" w:space="0" w:color="auto"/>
            <w:left w:val="none" w:sz="0" w:space="0" w:color="auto"/>
            <w:bottom w:val="none" w:sz="0" w:space="0" w:color="auto"/>
            <w:right w:val="none" w:sz="0" w:space="0" w:color="auto"/>
          </w:divBdr>
        </w:div>
        <w:div w:id="473563387">
          <w:marLeft w:val="0"/>
          <w:marRight w:val="0"/>
          <w:marTop w:val="0"/>
          <w:marBottom w:val="0"/>
          <w:divBdr>
            <w:top w:val="none" w:sz="0" w:space="0" w:color="auto"/>
            <w:left w:val="none" w:sz="0" w:space="0" w:color="auto"/>
            <w:bottom w:val="none" w:sz="0" w:space="0" w:color="auto"/>
            <w:right w:val="none" w:sz="0" w:space="0" w:color="auto"/>
          </w:divBdr>
        </w:div>
        <w:div w:id="326514937">
          <w:marLeft w:val="0"/>
          <w:marRight w:val="0"/>
          <w:marTop w:val="0"/>
          <w:marBottom w:val="0"/>
          <w:divBdr>
            <w:top w:val="none" w:sz="0" w:space="0" w:color="auto"/>
            <w:left w:val="none" w:sz="0" w:space="0" w:color="auto"/>
            <w:bottom w:val="none" w:sz="0" w:space="0" w:color="auto"/>
            <w:right w:val="none" w:sz="0" w:space="0" w:color="auto"/>
          </w:divBdr>
        </w:div>
        <w:div w:id="1065224573">
          <w:marLeft w:val="0"/>
          <w:marRight w:val="0"/>
          <w:marTop w:val="0"/>
          <w:marBottom w:val="0"/>
          <w:divBdr>
            <w:top w:val="none" w:sz="0" w:space="0" w:color="auto"/>
            <w:left w:val="none" w:sz="0" w:space="0" w:color="auto"/>
            <w:bottom w:val="none" w:sz="0" w:space="0" w:color="auto"/>
            <w:right w:val="none" w:sz="0" w:space="0" w:color="auto"/>
          </w:divBdr>
        </w:div>
        <w:div w:id="2124835411">
          <w:marLeft w:val="0"/>
          <w:marRight w:val="0"/>
          <w:marTop w:val="0"/>
          <w:marBottom w:val="0"/>
          <w:divBdr>
            <w:top w:val="none" w:sz="0" w:space="0" w:color="auto"/>
            <w:left w:val="none" w:sz="0" w:space="0" w:color="auto"/>
            <w:bottom w:val="none" w:sz="0" w:space="0" w:color="auto"/>
            <w:right w:val="none" w:sz="0" w:space="0" w:color="auto"/>
          </w:divBdr>
        </w:div>
        <w:div w:id="518203926">
          <w:marLeft w:val="0"/>
          <w:marRight w:val="0"/>
          <w:marTop w:val="0"/>
          <w:marBottom w:val="0"/>
          <w:divBdr>
            <w:top w:val="none" w:sz="0" w:space="0" w:color="auto"/>
            <w:left w:val="none" w:sz="0" w:space="0" w:color="auto"/>
            <w:bottom w:val="none" w:sz="0" w:space="0" w:color="auto"/>
            <w:right w:val="none" w:sz="0" w:space="0" w:color="auto"/>
          </w:divBdr>
        </w:div>
        <w:div w:id="615647338">
          <w:marLeft w:val="0"/>
          <w:marRight w:val="0"/>
          <w:marTop w:val="0"/>
          <w:marBottom w:val="0"/>
          <w:divBdr>
            <w:top w:val="none" w:sz="0" w:space="0" w:color="auto"/>
            <w:left w:val="none" w:sz="0" w:space="0" w:color="auto"/>
            <w:bottom w:val="none" w:sz="0" w:space="0" w:color="auto"/>
            <w:right w:val="none" w:sz="0" w:space="0" w:color="auto"/>
          </w:divBdr>
        </w:div>
        <w:div w:id="1629582619">
          <w:marLeft w:val="0"/>
          <w:marRight w:val="0"/>
          <w:marTop w:val="0"/>
          <w:marBottom w:val="0"/>
          <w:divBdr>
            <w:top w:val="none" w:sz="0" w:space="0" w:color="auto"/>
            <w:left w:val="none" w:sz="0" w:space="0" w:color="auto"/>
            <w:bottom w:val="none" w:sz="0" w:space="0" w:color="auto"/>
            <w:right w:val="none" w:sz="0" w:space="0" w:color="auto"/>
          </w:divBdr>
        </w:div>
        <w:div w:id="639044140">
          <w:marLeft w:val="0"/>
          <w:marRight w:val="0"/>
          <w:marTop w:val="0"/>
          <w:marBottom w:val="0"/>
          <w:divBdr>
            <w:top w:val="none" w:sz="0" w:space="0" w:color="auto"/>
            <w:left w:val="none" w:sz="0" w:space="0" w:color="auto"/>
            <w:bottom w:val="none" w:sz="0" w:space="0" w:color="auto"/>
            <w:right w:val="none" w:sz="0" w:space="0" w:color="auto"/>
          </w:divBdr>
        </w:div>
        <w:div w:id="869994492">
          <w:marLeft w:val="0"/>
          <w:marRight w:val="0"/>
          <w:marTop w:val="0"/>
          <w:marBottom w:val="0"/>
          <w:divBdr>
            <w:top w:val="none" w:sz="0" w:space="0" w:color="auto"/>
            <w:left w:val="none" w:sz="0" w:space="0" w:color="auto"/>
            <w:bottom w:val="none" w:sz="0" w:space="0" w:color="auto"/>
            <w:right w:val="none" w:sz="0" w:space="0" w:color="auto"/>
          </w:divBdr>
        </w:div>
        <w:div w:id="1250195181">
          <w:marLeft w:val="0"/>
          <w:marRight w:val="0"/>
          <w:marTop w:val="0"/>
          <w:marBottom w:val="0"/>
          <w:divBdr>
            <w:top w:val="none" w:sz="0" w:space="0" w:color="auto"/>
            <w:left w:val="none" w:sz="0" w:space="0" w:color="auto"/>
            <w:bottom w:val="none" w:sz="0" w:space="0" w:color="auto"/>
            <w:right w:val="none" w:sz="0" w:space="0" w:color="auto"/>
          </w:divBdr>
        </w:div>
        <w:div w:id="94598771">
          <w:marLeft w:val="0"/>
          <w:marRight w:val="0"/>
          <w:marTop w:val="0"/>
          <w:marBottom w:val="0"/>
          <w:divBdr>
            <w:top w:val="none" w:sz="0" w:space="0" w:color="auto"/>
            <w:left w:val="none" w:sz="0" w:space="0" w:color="auto"/>
            <w:bottom w:val="none" w:sz="0" w:space="0" w:color="auto"/>
            <w:right w:val="none" w:sz="0" w:space="0" w:color="auto"/>
          </w:divBdr>
        </w:div>
        <w:div w:id="751239904">
          <w:marLeft w:val="0"/>
          <w:marRight w:val="0"/>
          <w:marTop w:val="0"/>
          <w:marBottom w:val="0"/>
          <w:divBdr>
            <w:top w:val="none" w:sz="0" w:space="0" w:color="auto"/>
            <w:left w:val="none" w:sz="0" w:space="0" w:color="auto"/>
            <w:bottom w:val="none" w:sz="0" w:space="0" w:color="auto"/>
            <w:right w:val="none" w:sz="0" w:space="0" w:color="auto"/>
          </w:divBdr>
          <w:divsChild>
            <w:div w:id="942302887">
              <w:marLeft w:val="0"/>
              <w:marRight w:val="0"/>
              <w:marTop w:val="0"/>
              <w:marBottom w:val="0"/>
              <w:divBdr>
                <w:top w:val="none" w:sz="0" w:space="0" w:color="auto"/>
                <w:left w:val="none" w:sz="0" w:space="0" w:color="auto"/>
                <w:bottom w:val="none" w:sz="0" w:space="0" w:color="auto"/>
                <w:right w:val="none" w:sz="0" w:space="0" w:color="auto"/>
              </w:divBdr>
            </w:div>
          </w:divsChild>
        </w:div>
        <w:div w:id="987824681">
          <w:marLeft w:val="0"/>
          <w:marRight w:val="0"/>
          <w:marTop w:val="0"/>
          <w:marBottom w:val="0"/>
          <w:divBdr>
            <w:top w:val="none" w:sz="0" w:space="0" w:color="auto"/>
            <w:left w:val="none" w:sz="0" w:space="0" w:color="auto"/>
            <w:bottom w:val="none" w:sz="0" w:space="0" w:color="auto"/>
            <w:right w:val="none" w:sz="0" w:space="0" w:color="auto"/>
          </w:divBdr>
          <w:divsChild>
            <w:div w:id="1566263039">
              <w:marLeft w:val="0"/>
              <w:marRight w:val="0"/>
              <w:marTop w:val="0"/>
              <w:marBottom w:val="0"/>
              <w:divBdr>
                <w:top w:val="none" w:sz="0" w:space="0" w:color="auto"/>
                <w:left w:val="none" w:sz="0" w:space="0" w:color="auto"/>
                <w:bottom w:val="none" w:sz="0" w:space="0" w:color="auto"/>
                <w:right w:val="none" w:sz="0" w:space="0" w:color="auto"/>
              </w:divBdr>
            </w:div>
          </w:divsChild>
        </w:div>
        <w:div w:id="1879588406">
          <w:marLeft w:val="0"/>
          <w:marRight w:val="0"/>
          <w:marTop w:val="0"/>
          <w:marBottom w:val="0"/>
          <w:divBdr>
            <w:top w:val="none" w:sz="0" w:space="0" w:color="auto"/>
            <w:left w:val="none" w:sz="0" w:space="0" w:color="auto"/>
            <w:bottom w:val="none" w:sz="0" w:space="0" w:color="auto"/>
            <w:right w:val="none" w:sz="0" w:space="0" w:color="auto"/>
          </w:divBdr>
        </w:div>
        <w:div w:id="820779486">
          <w:marLeft w:val="0"/>
          <w:marRight w:val="0"/>
          <w:marTop w:val="0"/>
          <w:marBottom w:val="0"/>
          <w:divBdr>
            <w:top w:val="none" w:sz="0" w:space="0" w:color="auto"/>
            <w:left w:val="none" w:sz="0" w:space="0" w:color="auto"/>
            <w:bottom w:val="none" w:sz="0" w:space="0" w:color="auto"/>
            <w:right w:val="none" w:sz="0" w:space="0" w:color="auto"/>
          </w:divBdr>
        </w:div>
        <w:div w:id="1831287323">
          <w:marLeft w:val="0"/>
          <w:marRight w:val="0"/>
          <w:marTop w:val="0"/>
          <w:marBottom w:val="0"/>
          <w:divBdr>
            <w:top w:val="none" w:sz="0" w:space="0" w:color="auto"/>
            <w:left w:val="none" w:sz="0" w:space="0" w:color="auto"/>
            <w:bottom w:val="none" w:sz="0" w:space="0" w:color="auto"/>
            <w:right w:val="none" w:sz="0" w:space="0" w:color="auto"/>
          </w:divBdr>
        </w:div>
        <w:div w:id="742413861">
          <w:marLeft w:val="0"/>
          <w:marRight w:val="0"/>
          <w:marTop w:val="0"/>
          <w:marBottom w:val="0"/>
          <w:divBdr>
            <w:top w:val="none" w:sz="0" w:space="0" w:color="auto"/>
            <w:left w:val="none" w:sz="0" w:space="0" w:color="auto"/>
            <w:bottom w:val="none" w:sz="0" w:space="0" w:color="auto"/>
            <w:right w:val="none" w:sz="0" w:space="0" w:color="auto"/>
          </w:divBdr>
        </w:div>
        <w:div w:id="1900286646">
          <w:marLeft w:val="0"/>
          <w:marRight w:val="0"/>
          <w:marTop w:val="0"/>
          <w:marBottom w:val="0"/>
          <w:divBdr>
            <w:top w:val="none" w:sz="0" w:space="0" w:color="auto"/>
            <w:left w:val="none" w:sz="0" w:space="0" w:color="auto"/>
            <w:bottom w:val="none" w:sz="0" w:space="0" w:color="auto"/>
            <w:right w:val="none" w:sz="0" w:space="0" w:color="auto"/>
          </w:divBdr>
        </w:div>
        <w:div w:id="1637485484">
          <w:marLeft w:val="0"/>
          <w:marRight w:val="0"/>
          <w:marTop w:val="0"/>
          <w:marBottom w:val="0"/>
          <w:divBdr>
            <w:top w:val="none" w:sz="0" w:space="0" w:color="auto"/>
            <w:left w:val="none" w:sz="0" w:space="0" w:color="auto"/>
            <w:bottom w:val="none" w:sz="0" w:space="0" w:color="auto"/>
            <w:right w:val="none" w:sz="0" w:space="0" w:color="auto"/>
          </w:divBdr>
        </w:div>
        <w:div w:id="1394503865">
          <w:marLeft w:val="0"/>
          <w:marRight w:val="0"/>
          <w:marTop w:val="0"/>
          <w:marBottom w:val="0"/>
          <w:divBdr>
            <w:top w:val="none" w:sz="0" w:space="0" w:color="auto"/>
            <w:left w:val="none" w:sz="0" w:space="0" w:color="auto"/>
            <w:bottom w:val="none" w:sz="0" w:space="0" w:color="auto"/>
            <w:right w:val="none" w:sz="0" w:space="0" w:color="auto"/>
          </w:divBdr>
        </w:div>
        <w:div w:id="397943641">
          <w:marLeft w:val="0"/>
          <w:marRight w:val="0"/>
          <w:marTop w:val="0"/>
          <w:marBottom w:val="0"/>
          <w:divBdr>
            <w:top w:val="none" w:sz="0" w:space="0" w:color="auto"/>
            <w:left w:val="none" w:sz="0" w:space="0" w:color="auto"/>
            <w:bottom w:val="none" w:sz="0" w:space="0" w:color="auto"/>
            <w:right w:val="none" w:sz="0" w:space="0" w:color="auto"/>
          </w:divBdr>
        </w:div>
        <w:div w:id="364985281">
          <w:marLeft w:val="0"/>
          <w:marRight w:val="0"/>
          <w:marTop w:val="0"/>
          <w:marBottom w:val="0"/>
          <w:divBdr>
            <w:top w:val="none" w:sz="0" w:space="0" w:color="auto"/>
            <w:left w:val="none" w:sz="0" w:space="0" w:color="auto"/>
            <w:bottom w:val="none" w:sz="0" w:space="0" w:color="auto"/>
            <w:right w:val="none" w:sz="0" w:space="0" w:color="auto"/>
          </w:divBdr>
        </w:div>
        <w:div w:id="2064869134">
          <w:marLeft w:val="0"/>
          <w:marRight w:val="0"/>
          <w:marTop w:val="0"/>
          <w:marBottom w:val="0"/>
          <w:divBdr>
            <w:top w:val="none" w:sz="0" w:space="0" w:color="auto"/>
            <w:left w:val="none" w:sz="0" w:space="0" w:color="auto"/>
            <w:bottom w:val="none" w:sz="0" w:space="0" w:color="auto"/>
            <w:right w:val="none" w:sz="0" w:space="0" w:color="auto"/>
          </w:divBdr>
        </w:div>
        <w:div w:id="424424747">
          <w:marLeft w:val="0"/>
          <w:marRight w:val="0"/>
          <w:marTop w:val="0"/>
          <w:marBottom w:val="0"/>
          <w:divBdr>
            <w:top w:val="none" w:sz="0" w:space="0" w:color="auto"/>
            <w:left w:val="none" w:sz="0" w:space="0" w:color="auto"/>
            <w:bottom w:val="none" w:sz="0" w:space="0" w:color="auto"/>
            <w:right w:val="none" w:sz="0" w:space="0" w:color="auto"/>
          </w:divBdr>
        </w:div>
        <w:div w:id="1282688872">
          <w:marLeft w:val="0"/>
          <w:marRight w:val="0"/>
          <w:marTop w:val="0"/>
          <w:marBottom w:val="0"/>
          <w:divBdr>
            <w:top w:val="none" w:sz="0" w:space="0" w:color="auto"/>
            <w:left w:val="none" w:sz="0" w:space="0" w:color="auto"/>
            <w:bottom w:val="none" w:sz="0" w:space="0" w:color="auto"/>
            <w:right w:val="none" w:sz="0" w:space="0" w:color="auto"/>
          </w:divBdr>
        </w:div>
        <w:div w:id="119347860">
          <w:marLeft w:val="0"/>
          <w:marRight w:val="0"/>
          <w:marTop w:val="0"/>
          <w:marBottom w:val="0"/>
          <w:divBdr>
            <w:top w:val="none" w:sz="0" w:space="0" w:color="auto"/>
            <w:left w:val="none" w:sz="0" w:space="0" w:color="auto"/>
            <w:bottom w:val="none" w:sz="0" w:space="0" w:color="auto"/>
            <w:right w:val="none" w:sz="0" w:space="0" w:color="auto"/>
          </w:divBdr>
        </w:div>
        <w:div w:id="780153288">
          <w:marLeft w:val="0"/>
          <w:marRight w:val="0"/>
          <w:marTop w:val="0"/>
          <w:marBottom w:val="0"/>
          <w:divBdr>
            <w:top w:val="none" w:sz="0" w:space="0" w:color="auto"/>
            <w:left w:val="none" w:sz="0" w:space="0" w:color="auto"/>
            <w:bottom w:val="none" w:sz="0" w:space="0" w:color="auto"/>
            <w:right w:val="none" w:sz="0" w:space="0" w:color="auto"/>
          </w:divBdr>
        </w:div>
        <w:div w:id="1729376400">
          <w:marLeft w:val="0"/>
          <w:marRight w:val="0"/>
          <w:marTop w:val="0"/>
          <w:marBottom w:val="0"/>
          <w:divBdr>
            <w:top w:val="none" w:sz="0" w:space="0" w:color="auto"/>
            <w:left w:val="none" w:sz="0" w:space="0" w:color="auto"/>
            <w:bottom w:val="none" w:sz="0" w:space="0" w:color="auto"/>
            <w:right w:val="none" w:sz="0" w:space="0" w:color="auto"/>
          </w:divBdr>
        </w:div>
        <w:div w:id="570433589">
          <w:marLeft w:val="0"/>
          <w:marRight w:val="0"/>
          <w:marTop w:val="0"/>
          <w:marBottom w:val="0"/>
          <w:divBdr>
            <w:top w:val="none" w:sz="0" w:space="0" w:color="auto"/>
            <w:left w:val="none" w:sz="0" w:space="0" w:color="auto"/>
            <w:bottom w:val="none" w:sz="0" w:space="0" w:color="auto"/>
            <w:right w:val="none" w:sz="0" w:space="0" w:color="auto"/>
          </w:divBdr>
        </w:div>
      </w:divsChild>
    </w:div>
    <w:div w:id="761803239">
      <w:bodyDiv w:val="1"/>
      <w:marLeft w:val="0"/>
      <w:marRight w:val="0"/>
      <w:marTop w:val="0"/>
      <w:marBottom w:val="0"/>
      <w:divBdr>
        <w:top w:val="none" w:sz="0" w:space="0" w:color="auto"/>
        <w:left w:val="none" w:sz="0" w:space="0" w:color="auto"/>
        <w:bottom w:val="none" w:sz="0" w:space="0" w:color="auto"/>
        <w:right w:val="none" w:sz="0" w:space="0" w:color="auto"/>
      </w:divBdr>
      <w:divsChild>
        <w:div w:id="1281111102">
          <w:marLeft w:val="0"/>
          <w:marRight w:val="0"/>
          <w:marTop w:val="0"/>
          <w:marBottom w:val="0"/>
          <w:divBdr>
            <w:top w:val="none" w:sz="0" w:space="0" w:color="auto"/>
            <w:left w:val="none" w:sz="0" w:space="0" w:color="auto"/>
            <w:bottom w:val="none" w:sz="0" w:space="0" w:color="auto"/>
            <w:right w:val="none" w:sz="0" w:space="0" w:color="auto"/>
          </w:divBdr>
        </w:div>
        <w:div w:id="1412004218">
          <w:marLeft w:val="0"/>
          <w:marRight w:val="0"/>
          <w:marTop w:val="0"/>
          <w:marBottom w:val="0"/>
          <w:divBdr>
            <w:top w:val="none" w:sz="0" w:space="0" w:color="auto"/>
            <w:left w:val="none" w:sz="0" w:space="0" w:color="auto"/>
            <w:bottom w:val="none" w:sz="0" w:space="0" w:color="auto"/>
            <w:right w:val="none" w:sz="0" w:space="0" w:color="auto"/>
          </w:divBdr>
        </w:div>
        <w:div w:id="1969781348">
          <w:marLeft w:val="0"/>
          <w:marRight w:val="0"/>
          <w:marTop w:val="0"/>
          <w:marBottom w:val="0"/>
          <w:divBdr>
            <w:top w:val="none" w:sz="0" w:space="0" w:color="auto"/>
            <w:left w:val="none" w:sz="0" w:space="0" w:color="auto"/>
            <w:bottom w:val="none" w:sz="0" w:space="0" w:color="auto"/>
            <w:right w:val="none" w:sz="0" w:space="0" w:color="auto"/>
          </w:divBdr>
        </w:div>
        <w:div w:id="119568354">
          <w:marLeft w:val="0"/>
          <w:marRight w:val="0"/>
          <w:marTop w:val="0"/>
          <w:marBottom w:val="0"/>
          <w:divBdr>
            <w:top w:val="none" w:sz="0" w:space="0" w:color="auto"/>
            <w:left w:val="none" w:sz="0" w:space="0" w:color="auto"/>
            <w:bottom w:val="none" w:sz="0" w:space="0" w:color="auto"/>
            <w:right w:val="none" w:sz="0" w:space="0" w:color="auto"/>
          </w:divBdr>
        </w:div>
        <w:div w:id="1280067466">
          <w:marLeft w:val="0"/>
          <w:marRight w:val="0"/>
          <w:marTop w:val="0"/>
          <w:marBottom w:val="0"/>
          <w:divBdr>
            <w:top w:val="none" w:sz="0" w:space="0" w:color="auto"/>
            <w:left w:val="none" w:sz="0" w:space="0" w:color="auto"/>
            <w:bottom w:val="none" w:sz="0" w:space="0" w:color="auto"/>
            <w:right w:val="none" w:sz="0" w:space="0" w:color="auto"/>
          </w:divBdr>
        </w:div>
        <w:div w:id="1952778625">
          <w:marLeft w:val="0"/>
          <w:marRight w:val="0"/>
          <w:marTop w:val="0"/>
          <w:marBottom w:val="0"/>
          <w:divBdr>
            <w:top w:val="none" w:sz="0" w:space="0" w:color="auto"/>
            <w:left w:val="none" w:sz="0" w:space="0" w:color="auto"/>
            <w:bottom w:val="none" w:sz="0" w:space="0" w:color="auto"/>
            <w:right w:val="none" w:sz="0" w:space="0" w:color="auto"/>
          </w:divBdr>
          <w:divsChild>
            <w:div w:id="397630476">
              <w:marLeft w:val="0"/>
              <w:marRight w:val="0"/>
              <w:marTop w:val="0"/>
              <w:marBottom w:val="0"/>
              <w:divBdr>
                <w:top w:val="none" w:sz="0" w:space="0" w:color="auto"/>
                <w:left w:val="none" w:sz="0" w:space="0" w:color="auto"/>
                <w:bottom w:val="none" w:sz="0" w:space="0" w:color="auto"/>
                <w:right w:val="none" w:sz="0" w:space="0" w:color="auto"/>
              </w:divBdr>
            </w:div>
            <w:div w:id="1392073195">
              <w:marLeft w:val="0"/>
              <w:marRight w:val="0"/>
              <w:marTop w:val="0"/>
              <w:marBottom w:val="0"/>
              <w:divBdr>
                <w:top w:val="none" w:sz="0" w:space="0" w:color="auto"/>
                <w:left w:val="none" w:sz="0" w:space="0" w:color="auto"/>
                <w:bottom w:val="none" w:sz="0" w:space="0" w:color="auto"/>
                <w:right w:val="none" w:sz="0" w:space="0" w:color="auto"/>
              </w:divBdr>
            </w:div>
            <w:div w:id="1086879973">
              <w:marLeft w:val="0"/>
              <w:marRight w:val="0"/>
              <w:marTop w:val="0"/>
              <w:marBottom w:val="0"/>
              <w:divBdr>
                <w:top w:val="none" w:sz="0" w:space="0" w:color="auto"/>
                <w:left w:val="none" w:sz="0" w:space="0" w:color="auto"/>
                <w:bottom w:val="none" w:sz="0" w:space="0" w:color="auto"/>
                <w:right w:val="none" w:sz="0" w:space="0" w:color="auto"/>
              </w:divBdr>
            </w:div>
            <w:div w:id="652371699">
              <w:marLeft w:val="0"/>
              <w:marRight w:val="0"/>
              <w:marTop w:val="0"/>
              <w:marBottom w:val="0"/>
              <w:divBdr>
                <w:top w:val="none" w:sz="0" w:space="0" w:color="auto"/>
                <w:left w:val="none" w:sz="0" w:space="0" w:color="auto"/>
                <w:bottom w:val="none" w:sz="0" w:space="0" w:color="auto"/>
                <w:right w:val="none" w:sz="0" w:space="0" w:color="auto"/>
              </w:divBdr>
            </w:div>
            <w:div w:id="279796966">
              <w:marLeft w:val="0"/>
              <w:marRight w:val="0"/>
              <w:marTop w:val="0"/>
              <w:marBottom w:val="0"/>
              <w:divBdr>
                <w:top w:val="none" w:sz="0" w:space="0" w:color="auto"/>
                <w:left w:val="none" w:sz="0" w:space="0" w:color="auto"/>
                <w:bottom w:val="none" w:sz="0" w:space="0" w:color="auto"/>
                <w:right w:val="none" w:sz="0" w:space="0" w:color="auto"/>
              </w:divBdr>
            </w:div>
            <w:div w:id="2100709335">
              <w:marLeft w:val="0"/>
              <w:marRight w:val="0"/>
              <w:marTop w:val="0"/>
              <w:marBottom w:val="0"/>
              <w:divBdr>
                <w:top w:val="none" w:sz="0" w:space="0" w:color="auto"/>
                <w:left w:val="none" w:sz="0" w:space="0" w:color="auto"/>
                <w:bottom w:val="none" w:sz="0" w:space="0" w:color="auto"/>
                <w:right w:val="none" w:sz="0" w:space="0" w:color="auto"/>
              </w:divBdr>
            </w:div>
            <w:div w:id="622276149">
              <w:marLeft w:val="0"/>
              <w:marRight w:val="0"/>
              <w:marTop w:val="0"/>
              <w:marBottom w:val="0"/>
              <w:divBdr>
                <w:top w:val="none" w:sz="0" w:space="0" w:color="auto"/>
                <w:left w:val="none" w:sz="0" w:space="0" w:color="auto"/>
                <w:bottom w:val="none" w:sz="0" w:space="0" w:color="auto"/>
                <w:right w:val="none" w:sz="0" w:space="0" w:color="auto"/>
              </w:divBdr>
            </w:div>
            <w:div w:id="996953628">
              <w:marLeft w:val="0"/>
              <w:marRight w:val="0"/>
              <w:marTop w:val="0"/>
              <w:marBottom w:val="0"/>
              <w:divBdr>
                <w:top w:val="none" w:sz="0" w:space="0" w:color="auto"/>
                <w:left w:val="none" w:sz="0" w:space="0" w:color="auto"/>
                <w:bottom w:val="none" w:sz="0" w:space="0" w:color="auto"/>
                <w:right w:val="none" w:sz="0" w:space="0" w:color="auto"/>
              </w:divBdr>
            </w:div>
            <w:div w:id="352651555">
              <w:marLeft w:val="0"/>
              <w:marRight w:val="0"/>
              <w:marTop w:val="0"/>
              <w:marBottom w:val="0"/>
              <w:divBdr>
                <w:top w:val="none" w:sz="0" w:space="0" w:color="auto"/>
                <w:left w:val="none" w:sz="0" w:space="0" w:color="auto"/>
                <w:bottom w:val="none" w:sz="0" w:space="0" w:color="auto"/>
                <w:right w:val="none" w:sz="0" w:space="0" w:color="auto"/>
              </w:divBdr>
            </w:div>
            <w:div w:id="23755584">
              <w:marLeft w:val="0"/>
              <w:marRight w:val="0"/>
              <w:marTop w:val="0"/>
              <w:marBottom w:val="0"/>
              <w:divBdr>
                <w:top w:val="none" w:sz="0" w:space="0" w:color="auto"/>
                <w:left w:val="none" w:sz="0" w:space="0" w:color="auto"/>
                <w:bottom w:val="none" w:sz="0" w:space="0" w:color="auto"/>
                <w:right w:val="none" w:sz="0" w:space="0" w:color="auto"/>
              </w:divBdr>
            </w:div>
            <w:div w:id="1967545346">
              <w:marLeft w:val="0"/>
              <w:marRight w:val="0"/>
              <w:marTop w:val="0"/>
              <w:marBottom w:val="0"/>
              <w:divBdr>
                <w:top w:val="none" w:sz="0" w:space="0" w:color="auto"/>
                <w:left w:val="none" w:sz="0" w:space="0" w:color="auto"/>
                <w:bottom w:val="none" w:sz="0" w:space="0" w:color="auto"/>
                <w:right w:val="none" w:sz="0" w:space="0" w:color="auto"/>
              </w:divBdr>
            </w:div>
            <w:div w:id="1824467155">
              <w:marLeft w:val="0"/>
              <w:marRight w:val="0"/>
              <w:marTop w:val="0"/>
              <w:marBottom w:val="0"/>
              <w:divBdr>
                <w:top w:val="none" w:sz="0" w:space="0" w:color="auto"/>
                <w:left w:val="none" w:sz="0" w:space="0" w:color="auto"/>
                <w:bottom w:val="none" w:sz="0" w:space="0" w:color="auto"/>
                <w:right w:val="none" w:sz="0" w:space="0" w:color="auto"/>
              </w:divBdr>
            </w:div>
            <w:div w:id="802313103">
              <w:marLeft w:val="0"/>
              <w:marRight w:val="0"/>
              <w:marTop w:val="0"/>
              <w:marBottom w:val="0"/>
              <w:divBdr>
                <w:top w:val="none" w:sz="0" w:space="0" w:color="auto"/>
                <w:left w:val="none" w:sz="0" w:space="0" w:color="auto"/>
                <w:bottom w:val="none" w:sz="0" w:space="0" w:color="auto"/>
                <w:right w:val="none" w:sz="0" w:space="0" w:color="auto"/>
              </w:divBdr>
            </w:div>
            <w:div w:id="602541964">
              <w:marLeft w:val="0"/>
              <w:marRight w:val="0"/>
              <w:marTop w:val="0"/>
              <w:marBottom w:val="0"/>
              <w:divBdr>
                <w:top w:val="none" w:sz="0" w:space="0" w:color="auto"/>
                <w:left w:val="none" w:sz="0" w:space="0" w:color="auto"/>
                <w:bottom w:val="none" w:sz="0" w:space="0" w:color="auto"/>
                <w:right w:val="none" w:sz="0" w:space="0" w:color="auto"/>
              </w:divBdr>
            </w:div>
            <w:div w:id="207886492">
              <w:marLeft w:val="0"/>
              <w:marRight w:val="0"/>
              <w:marTop w:val="0"/>
              <w:marBottom w:val="0"/>
              <w:divBdr>
                <w:top w:val="none" w:sz="0" w:space="0" w:color="auto"/>
                <w:left w:val="none" w:sz="0" w:space="0" w:color="auto"/>
                <w:bottom w:val="none" w:sz="0" w:space="0" w:color="auto"/>
                <w:right w:val="none" w:sz="0" w:space="0" w:color="auto"/>
              </w:divBdr>
            </w:div>
            <w:div w:id="916668166">
              <w:marLeft w:val="0"/>
              <w:marRight w:val="0"/>
              <w:marTop w:val="0"/>
              <w:marBottom w:val="0"/>
              <w:divBdr>
                <w:top w:val="none" w:sz="0" w:space="0" w:color="auto"/>
                <w:left w:val="none" w:sz="0" w:space="0" w:color="auto"/>
                <w:bottom w:val="none" w:sz="0" w:space="0" w:color="auto"/>
                <w:right w:val="none" w:sz="0" w:space="0" w:color="auto"/>
              </w:divBdr>
            </w:div>
            <w:div w:id="1460492202">
              <w:marLeft w:val="0"/>
              <w:marRight w:val="0"/>
              <w:marTop w:val="0"/>
              <w:marBottom w:val="0"/>
              <w:divBdr>
                <w:top w:val="none" w:sz="0" w:space="0" w:color="auto"/>
                <w:left w:val="none" w:sz="0" w:space="0" w:color="auto"/>
                <w:bottom w:val="none" w:sz="0" w:space="0" w:color="auto"/>
                <w:right w:val="none" w:sz="0" w:space="0" w:color="auto"/>
              </w:divBdr>
            </w:div>
            <w:div w:id="1131169776">
              <w:marLeft w:val="0"/>
              <w:marRight w:val="0"/>
              <w:marTop w:val="0"/>
              <w:marBottom w:val="0"/>
              <w:divBdr>
                <w:top w:val="none" w:sz="0" w:space="0" w:color="auto"/>
                <w:left w:val="none" w:sz="0" w:space="0" w:color="auto"/>
                <w:bottom w:val="none" w:sz="0" w:space="0" w:color="auto"/>
                <w:right w:val="none" w:sz="0" w:space="0" w:color="auto"/>
              </w:divBdr>
            </w:div>
            <w:div w:id="1500804617">
              <w:marLeft w:val="0"/>
              <w:marRight w:val="0"/>
              <w:marTop w:val="0"/>
              <w:marBottom w:val="0"/>
              <w:divBdr>
                <w:top w:val="none" w:sz="0" w:space="0" w:color="auto"/>
                <w:left w:val="none" w:sz="0" w:space="0" w:color="auto"/>
                <w:bottom w:val="none" w:sz="0" w:space="0" w:color="auto"/>
                <w:right w:val="none" w:sz="0" w:space="0" w:color="auto"/>
              </w:divBdr>
            </w:div>
            <w:div w:id="169615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931365">
      <w:bodyDiv w:val="1"/>
      <w:marLeft w:val="0"/>
      <w:marRight w:val="0"/>
      <w:marTop w:val="0"/>
      <w:marBottom w:val="0"/>
      <w:divBdr>
        <w:top w:val="none" w:sz="0" w:space="0" w:color="auto"/>
        <w:left w:val="none" w:sz="0" w:space="0" w:color="auto"/>
        <w:bottom w:val="none" w:sz="0" w:space="0" w:color="auto"/>
        <w:right w:val="none" w:sz="0" w:space="0" w:color="auto"/>
      </w:divBdr>
      <w:divsChild>
        <w:div w:id="1671834614">
          <w:marLeft w:val="0"/>
          <w:marRight w:val="0"/>
          <w:marTop w:val="0"/>
          <w:marBottom w:val="0"/>
          <w:divBdr>
            <w:top w:val="none" w:sz="0" w:space="0" w:color="auto"/>
            <w:left w:val="none" w:sz="0" w:space="0" w:color="auto"/>
            <w:bottom w:val="none" w:sz="0" w:space="0" w:color="auto"/>
            <w:right w:val="none" w:sz="0" w:space="0" w:color="auto"/>
          </w:divBdr>
        </w:div>
        <w:div w:id="28576960">
          <w:marLeft w:val="0"/>
          <w:marRight w:val="0"/>
          <w:marTop w:val="0"/>
          <w:marBottom w:val="0"/>
          <w:divBdr>
            <w:top w:val="none" w:sz="0" w:space="0" w:color="auto"/>
            <w:left w:val="none" w:sz="0" w:space="0" w:color="auto"/>
            <w:bottom w:val="none" w:sz="0" w:space="0" w:color="auto"/>
            <w:right w:val="none" w:sz="0" w:space="0" w:color="auto"/>
          </w:divBdr>
        </w:div>
        <w:div w:id="821967715">
          <w:marLeft w:val="0"/>
          <w:marRight w:val="0"/>
          <w:marTop w:val="0"/>
          <w:marBottom w:val="0"/>
          <w:divBdr>
            <w:top w:val="none" w:sz="0" w:space="0" w:color="auto"/>
            <w:left w:val="none" w:sz="0" w:space="0" w:color="auto"/>
            <w:bottom w:val="none" w:sz="0" w:space="0" w:color="auto"/>
            <w:right w:val="none" w:sz="0" w:space="0" w:color="auto"/>
          </w:divBdr>
        </w:div>
        <w:div w:id="1735663561">
          <w:marLeft w:val="0"/>
          <w:marRight w:val="0"/>
          <w:marTop w:val="0"/>
          <w:marBottom w:val="0"/>
          <w:divBdr>
            <w:top w:val="none" w:sz="0" w:space="0" w:color="auto"/>
            <w:left w:val="none" w:sz="0" w:space="0" w:color="auto"/>
            <w:bottom w:val="none" w:sz="0" w:space="0" w:color="auto"/>
            <w:right w:val="none" w:sz="0" w:space="0" w:color="auto"/>
          </w:divBdr>
        </w:div>
        <w:div w:id="1284078302">
          <w:marLeft w:val="0"/>
          <w:marRight w:val="0"/>
          <w:marTop w:val="0"/>
          <w:marBottom w:val="0"/>
          <w:divBdr>
            <w:top w:val="none" w:sz="0" w:space="0" w:color="auto"/>
            <w:left w:val="none" w:sz="0" w:space="0" w:color="auto"/>
            <w:bottom w:val="none" w:sz="0" w:space="0" w:color="auto"/>
            <w:right w:val="none" w:sz="0" w:space="0" w:color="auto"/>
          </w:divBdr>
          <w:divsChild>
            <w:div w:id="2020542576">
              <w:marLeft w:val="0"/>
              <w:marRight w:val="0"/>
              <w:marTop w:val="0"/>
              <w:marBottom w:val="0"/>
              <w:divBdr>
                <w:top w:val="none" w:sz="0" w:space="0" w:color="auto"/>
                <w:left w:val="none" w:sz="0" w:space="0" w:color="auto"/>
                <w:bottom w:val="none" w:sz="0" w:space="0" w:color="auto"/>
                <w:right w:val="none" w:sz="0" w:space="0" w:color="auto"/>
              </w:divBdr>
            </w:div>
            <w:div w:id="673456196">
              <w:marLeft w:val="0"/>
              <w:marRight w:val="0"/>
              <w:marTop w:val="0"/>
              <w:marBottom w:val="0"/>
              <w:divBdr>
                <w:top w:val="none" w:sz="0" w:space="0" w:color="auto"/>
                <w:left w:val="none" w:sz="0" w:space="0" w:color="auto"/>
                <w:bottom w:val="none" w:sz="0" w:space="0" w:color="auto"/>
                <w:right w:val="none" w:sz="0" w:space="0" w:color="auto"/>
              </w:divBdr>
            </w:div>
            <w:div w:id="1822043921">
              <w:marLeft w:val="0"/>
              <w:marRight w:val="0"/>
              <w:marTop w:val="0"/>
              <w:marBottom w:val="0"/>
              <w:divBdr>
                <w:top w:val="none" w:sz="0" w:space="0" w:color="auto"/>
                <w:left w:val="none" w:sz="0" w:space="0" w:color="auto"/>
                <w:bottom w:val="none" w:sz="0" w:space="0" w:color="auto"/>
                <w:right w:val="none" w:sz="0" w:space="0" w:color="auto"/>
              </w:divBdr>
            </w:div>
            <w:div w:id="1143736189">
              <w:marLeft w:val="0"/>
              <w:marRight w:val="0"/>
              <w:marTop w:val="0"/>
              <w:marBottom w:val="0"/>
              <w:divBdr>
                <w:top w:val="none" w:sz="0" w:space="0" w:color="auto"/>
                <w:left w:val="none" w:sz="0" w:space="0" w:color="auto"/>
                <w:bottom w:val="none" w:sz="0" w:space="0" w:color="auto"/>
                <w:right w:val="none" w:sz="0" w:space="0" w:color="auto"/>
              </w:divBdr>
            </w:div>
            <w:div w:id="1486239363">
              <w:marLeft w:val="0"/>
              <w:marRight w:val="0"/>
              <w:marTop w:val="0"/>
              <w:marBottom w:val="0"/>
              <w:divBdr>
                <w:top w:val="none" w:sz="0" w:space="0" w:color="auto"/>
                <w:left w:val="none" w:sz="0" w:space="0" w:color="auto"/>
                <w:bottom w:val="none" w:sz="0" w:space="0" w:color="auto"/>
                <w:right w:val="none" w:sz="0" w:space="0" w:color="auto"/>
              </w:divBdr>
            </w:div>
            <w:div w:id="1508473007">
              <w:marLeft w:val="0"/>
              <w:marRight w:val="0"/>
              <w:marTop w:val="0"/>
              <w:marBottom w:val="0"/>
              <w:divBdr>
                <w:top w:val="none" w:sz="0" w:space="0" w:color="auto"/>
                <w:left w:val="none" w:sz="0" w:space="0" w:color="auto"/>
                <w:bottom w:val="none" w:sz="0" w:space="0" w:color="auto"/>
                <w:right w:val="none" w:sz="0" w:space="0" w:color="auto"/>
              </w:divBdr>
            </w:div>
            <w:div w:id="12653879">
              <w:marLeft w:val="0"/>
              <w:marRight w:val="0"/>
              <w:marTop w:val="0"/>
              <w:marBottom w:val="0"/>
              <w:divBdr>
                <w:top w:val="none" w:sz="0" w:space="0" w:color="auto"/>
                <w:left w:val="none" w:sz="0" w:space="0" w:color="auto"/>
                <w:bottom w:val="none" w:sz="0" w:space="0" w:color="auto"/>
                <w:right w:val="none" w:sz="0" w:space="0" w:color="auto"/>
              </w:divBdr>
            </w:div>
            <w:div w:id="1517770530">
              <w:marLeft w:val="0"/>
              <w:marRight w:val="0"/>
              <w:marTop w:val="0"/>
              <w:marBottom w:val="0"/>
              <w:divBdr>
                <w:top w:val="none" w:sz="0" w:space="0" w:color="auto"/>
                <w:left w:val="none" w:sz="0" w:space="0" w:color="auto"/>
                <w:bottom w:val="none" w:sz="0" w:space="0" w:color="auto"/>
                <w:right w:val="none" w:sz="0" w:space="0" w:color="auto"/>
              </w:divBdr>
            </w:div>
            <w:div w:id="1587611414">
              <w:marLeft w:val="0"/>
              <w:marRight w:val="0"/>
              <w:marTop w:val="0"/>
              <w:marBottom w:val="0"/>
              <w:divBdr>
                <w:top w:val="none" w:sz="0" w:space="0" w:color="auto"/>
                <w:left w:val="none" w:sz="0" w:space="0" w:color="auto"/>
                <w:bottom w:val="none" w:sz="0" w:space="0" w:color="auto"/>
                <w:right w:val="none" w:sz="0" w:space="0" w:color="auto"/>
              </w:divBdr>
            </w:div>
            <w:div w:id="1761412768">
              <w:marLeft w:val="0"/>
              <w:marRight w:val="0"/>
              <w:marTop w:val="0"/>
              <w:marBottom w:val="0"/>
              <w:divBdr>
                <w:top w:val="none" w:sz="0" w:space="0" w:color="auto"/>
                <w:left w:val="none" w:sz="0" w:space="0" w:color="auto"/>
                <w:bottom w:val="none" w:sz="0" w:space="0" w:color="auto"/>
                <w:right w:val="none" w:sz="0" w:space="0" w:color="auto"/>
              </w:divBdr>
            </w:div>
            <w:div w:id="644748664">
              <w:marLeft w:val="0"/>
              <w:marRight w:val="0"/>
              <w:marTop w:val="0"/>
              <w:marBottom w:val="0"/>
              <w:divBdr>
                <w:top w:val="none" w:sz="0" w:space="0" w:color="auto"/>
                <w:left w:val="none" w:sz="0" w:space="0" w:color="auto"/>
                <w:bottom w:val="none" w:sz="0" w:space="0" w:color="auto"/>
                <w:right w:val="none" w:sz="0" w:space="0" w:color="auto"/>
              </w:divBdr>
            </w:div>
            <w:div w:id="1034766506">
              <w:marLeft w:val="0"/>
              <w:marRight w:val="0"/>
              <w:marTop w:val="0"/>
              <w:marBottom w:val="0"/>
              <w:divBdr>
                <w:top w:val="none" w:sz="0" w:space="0" w:color="auto"/>
                <w:left w:val="none" w:sz="0" w:space="0" w:color="auto"/>
                <w:bottom w:val="none" w:sz="0" w:space="0" w:color="auto"/>
                <w:right w:val="none" w:sz="0" w:space="0" w:color="auto"/>
              </w:divBdr>
            </w:div>
            <w:div w:id="1330250910">
              <w:marLeft w:val="0"/>
              <w:marRight w:val="0"/>
              <w:marTop w:val="0"/>
              <w:marBottom w:val="0"/>
              <w:divBdr>
                <w:top w:val="none" w:sz="0" w:space="0" w:color="auto"/>
                <w:left w:val="none" w:sz="0" w:space="0" w:color="auto"/>
                <w:bottom w:val="none" w:sz="0" w:space="0" w:color="auto"/>
                <w:right w:val="none" w:sz="0" w:space="0" w:color="auto"/>
              </w:divBdr>
            </w:div>
            <w:div w:id="453401717">
              <w:marLeft w:val="0"/>
              <w:marRight w:val="0"/>
              <w:marTop w:val="0"/>
              <w:marBottom w:val="0"/>
              <w:divBdr>
                <w:top w:val="none" w:sz="0" w:space="0" w:color="auto"/>
                <w:left w:val="none" w:sz="0" w:space="0" w:color="auto"/>
                <w:bottom w:val="none" w:sz="0" w:space="0" w:color="auto"/>
                <w:right w:val="none" w:sz="0" w:space="0" w:color="auto"/>
              </w:divBdr>
            </w:div>
            <w:div w:id="119224002">
              <w:marLeft w:val="0"/>
              <w:marRight w:val="0"/>
              <w:marTop w:val="0"/>
              <w:marBottom w:val="0"/>
              <w:divBdr>
                <w:top w:val="none" w:sz="0" w:space="0" w:color="auto"/>
                <w:left w:val="none" w:sz="0" w:space="0" w:color="auto"/>
                <w:bottom w:val="none" w:sz="0" w:space="0" w:color="auto"/>
                <w:right w:val="none" w:sz="0" w:space="0" w:color="auto"/>
              </w:divBdr>
            </w:div>
            <w:div w:id="1167593302">
              <w:marLeft w:val="0"/>
              <w:marRight w:val="0"/>
              <w:marTop w:val="0"/>
              <w:marBottom w:val="0"/>
              <w:divBdr>
                <w:top w:val="none" w:sz="0" w:space="0" w:color="auto"/>
                <w:left w:val="none" w:sz="0" w:space="0" w:color="auto"/>
                <w:bottom w:val="none" w:sz="0" w:space="0" w:color="auto"/>
                <w:right w:val="none" w:sz="0" w:space="0" w:color="auto"/>
              </w:divBdr>
            </w:div>
            <w:div w:id="1908416583">
              <w:marLeft w:val="0"/>
              <w:marRight w:val="0"/>
              <w:marTop w:val="0"/>
              <w:marBottom w:val="0"/>
              <w:divBdr>
                <w:top w:val="none" w:sz="0" w:space="0" w:color="auto"/>
                <w:left w:val="none" w:sz="0" w:space="0" w:color="auto"/>
                <w:bottom w:val="none" w:sz="0" w:space="0" w:color="auto"/>
                <w:right w:val="none" w:sz="0" w:space="0" w:color="auto"/>
              </w:divBdr>
            </w:div>
            <w:div w:id="1607538340">
              <w:marLeft w:val="0"/>
              <w:marRight w:val="0"/>
              <w:marTop w:val="0"/>
              <w:marBottom w:val="0"/>
              <w:divBdr>
                <w:top w:val="none" w:sz="0" w:space="0" w:color="auto"/>
                <w:left w:val="none" w:sz="0" w:space="0" w:color="auto"/>
                <w:bottom w:val="none" w:sz="0" w:space="0" w:color="auto"/>
                <w:right w:val="none" w:sz="0" w:space="0" w:color="auto"/>
              </w:divBdr>
            </w:div>
            <w:div w:id="330762664">
              <w:marLeft w:val="0"/>
              <w:marRight w:val="0"/>
              <w:marTop w:val="0"/>
              <w:marBottom w:val="0"/>
              <w:divBdr>
                <w:top w:val="none" w:sz="0" w:space="0" w:color="auto"/>
                <w:left w:val="none" w:sz="0" w:space="0" w:color="auto"/>
                <w:bottom w:val="none" w:sz="0" w:space="0" w:color="auto"/>
                <w:right w:val="none" w:sz="0" w:space="0" w:color="auto"/>
              </w:divBdr>
            </w:div>
            <w:div w:id="84765135">
              <w:marLeft w:val="0"/>
              <w:marRight w:val="0"/>
              <w:marTop w:val="0"/>
              <w:marBottom w:val="0"/>
              <w:divBdr>
                <w:top w:val="none" w:sz="0" w:space="0" w:color="auto"/>
                <w:left w:val="none" w:sz="0" w:space="0" w:color="auto"/>
                <w:bottom w:val="none" w:sz="0" w:space="0" w:color="auto"/>
                <w:right w:val="none" w:sz="0" w:space="0" w:color="auto"/>
              </w:divBdr>
            </w:div>
            <w:div w:id="1491751116">
              <w:marLeft w:val="0"/>
              <w:marRight w:val="0"/>
              <w:marTop w:val="0"/>
              <w:marBottom w:val="0"/>
              <w:divBdr>
                <w:top w:val="none" w:sz="0" w:space="0" w:color="auto"/>
                <w:left w:val="none" w:sz="0" w:space="0" w:color="auto"/>
                <w:bottom w:val="none" w:sz="0" w:space="0" w:color="auto"/>
                <w:right w:val="none" w:sz="0" w:space="0" w:color="auto"/>
              </w:divBdr>
            </w:div>
            <w:div w:id="1308974379">
              <w:marLeft w:val="0"/>
              <w:marRight w:val="0"/>
              <w:marTop w:val="0"/>
              <w:marBottom w:val="0"/>
              <w:divBdr>
                <w:top w:val="none" w:sz="0" w:space="0" w:color="auto"/>
                <w:left w:val="none" w:sz="0" w:space="0" w:color="auto"/>
                <w:bottom w:val="none" w:sz="0" w:space="0" w:color="auto"/>
                <w:right w:val="none" w:sz="0" w:space="0" w:color="auto"/>
              </w:divBdr>
            </w:div>
            <w:div w:id="1742288710">
              <w:marLeft w:val="0"/>
              <w:marRight w:val="0"/>
              <w:marTop w:val="0"/>
              <w:marBottom w:val="0"/>
              <w:divBdr>
                <w:top w:val="none" w:sz="0" w:space="0" w:color="auto"/>
                <w:left w:val="none" w:sz="0" w:space="0" w:color="auto"/>
                <w:bottom w:val="none" w:sz="0" w:space="0" w:color="auto"/>
                <w:right w:val="none" w:sz="0" w:space="0" w:color="auto"/>
              </w:divBdr>
            </w:div>
            <w:div w:id="43337570">
              <w:marLeft w:val="0"/>
              <w:marRight w:val="0"/>
              <w:marTop w:val="0"/>
              <w:marBottom w:val="0"/>
              <w:divBdr>
                <w:top w:val="none" w:sz="0" w:space="0" w:color="auto"/>
                <w:left w:val="none" w:sz="0" w:space="0" w:color="auto"/>
                <w:bottom w:val="none" w:sz="0" w:space="0" w:color="auto"/>
                <w:right w:val="none" w:sz="0" w:space="0" w:color="auto"/>
              </w:divBdr>
            </w:div>
            <w:div w:id="144317920">
              <w:marLeft w:val="0"/>
              <w:marRight w:val="0"/>
              <w:marTop w:val="0"/>
              <w:marBottom w:val="0"/>
              <w:divBdr>
                <w:top w:val="none" w:sz="0" w:space="0" w:color="auto"/>
                <w:left w:val="none" w:sz="0" w:space="0" w:color="auto"/>
                <w:bottom w:val="none" w:sz="0" w:space="0" w:color="auto"/>
                <w:right w:val="none" w:sz="0" w:space="0" w:color="auto"/>
              </w:divBdr>
            </w:div>
            <w:div w:id="538247452">
              <w:marLeft w:val="0"/>
              <w:marRight w:val="0"/>
              <w:marTop w:val="0"/>
              <w:marBottom w:val="0"/>
              <w:divBdr>
                <w:top w:val="none" w:sz="0" w:space="0" w:color="auto"/>
                <w:left w:val="none" w:sz="0" w:space="0" w:color="auto"/>
                <w:bottom w:val="none" w:sz="0" w:space="0" w:color="auto"/>
                <w:right w:val="none" w:sz="0" w:space="0" w:color="auto"/>
              </w:divBdr>
            </w:div>
            <w:div w:id="301160543">
              <w:marLeft w:val="0"/>
              <w:marRight w:val="0"/>
              <w:marTop w:val="0"/>
              <w:marBottom w:val="0"/>
              <w:divBdr>
                <w:top w:val="none" w:sz="0" w:space="0" w:color="auto"/>
                <w:left w:val="none" w:sz="0" w:space="0" w:color="auto"/>
                <w:bottom w:val="none" w:sz="0" w:space="0" w:color="auto"/>
                <w:right w:val="none" w:sz="0" w:space="0" w:color="auto"/>
              </w:divBdr>
            </w:div>
            <w:div w:id="1567253982">
              <w:marLeft w:val="0"/>
              <w:marRight w:val="0"/>
              <w:marTop w:val="0"/>
              <w:marBottom w:val="0"/>
              <w:divBdr>
                <w:top w:val="none" w:sz="0" w:space="0" w:color="auto"/>
                <w:left w:val="none" w:sz="0" w:space="0" w:color="auto"/>
                <w:bottom w:val="none" w:sz="0" w:space="0" w:color="auto"/>
                <w:right w:val="none" w:sz="0" w:space="0" w:color="auto"/>
              </w:divBdr>
            </w:div>
            <w:div w:id="288049062">
              <w:marLeft w:val="0"/>
              <w:marRight w:val="0"/>
              <w:marTop w:val="0"/>
              <w:marBottom w:val="0"/>
              <w:divBdr>
                <w:top w:val="none" w:sz="0" w:space="0" w:color="auto"/>
                <w:left w:val="none" w:sz="0" w:space="0" w:color="auto"/>
                <w:bottom w:val="none" w:sz="0" w:space="0" w:color="auto"/>
                <w:right w:val="none" w:sz="0" w:space="0" w:color="auto"/>
              </w:divBdr>
            </w:div>
            <w:div w:id="932323085">
              <w:marLeft w:val="0"/>
              <w:marRight w:val="0"/>
              <w:marTop w:val="0"/>
              <w:marBottom w:val="0"/>
              <w:divBdr>
                <w:top w:val="none" w:sz="0" w:space="0" w:color="auto"/>
                <w:left w:val="none" w:sz="0" w:space="0" w:color="auto"/>
                <w:bottom w:val="none" w:sz="0" w:space="0" w:color="auto"/>
                <w:right w:val="none" w:sz="0" w:space="0" w:color="auto"/>
              </w:divBdr>
            </w:div>
            <w:div w:id="1488477554">
              <w:marLeft w:val="0"/>
              <w:marRight w:val="0"/>
              <w:marTop w:val="0"/>
              <w:marBottom w:val="0"/>
              <w:divBdr>
                <w:top w:val="none" w:sz="0" w:space="0" w:color="auto"/>
                <w:left w:val="none" w:sz="0" w:space="0" w:color="auto"/>
                <w:bottom w:val="none" w:sz="0" w:space="0" w:color="auto"/>
                <w:right w:val="none" w:sz="0" w:space="0" w:color="auto"/>
              </w:divBdr>
            </w:div>
            <w:div w:id="333805186">
              <w:marLeft w:val="0"/>
              <w:marRight w:val="0"/>
              <w:marTop w:val="0"/>
              <w:marBottom w:val="0"/>
              <w:divBdr>
                <w:top w:val="none" w:sz="0" w:space="0" w:color="auto"/>
                <w:left w:val="none" w:sz="0" w:space="0" w:color="auto"/>
                <w:bottom w:val="none" w:sz="0" w:space="0" w:color="auto"/>
                <w:right w:val="none" w:sz="0" w:space="0" w:color="auto"/>
              </w:divBdr>
            </w:div>
            <w:div w:id="1913420232">
              <w:marLeft w:val="0"/>
              <w:marRight w:val="0"/>
              <w:marTop w:val="0"/>
              <w:marBottom w:val="0"/>
              <w:divBdr>
                <w:top w:val="none" w:sz="0" w:space="0" w:color="auto"/>
                <w:left w:val="none" w:sz="0" w:space="0" w:color="auto"/>
                <w:bottom w:val="none" w:sz="0" w:space="0" w:color="auto"/>
                <w:right w:val="none" w:sz="0" w:space="0" w:color="auto"/>
              </w:divBdr>
            </w:div>
            <w:div w:id="204101441">
              <w:marLeft w:val="0"/>
              <w:marRight w:val="0"/>
              <w:marTop w:val="0"/>
              <w:marBottom w:val="0"/>
              <w:divBdr>
                <w:top w:val="none" w:sz="0" w:space="0" w:color="auto"/>
                <w:left w:val="none" w:sz="0" w:space="0" w:color="auto"/>
                <w:bottom w:val="none" w:sz="0" w:space="0" w:color="auto"/>
                <w:right w:val="none" w:sz="0" w:space="0" w:color="auto"/>
              </w:divBdr>
            </w:div>
            <w:div w:id="1885750019">
              <w:marLeft w:val="0"/>
              <w:marRight w:val="0"/>
              <w:marTop w:val="0"/>
              <w:marBottom w:val="0"/>
              <w:divBdr>
                <w:top w:val="none" w:sz="0" w:space="0" w:color="auto"/>
                <w:left w:val="none" w:sz="0" w:space="0" w:color="auto"/>
                <w:bottom w:val="none" w:sz="0" w:space="0" w:color="auto"/>
                <w:right w:val="none" w:sz="0" w:space="0" w:color="auto"/>
              </w:divBdr>
            </w:div>
            <w:div w:id="1896041997">
              <w:marLeft w:val="0"/>
              <w:marRight w:val="0"/>
              <w:marTop w:val="0"/>
              <w:marBottom w:val="0"/>
              <w:divBdr>
                <w:top w:val="none" w:sz="0" w:space="0" w:color="auto"/>
                <w:left w:val="none" w:sz="0" w:space="0" w:color="auto"/>
                <w:bottom w:val="none" w:sz="0" w:space="0" w:color="auto"/>
                <w:right w:val="none" w:sz="0" w:space="0" w:color="auto"/>
              </w:divBdr>
            </w:div>
            <w:div w:id="2010205190">
              <w:marLeft w:val="0"/>
              <w:marRight w:val="0"/>
              <w:marTop w:val="0"/>
              <w:marBottom w:val="0"/>
              <w:divBdr>
                <w:top w:val="none" w:sz="0" w:space="0" w:color="auto"/>
                <w:left w:val="none" w:sz="0" w:space="0" w:color="auto"/>
                <w:bottom w:val="none" w:sz="0" w:space="0" w:color="auto"/>
                <w:right w:val="none" w:sz="0" w:space="0" w:color="auto"/>
              </w:divBdr>
            </w:div>
            <w:div w:id="431901697">
              <w:marLeft w:val="0"/>
              <w:marRight w:val="0"/>
              <w:marTop w:val="0"/>
              <w:marBottom w:val="0"/>
              <w:divBdr>
                <w:top w:val="none" w:sz="0" w:space="0" w:color="auto"/>
                <w:left w:val="none" w:sz="0" w:space="0" w:color="auto"/>
                <w:bottom w:val="none" w:sz="0" w:space="0" w:color="auto"/>
                <w:right w:val="none" w:sz="0" w:space="0" w:color="auto"/>
              </w:divBdr>
            </w:div>
            <w:div w:id="1473983297">
              <w:marLeft w:val="0"/>
              <w:marRight w:val="0"/>
              <w:marTop w:val="0"/>
              <w:marBottom w:val="0"/>
              <w:divBdr>
                <w:top w:val="none" w:sz="0" w:space="0" w:color="auto"/>
                <w:left w:val="none" w:sz="0" w:space="0" w:color="auto"/>
                <w:bottom w:val="none" w:sz="0" w:space="0" w:color="auto"/>
                <w:right w:val="none" w:sz="0" w:space="0" w:color="auto"/>
              </w:divBdr>
            </w:div>
            <w:div w:id="1598901450">
              <w:marLeft w:val="0"/>
              <w:marRight w:val="0"/>
              <w:marTop w:val="0"/>
              <w:marBottom w:val="0"/>
              <w:divBdr>
                <w:top w:val="none" w:sz="0" w:space="0" w:color="auto"/>
                <w:left w:val="none" w:sz="0" w:space="0" w:color="auto"/>
                <w:bottom w:val="none" w:sz="0" w:space="0" w:color="auto"/>
                <w:right w:val="none" w:sz="0" w:space="0" w:color="auto"/>
              </w:divBdr>
            </w:div>
            <w:div w:id="246691786">
              <w:marLeft w:val="0"/>
              <w:marRight w:val="0"/>
              <w:marTop w:val="0"/>
              <w:marBottom w:val="0"/>
              <w:divBdr>
                <w:top w:val="none" w:sz="0" w:space="0" w:color="auto"/>
                <w:left w:val="none" w:sz="0" w:space="0" w:color="auto"/>
                <w:bottom w:val="none" w:sz="0" w:space="0" w:color="auto"/>
                <w:right w:val="none" w:sz="0" w:space="0" w:color="auto"/>
              </w:divBdr>
            </w:div>
            <w:div w:id="1715546816">
              <w:marLeft w:val="0"/>
              <w:marRight w:val="0"/>
              <w:marTop w:val="0"/>
              <w:marBottom w:val="0"/>
              <w:divBdr>
                <w:top w:val="none" w:sz="0" w:space="0" w:color="auto"/>
                <w:left w:val="none" w:sz="0" w:space="0" w:color="auto"/>
                <w:bottom w:val="none" w:sz="0" w:space="0" w:color="auto"/>
                <w:right w:val="none" w:sz="0" w:space="0" w:color="auto"/>
              </w:divBdr>
            </w:div>
            <w:div w:id="611280662">
              <w:marLeft w:val="0"/>
              <w:marRight w:val="0"/>
              <w:marTop w:val="0"/>
              <w:marBottom w:val="0"/>
              <w:divBdr>
                <w:top w:val="none" w:sz="0" w:space="0" w:color="auto"/>
                <w:left w:val="none" w:sz="0" w:space="0" w:color="auto"/>
                <w:bottom w:val="none" w:sz="0" w:space="0" w:color="auto"/>
                <w:right w:val="none" w:sz="0" w:space="0" w:color="auto"/>
              </w:divBdr>
            </w:div>
            <w:div w:id="1646667609">
              <w:marLeft w:val="0"/>
              <w:marRight w:val="0"/>
              <w:marTop w:val="0"/>
              <w:marBottom w:val="0"/>
              <w:divBdr>
                <w:top w:val="none" w:sz="0" w:space="0" w:color="auto"/>
                <w:left w:val="none" w:sz="0" w:space="0" w:color="auto"/>
                <w:bottom w:val="none" w:sz="0" w:space="0" w:color="auto"/>
                <w:right w:val="none" w:sz="0" w:space="0" w:color="auto"/>
              </w:divBdr>
            </w:div>
            <w:div w:id="111025697">
              <w:marLeft w:val="0"/>
              <w:marRight w:val="0"/>
              <w:marTop w:val="0"/>
              <w:marBottom w:val="0"/>
              <w:divBdr>
                <w:top w:val="none" w:sz="0" w:space="0" w:color="auto"/>
                <w:left w:val="none" w:sz="0" w:space="0" w:color="auto"/>
                <w:bottom w:val="none" w:sz="0" w:space="0" w:color="auto"/>
                <w:right w:val="none" w:sz="0" w:space="0" w:color="auto"/>
              </w:divBdr>
            </w:div>
            <w:div w:id="1816413788">
              <w:marLeft w:val="0"/>
              <w:marRight w:val="0"/>
              <w:marTop w:val="0"/>
              <w:marBottom w:val="0"/>
              <w:divBdr>
                <w:top w:val="none" w:sz="0" w:space="0" w:color="auto"/>
                <w:left w:val="none" w:sz="0" w:space="0" w:color="auto"/>
                <w:bottom w:val="none" w:sz="0" w:space="0" w:color="auto"/>
                <w:right w:val="none" w:sz="0" w:space="0" w:color="auto"/>
              </w:divBdr>
            </w:div>
            <w:div w:id="1494369709">
              <w:marLeft w:val="0"/>
              <w:marRight w:val="0"/>
              <w:marTop w:val="0"/>
              <w:marBottom w:val="0"/>
              <w:divBdr>
                <w:top w:val="none" w:sz="0" w:space="0" w:color="auto"/>
                <w:left w:val="none" w:sz="0" w:space="0" w:color="auto"/>
                <w:bottom w:val="none" w:sz="0" w:space="0" w:color="auto"/>
                <w:right w:val="none" w:sz="0" w:space="0" w:color="auto"/>
              </w:divBdr>
            </w:div>
            <w:div w:id="307172472">
              <w:marLeft w:val="0"/>
              <w:marRight w:val="0"/>
              <w:marTop w:val="0"/>
              <w:marBottom w:val="0"/>
              <w:divBdr>
                <w:top w:val="none" w:sz="0" w:space="0" w:color="auto"/>
                <w:left w:val="none" w:sz="0" w:space="0" w:color="auto"/>
                <w:bottom w:val="none" w:sz="0" w:space="0" w:color="auto"/>
                <w:right w:val="none" w:sz="0" w:space="0" w:color="auto"/>
              </w:divBdr>
            </w:div>
            <w:div w:id="1523856351">
              <w:marLeft w:val="0"/>
              <w:marRight w:val="0"/>
              <w:marTop w:val="0"/>
              <w:marBottom w:val="0"/>
              <w:divBdr>
                <w:top w:val="none" w:sz="0" w:space="0" w:color="auto"/>
                <w:left w:val="none" w:sz="0" w:space="0" w:color="auto"/>
                <w:bottom w:val="none" w:sz="0" w:space="0" w:color="auto"/>
                <w:right w:val="none" w:sz="0" w:space="0" w:color="auto"/>
              </w:divBdr>
            </w:div>
            <w:div w:id="2025596878">
              <w:marLeft w:val="0"/>
              <w:marRight w:val="0"/>
              <w:marTop w:val="0"/>
              <w:marBottom w:val="0"/>
              <w:divBdr>
                <w:top w:val="none" w:sz="0" w:space="0" w:color="auto"/>
                <w:left w:val="none" w:sz="0" w:space="0" w:color="auto"/>
                <w:bottom w:val="none" w:sz="0" w:space="0" w:color="auto"/>
                <w:right w:val="none" w:sz="0" w:space="0" w:color="auto"/>
              </w:divBdr>
            </w:div>
            <w:div w:id="414592566">
              <w:marLeft w:val="0"/>
              <w:marRight w:val="0"/>
              <w:marTop w:val="0"/>
              <w:marBottom w:val="0"/>
              <w:divBdr>
                <w:top w:val="none" w:sz="0" w:space="0" w:color="auto"/>
                <w:left w:val="none" w:sz="0" w:space="0" w:color="auto"/>
                <w:bottom w:val="none" w:sz="0" w:space="0" w:color="auto"/>
                <w:right w:val="none" w:sz="0" w:space="0" w:color="auto"/>
              </w:divBdr>
            </w:div>
            <w:div w:id="1494445929">
              <w:marLeft w:val="0"/>
              <w:marRight w:val="0"/>
              <w:marTop w:val="0"/>
              <w:marBottom w:val="0"/>
              <w:divBdr>
                <w:top w:val="none" w:sz="0" w:space="0" w:color="auto"/>
                <w:left w:val="none" w:sz="0" w:space="0" w:color="auto"/>
                <w:bottom w:val="none" w:sz="0" w:space="0" w:color="auto"/>
                <w:right w:val="none" w:sz="0" w:space="0" w:color="auto"/>
              </w:divBdr>
            </w:div>
            <w:div w:id="1226528989">
              <w:marLeft w:val="0"/>
              <w:marRight w:val="0"/>
              <w:marTop w:val="0"/>
              <w:marBottom w:val="0"/>
              <w:divBdr>
                <w:top w:val="none" w:sz="0" w:space="0" w:color="auto"/>
                <w:left w:val="none" w:sz="0" w:space="0" w:color="auto"/>
                <w:bottom w:val="none" w:sz="0" w:space="0" w:color="auto"/>
                <w:right w:val="none" w:sz="0" w:space="0" w:color="auto"/>
              </w:divBdr>
            </w:div>
            <w:div w:id="1012683763">
              <w:marLeft w:val="0"/>
              <w:marRight w:val="0"/>
              <w:marTop w:val="0"/>
              <w:marBottom w:val="0"/>
              <w:divBdr>
                <w:top w:val="none" w:sz="0" w:space="0" w:color="auto"/>
                <w:left w:val="none" w:sz="0" w:space="0" w:color="auto"/>
                <w:bottom w:val="none" w:sz="0" w:space="0" w:color="auto"/>
                <w:right w:val="none" w:sz="0" w:space="0" w:color="auto"/>
              </w:divBdr>
            </w:div>
            <w:div w:id="668336397">
              <w:marLeft w:val="0"/>
              <w:marRight w:val="0"/>
              <w:marTop w:val="0"/>
              <w:marBottom w:val="0"/>
              <w:divBdr>
                <w:top w:val="none" w:sz="0" w:space="0" w:color="auto"/>
                <w:left w:val="none" w:sz="0" w:space="0" w:color="auto"/>
                <w:bottom w:val="none" w:sz="0" w:space="0" w:color="auto"/>
                <w:right w:val="none" w:sz="0" w:space="0" w:color="auto"/>
              </w:divBdr>
            </w:div>
            <w:div w:id="1164737319">
              <w:marLeft w:val="0"/>
              <w:marRight w:val="0"/>
              <w:marTop w:val="0"/>
              <w:marBottom w:val="0"/>
              <w:divBdr>
                <w:top w:val="none" w:sz="0" w:space="0" w:color="auto"/>
                <w:left w:val="none" w:sz="0" w:space="0" w:color="auto"/>
                <w:bottom w:val="none" w:sz="0" w:space="0" w:color="auto"/>
                <w:right w:val="none" w:sz="0" w:space="0" w:color="auto"/>
              </w:divBdr>
            </w:div>
            <w:div w:id="748695219">
              <w:marLeft w:val="0"/>
              <w:marRight w:val="0"/>
              <w:marTop w:val="0"/>
              <w:marBottom w:val="0"/>
              <w:divBdr>
                <w:top w:val="none" w:sz="0" w:space="0" w:color="auto"/>
                <w:left w:val="none" w:sz="0" w:space="0" w:color="auto"/>
                <w:bottom w:val="none" w:sz="0" w:space="0" w:color="auto"/>
                <w:right w:val="none" w:sz="0" w:space="0" w:color="auto"/>
              </w:divBdr>
            </w:div>
            <w:div w:id="594557480">
              <w:marLeft w:val="0"/>
              <w:marRight w:val="0"/>
              <w:marTop w:val="0"/>
              <w:marBottom w:val="0"/>
              <w:divBdr>
                <w:top w:val="none" w:sz="0" w:space="0" w:color="auto"/>
                <w:left w:val="none" w:sz="0" w:space="0" w:color="auto"/>
                <w:bottom w:val="none" w:sz="0" w:space="0" w:color="auto"/>
                <w:right w:val="none" w:sz="0" w:space="0" w:color="auto"/>
              </w:divBdr>
            </w:div>
            <w:div w:id="819661429">
              <w:marLeft w:val="0"/>
              <w:marRight w:val="0"/>
              <w:marTop w:val="0"/>
              <w:marBottom w:val="0"/>
              <w:divBdr>
                <w:top w:val="none" w:sz="0" w:space="0" w:color="auto"/>
                <w:left w:val="none" w:sz="0" w:space="0" w:color="auto"/>
                <w:bottom w:val="none" w:sz="0" w:space="0" w:color="auto"/>
                <w:right w:val="none" w:sz="0" w:space="0" w:color="auto"/>
              </w:divBdr>
            </w:div>
            <w:div w:id="1219321477">
              <w:marLeft w:val="0"/>
              <w:marRight w:val="0"/>
              <w:marTop w:val="0"/>
              <w:marBottom w:val="0"/>
              <w:divBdr>
                <w:top w:val="none" w:sz="0" w:space="0" w:color="auto"/>
                <w:left w:val="none" w:sz="0" w:space="0" w:color="auto"/>
                <w:bottom w:val="none" w:sz="0" w:space="0" w:color="auto"/>
                <w:right w:val="none" w:sz="0" w:space="0" w:color="auto"/>
              </w:divBdr>
            </w:div>
            <w:div w:id="678892021">
              <w:marLeft w:val="0"/>
              <w:marRight w:val="0"/>
              <w:marTop w:val="0"/>
              <w:marBottom w:val="0"/>
              <w:divBdr>
                <w:top w:val="none" w:sz="0" w:space="0" w:color="auto"/>
                <w:left w:val="none" w:sz="0" w:space="0" w:color="auto"/>
                <w:bottom w:val="none" w:sz="0" w:space="0" w:color="auto"/>
                <w:right w:val="none" w:sz="0" w:space="0" w:color="auto"/>
              </w:divBdr>
            </w:div>
            <w:div w:id="1756046798">
              <w:marLeft w:val="0"/>
              <w:marRight w:val="0"/>
              <w:marTop w:val="0"/>
              <w:marBottom w:val="0"/>
              <w:divBdr>
                <w:top w:val="none" w:sz="0" w:space="0" w:color="auto"/>
                <w:left w:val="none" w:sz="0" w:space="0" w:color="auto"/>
                <w:bottom w:val="none" w:sz="0" w:space="0" w:color="auto"/>
                <w:right w:val="none" w:sz="0" w:space="0" w:color="auto"/>
              </w:divBdr>
            </w:div>
            <w:div w:id="1541480367">
              <w:marLeft w:val="0"/>
              <w:marRight w:val="0"/>
              <w:marTop w:val="0"/>
              <w:marBottom w:val="0"/>
              <w:divBdr>
                <w:top w:val="none" w:sz="0" w:space="0" w:color="auto"/>
                <w:left w:val="none" w:sz="0" w:space="0" w:color="auto"/>
                <w:bottom w:val="none" w:sz="0" w:space="0" w:color="auto"/>
                <w:right w:val="none" w:sz="0" w:space="0" w:color="auto"/>
              </w:divBdr>
            </w:div>
            <w:div w:id="220793279">
              <w:marLeft w:val="0"/>
              <w:marRight w:val="0"/>
              <w:marTop w:val="0"/>
              <w:marBottom w:val="0"/>
              <w:divBdr>
                <w:top w:val="none" w:sz="0" w:space="0" w:color="auto"/>
                <w:left w:val="none" w:sz="0" w:space="0" w:color="auto"/>
                <w:bottom w:val="none" w:sz="0" w:space="0" w:color="auto"/>
                <w:right w:val="none" w:sz="0" w:space="0" w:color="auto"/>
              </w:divBdr>
            </w:div>
            <w:div w:id="1606110113">
              <w:marLeft w:val="0"/>
              <w:marRight w:val="0"/>
              <w:marTop w:val="0"/>
              <w:marBottom w:val="0"/>
              <w:divBdr>
                <w:top w:val="none" w:sz="0" w:space="0" w:color="auto"/>
                <w:left w:val="none" w:sz="0" w:space="0" w:color="auto"/>
                <w:bottom w:val="none" w:sz="0" w:space="0" w:color="auto"/>
                <w:right w:val="none" w:sz="0" w:space="0" w:color="auto"/>
              </w:divBdr>
            </w:div>
            <w:div w:id="1964572870">
              <w:marLeft w:val="0"/>
              <w:marRight w:val="0"/>
              <w:marTop w:val="0"/>
              <w:marBottom w:val="0"/>
              <w:divBdr>
                <w:top w:val="none" w:sz="0" w:space="0" w:color="auto"/>
                <w:left w:val="none" w:sz="0" w:space="0" w:color="auto"/>
                <w:bottom w:val="none" w:sz="0" w:space="0" w:color="auto"/>
                <w:right w:val="none" w:sz="0" w:space="0" w:color="auto"/>
              </w:divBdr>
            </w:div>
            <w:div w:id="615479929">
              <w:marLeft w:val="0"/>
              <w:marRight w:val="0"/>
              <w:marTop w:val="0"/>
              <w:marBottom w:val="0"/>
              <w:divBdr>
                <w:top w:val="none" w:sz="0" w:space="0" w:color="auto"/>
                <w:left w:val="none" w:sz="0" w:space="0" w:color="auto"/>
                <w:bottom w:val="none" w:sz="0" w:space="0" w:color="auto"/>
                <w:right w:val="none" w:sz="0" w:space="0" w:color="auto"/>
              </w:divBdr>
            </w:div>
            <w:div w:id="604923242">
              <w:marLeft w:val="0"/>
              <w:marRight w:val="0"/>
              <w:marTop w:val="0"/>
              <w:marBottom w:val="0"/>
              <w:divBdr>
                <w:top w:val="none" w:sz="0" w:space="0" w:color="auto"/>
                <w:left w:val="none" w:sz="0" w:space="0" w:color="auto"/>
                <w:bottom w:val="none" w:sz="0" w:space="0" w:color="auto"/>
                <w:right w:val="none" w:sz="0" w:space="0" w:color="auto"/>
              </w:divBdr>
            </w:div>
            <w:div w:id="907113185">
              <w:marLeft w:val="0"/>
              <w:marRight w:val="0"/>
              <w:marTop w:val="0"/>
              <w:marBottom w:val="0"/>
              <w:divBdr>
                <w:top w:val="none" w:sz="0" w:space="0" w:color="auto"/>
                <w:left w:val="none" w:sz="0" w:space="0" w:color="auto"/>
                <w:bottom w:val="none" w:sz="0" w:space="0" w:color="auto"/>
                <w:right w:val="none" w:sz="0" w:space="0" w:color="auto"/>
              </w:divBdr>
            </w:div>
            <w:div w:id="1065490259">
              <w:marLeft w:val="0"/>
              <w:marRight w:val="0"/>
              <w:marTop w:val="0"/>
              <w:marBottom w:val="0"/>
              <w:divBdr>
                <w:top w:val="none" w:sz="0" w:space="0" w:color="auto"/>
                <w:left w:val="none" w:sz="0" w:space="0" w:color="auto"/>
                <w:bottom w:val="none" w:sz="0" w:space="0" w:color="auto"/>
                <w:right w:val="none" w:sz="0" w:space="0" w:color="auto"/>
              </w:divBdr>
            </w:div>
            <w:div w:id="1453286588">
              <w:marLeft w:val="0"/>
              <w:marRight w:val="0"/>
              <w:marTop w:val="0"/>
              <w:marBottom w:val="0"/>
              <w:divBdr>
                <w:top w:val="none" w:sz="0" w:space="0" w:color="auto"/>
                <w:left w:val="none" w:sz="0" w:space="0" w:color="auto"/>
                <w:bottom w:val="none" w:sz="0" w:space="0" w:color="auto"/>
                <w:right w:val="none" w:sz="0" w:space="0" w:color="auto"/>
              </w:divBdr>
            </w:div>
            <w:div w:id="598567576">
              <w:marLeft w:val="0"/>
              <w:marRight w:val="0"/>
              <w:marTop w:val="0"/>
              <w:marBottom w:val="0"/>
              <w:divBdr>
                <w:top w:val="none" w:sz="0" w:space="0" w:color="auto"/>
                <w:left w:val="none" w:sz="0" w:space="0" w:color="auto"/>
                <w:bottom w:val="none" w:sz="0" w:space="0" w:color="auto"/>
                <w:right w:val="none" w:sz="0" w:space="0" w:color="auto"/>
              </w:divBdr>
            </w:div>
            <w:div w:id="2132626717">
              <w:marLeft w:val="0"/>
              <w:marRight w:val="0"/>
              <w:marTop w:val="0"/>
              <w:marBottom w:val="0"/>
              <w:divBdr>
                <w:top w:val="none" w:sz="0" w:space="0" w:color="auto"/>
                <w:left w:val="none" w:sz="0" w:space="0" w:color="auto"/>
                <w:bottom w:val="none" w:sz="0" w:space="0" w:color="auto"/>
                <w:right w:val="none" w:sz="0" w:space="0" w:color="auto"/>
              </w:divBdr>
            </w:div>
            <w:div w:id="1657495428">
              <w:marLeft w:val="0"/>
              <w:marRight w:val="0"/>
              <w:marTop w:val="0"/>
              <w:marBottom w:val="0"/>
              <w:divBdr>
                <w:top w:val="none" w:sz="0" w:space="0" w:color="auto"/>
                <w:left w:val="none" w:sz="0" w:space="0" w:color="auto"/>
                <w:bottom w:val="none" w:sz="0" w:space="0" w:color="auto"/>
                <w:right w:val="none" w:sz="0" w:space="0" w:color="auto"/>
              </w:divBdr>
            </w:div>
            <w:div w:id="1782920680">
              <w:marLeft w:val="0"/>
              <w:marRight w:val="0"/>
              <w:marTop w:val="0"/>
              <w:marBottom w:val="0"/>
              <w:divBdr>
                <w:top w:val="none" w:sz="0" w:space="0" w:color="auto"/>
                <w:left w:val="none" w:sz="0" w:space="0" w:color="auto"/>
                <w:bottom w:val="none" w:sz="0" w:space="0" w:color="auto"/>
                <w:right w:val="none" w:sz="0" w:space="0" w:color="auto"/>
              </w:divBdr>
            </w:div>
            <w:div w:id="456290823">
              <w:marLeft w:val="0"/>
              <w:marRight w:val="0"/>
              <w:marTop w:val="0"/>
              <w:marBottom w:val="0"/>
              <w:divBdr>
                <w:top w:val="none" w:sz="0" w:space="0" w:color="auto"/>
                <w:left w:val="none" w:sz="0" w:space="0" w:color="auto"/>
                <w:bottom w:val="none" w:sz="0" w:space="0" w:color="auto"/>
                <w:right w:val="none" w:sz="0" w:space="0" w:color="auto"/>
              </w:divBdr>
            </w:div>
            <w:div w:id="684601748">
              <w:marLeft w:val="0"/>
              <w:marRight w:val="0"/>
              <w:marTop w:val="0"/>
              <w:marBottom w:val="0"/>
              <w:divBdr>
                <w:top w:val="none" w:sz="0" w:space="0" w:color="auto"/>
                <w:left w:val="none" w:sz="0" w:space="0" w:color="auto"/>
                <w:bottom w:val="none" w:sz="0" w:space="0" w:color="auto"/>
                <w:right w:val="none" w:sz="0" w:space="0" w:color="auto"/>
              </w:divBdr>
            </w:div>
            <w:div w:id="432480106">
              <w:marLeft w:val="0"/>
              <w:marRight w:val="0"/>
              <w:marTop w:val="0"/>
              <w:marBottom w:val="0"/>
              <w:divBdr>
                <w:top w:val="none" w:sz="0" w:space="0" w:color="auto"/>
                <w:left w:val="none" w:sz="0" w:space="0" w:color="auto"/>
                <w:bottom w:val="none" w:sz="0" w:space="0" w:color="auto"/>
                <w:right w:val="none" w:sz="0" w:space="0" w:color="auto"/>
              </w:divBdr>
            </w:div>
            <w:div w:id="935555448">
              <w:marLeft w:val="0"/>
              <w:marRight w:val="0"/>
              <w:marTop w:val="0"/>
              <w:marBottom w:val="0"/>
              <w:divBdr>
                <w:top w:val="none" w:sz="0" w:space="0" w:color="auto"/>
                <w:left w:val="none" w:sz="0" w:space="0" w:color="auto"/>
                <w:bottom w:val="none" w:sz="0" w:space="0" w:color="auto"/>
                <w:right w:val="none" w:sz="0" w:space="0" w:color="auto"/>
              </w:divBdr>
            </w:div>
            <w:div w:id="838425918">
              <w:marLeft w:val="0"/>
              <w:marRight w:val="0"/>
              <w:marTop w:val="0"/>
              <w:marBottom w:val="0"/>
              <w:divBdr>
                <w:top w:val="none" w:sz="0" w:space="0" w:color="auto"/>
                <w:left w:val="none" w:sz="0" w:space="0" w:color="auto"/>
                <w:bottom w:val="none" w:sz="0" w:space="0" w:color="auto"/>
                <w:right w:val="none" w:sz="0" w:space="0" w:color="auto"/>
              </w:divBdr>
            </w:div>
            <w:div w:id="868183144">
              <w:marLeft w:val="0"/>
              <w:marRight w:val="0"/>
              <w:marTop w:val="0"/>
              <w:marBottom w:val="0"/>
              <w:divBdr>
                <w:top w:val="none" w:sz="0" w:space="0" w:color="auto"/>
                <w:left w:val="none" w:sz="0" w:space="0" w:color="auto"/>
                <w:bottom w:val="none" w:sz="0" w:space="0" w:color="auto"/>
                <w:right w:val="none" w:sz="0" w:space="0" w:color="auto"/>
              </w:divBdr>
            </w:div>
            <w:div w:id="1881743477">
              <w:marLeft w:val="0"/>
              <w:marRight w:val="0"/>
              <w:marTop w:val="0"/>
              <w:marBottom w:val="0"/>
              <w:divBdr>
                <w:top w:val="none" w:sz="0" w:space="0" w:color="auto"/>
                <w:left w:val="none" w:sz="0" w:space="0" w:color="auto"/>
                <w:bottom w:val="none" w:sz="0" w:space="0" w:color="auto"/>
                <w:right w:val="none" w:sz="0" w:space="0" w:color="auto"/>
              </w:divBdr>
            </w:div>
            <w:div w:id="65538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036256">
      <w:bodyDiv w:val="1"/>
      <w:marLeft w:val="0"/>
      <w:marRight w:val="0"/>
      <w:marTop w:val="0"/>
      <w:marBottom w:val="0"/>
      <w:divBdr>
        <w:top w:val="none" w:sz="0" w:space="0" w:color="auto"/>
        <w:left w:val="none" w:sz="0" w:space="0" w:color="auto"/>
        <w:bottom w:val="none" w:sz="0" w:space="0" w:color="auto"/>
        <w:right w:val="none" w:sz="0" w:space="0" w:color="auto"/>
      </w:divBdr>
      <w:divsChild>
        <w:div w:id="1580017520">
          <w:marLeft w:val="0"/>
          <w:marRight w:val="0"/>
          <w:marTop w:val="0"/>
          <w:marBottom w:val="0"/>
          <w:divBdr>
            <w:top w:val="none" w:sz="0" w:space="0" w:color="auto"/>
            <w:left w:val="none" w:sz="0" w:space="0" w:color="auto"/>
            <w:bottom w:val="none" w:sz="0" w:space="0" w:color="auto"/>
            <w:right w:val="none" w:sz="0" w:space="0" w:color="auto"/>
          </w:divBdr>
        </w:div>
        <w:div w:id="215817919">
          <w:marLeft w:val="0"/>
          <w:marRight w:val="0"/>
          <w:marTop w:val="0"/>
          <w:marBottom w:val="0"/>
          <w:divBdr>
            <w:top w:val="none" w:sz="0" w:space="0" w:color="auto"/>
            <w:left w:val="none" w:sz="0" w:space="0" w:color="auto"/>
            <w:bottom w:val="none" w:sz="0" w:space="0" w:color="auto"/>
            <w:right w:val="none" w:sz="0" w:space="0" w:color="auto"/>
          </w:divBdr>
        </w:div>
        <w:div w:id="88742992">
          <w:marLeft w:val="0"/>
          <w:marRight w:val="0"/>
          <w:marTop w:val="0"/>
          <w:marBottom w:val="0"/>
          <w:divBdr>
            <w:top w:val="none" w:sz="0" w:space="0" w:color="auto"/>
            <w:left w:val="none" w:sz="0" w:space="0" w:color="auto"/>
            <w:bottom w:val="none" w:sz="0" w:space="0" w:color="auto"/>
            <w:right w:val="none" w:sz="0" w:space="0" w:color="auto"/>
          </w:divBdr>
        </w:div>
        <w:div w:id="829640796">
          <w:marLeft w:val="0"/>
          <w:marRight w:val="0"/>
          <w:marTop w:val="0"/>
          <w:marBottom w:val="0"/>
          <w:divBdr>
            <w:top w:val="none" w:sz="0" w:space="0" w:color="auto"/>
            <w:left w:val="none" w:sz="0" w:space="0" w:color="auto"/>
            <w:bottom w:val="none" w:sz="0" w:space="0" w:color="auto"/>
            <w:right w:val="none" w:sz="0" w:space="0" w:color="auto"/>
          </w:divBdr>
        </w:div>
        <w:div w:id="154075532">
          <w:marLeft w:val="0"/>
          <w:marRight w:val="0"/>
          <w:marTop w:val="0"/>
          <w:marBottom w:val="0"/>
          <w:divBdr>
            <w:top w:val="none" w:sz="0" w:space="0" w:color="auto"/>
            <w:left w:val="none" w:sz="0" w:space="0" w:color="auto"/>
            <w:bottom w:val="none" w:sz="0" w:space="0" w:color="auto"/>
            <w:right w:val="none" w:sz="0" w:space="0" w:color="auto"/>
          </w:divBdr>
        </w:div>
        <w:div w:id="981158245">
          <w:marLeft w:val="0"/>
          <w:marRight w:val="0"/>
          <w:marTop w:val="0"/>
          <w:marBottom w:val="0"/>
          <w:divBdr>
            <w:top w:val="none" w:sz="0" w:space="0" w:color="auto"/>
            <w:left w:val="none" w:sz="0" w:space="0" w:color="auto"/>
            <w:bottom w:val="none" w:sz="0" w:space="0" w:color="auto"/>
            <w:right w:val="none" w:sz="0" w:space="0" w:color="auto"/>
          </w:divBdr>
          <w:divsChild>
            <w:div w:id="1446457735">
              <w:marLeft w:val="0"/>
              <w:marRight w:val="0"/>
              <w:marTop w:val="0"/>
              <w:marBottom w:val="0"/>
              <w:divBdr>
                <w:top w:val="none" w:sz="0" w:space="0" w:color="auto"/>
                <w:left w:val="none" w:sz="0" w:space="0" w:color="auto"/>
                <w:bottom w:val="none" w:sz="0" w:space="0" w:color="auto"/>
                <w:right w:val="none" w:sz="0" w:space="0" w:color="auto"/>
              </w:divBdr>
            </w:div>
            <w:div w:id="722214485">
              <w:marLeft w:val="0"/>
              <w:marRight w:val="0"/>
              <w:marTop w:val="0"/>
              <w:marBottom w:val="0"/>
              <w:divBdr>
                <w:top w:val="none" w:sz="0" w:space="0" w:color="auto"/>
                <w:left w:val="none" w:sz="0" w:space="0" w:color="auto"/>
                <w:bottom w:val="none" w:sz="0" w:space="0" w:color="auto"/>
                <w:right w:val="none" w:sz="0" w:space="0" w:color="auto"/>
              </w:divBdr>
            </w:div>
            <w:div w:id="820272966">
              <w:marLeft w:val="0"/>
              <w:marRight w:val="0"/>
              <w:marTop w:val="0"/>
              <w:marBottom w:val="0"/>
              <w:divBdr>
                <w:top w:val="none" w:sz="0" w:space="0" w:color="auto"/>
                <w:left w:val="none" w:sz="0" w:space="0" w:color="auto"/>
                <w:bottom w:val="none" w:sz="0" w:space="0" w:color="auto"/>
                <w:right w:val="none" w:sz="0" w:space="0" w:color="auto"/>
              </w:divBdr>
            </w:div>
            <w:div w:id="540093420">
              <w:marLeft w:val="0"/>
              <w:marRight w:val="0"/>
              <w:marTop w:val="0"/>
              <w:marBottom w:val="0"/>
              <w:divBdr>
                <w:top w:val="none" w:sz="0" w:space="0" w:color="auto"/>
                <w:left w:val="none" w:sz="0" w:space="0" w:color="auto"/>
                <w:bottom w:val="none" w:sz="0" w:space="0" w:color="auto"/>
                <w:right w:val="none" w:sz="0" w:space="0" w:color="auto"/>
              </w:divBdr>
            </w:div>
            <w:div w:id="196115866">
              <w:marLeft w:val="0"/>
              <w:marRight w:val="0"/>
              <w:marTop w:val="0"/>
              <w:marBottom w:val="0"/>
              <w:divBdr>
                <w:top w:val="none" w:sz="0" w:space="0" w:color="auto"/>
                <w:left w:val="none" w:sz="0" w:space="0" w:color="auto"/>
                <w:bottom w:val="none" w:sz="0" w:space="0" w:color="auto"/>
                <w:right w:val="none" w:sz="0" w:space="0" w:color="auto"/>
              </w:divBdr>
            </w:div>
            <w:div w:id="632829170">
              <w:marLeft w:val="0"/>
              <w:marRight w:val="0"/>
              <w:marTop w:val="0"/>
              <w:marBottom w:val="0"/>
              <w:divBdr>
                <w:top w:val="none" w:sz="0" w:space="0" w:color="auto"/>
                <w:left w:val="none" w:sz="0" w:space="0" w:color="auto"/>
                <w:bottom w:val="none" w:sz="0" w:space="0" w:color="auto"/>
                <w:right w:val="none" w:sz="0" w:space="0" w:color="auto"/>
              </w:divBdr>
            </w:div>
            <w:div w:id="769204711">
              <w:marLeft w:val="0"/>
              <w:marRight w:val="0"/>
              <w:marTop w:val="0"/>
              <w:marBottom w:val="0"/>
              <w:divBdr>
                <w:top w:val="none" w:sz="0" w:space="0" w:color="auto"/>
                <w:left w:val="none" w:sz="0" w:space="0" w:color="auto"/>
                <w:bottom w:val="none" w:sz="0" w:space="0" w:color="auto"/>
                <w:right w:val="none" w:sz="0" w:space="0" w:color="auto"/>
              </w:divBdr>
            </w:div>
            <w:div w:id="823738436">
              <w:marLeft w:val="0"/>
              <w:marRight w:val="0"/>
              <w:marTop w:val="0"/>
              <w:marBottom w:val="0"/>
              <w:divBdr>
                <w:top w:val="none" w:sz="0" w:space="0" w:color="auto"/>
                <w:left w:val="none" w:sz="0" w:space="0" w:color="auto"/>
                <w:bottom w:val="none" w:sz="0" w:space="0" w:color="auto"/>
                <w:right w:val="none" w:sz="0" w:space="0" w:color="auto"/>
              </w:divBdr>
            </w:div>
            <w:div w:id="147795037">
              <w:marLeft w:val="0"/>
              <w:marRight w:val="0"/>
              <w:marTop w:val="0"/>
              <w:marBottom w:val="0"/>
              <w:divBdr>
                <w:top w:val="none" w:sz="0" w:space="0" w:color="auto"/>
                <w:left w:val="none" w:sz="0" w:space="0" w:color="auto"/>
                <w:bottom w:val="none" w:sz="0" w:space="0" w:color="auto"/>
                <w:right w:val="none" w:sz="0" w:space="0" w:color="auto"/>
              </w:divBdr>
            </w:div>
            <w:div w:id="284310445">
              <w:marLeft w:val="0"/>
              <w:marRight w:val="0"/>
              <w:marTop w:val="0"/>
              <w:marBottom w:val="0"/>
              <w:divBdr>
                <w:top w:val="none" w:sz="0" w:space="0" w:color="auto"/>
                <w:left w:val="none" w:sz="0" w:space="0" w:color="auto"/>
                <w:bottom w:val="none" w:sz="0" w:space="0" w:color="auto"/>
                <w:right w:val="none" w:sz="0" w:space="0" w:color="auto"/>
              </w:divBdr>
            </w:div>
            <w:div w:id="1859658441">
              <w:marLeft w:val="0"/>
              <w:marRight w:val="0"/>
              <w:marTop w:val="0"/>
              <w:marBottom w:val="0"/>
              <w:divBdr>
                <w:top w:val="none" w:sz="0" w:space="0" w:color="auto"/>
                <w:left w:val="none" w:sz="0" w:space="0" w:color="auto"/>
                <w:bottom w:val="none" w:sz="0" w:space="0" w:color="auto"/>
                <w:right w:val="none" w:sz="0" w:space="0" w:color="auto"/>
              </w:divBdr>
            </w:div>
            <w:div w:id="133183476">
              <w:marLeft w:val="0"/>
              <w:marRight w:val="0"/>
              <w:marTop w:val="0"/>
              <w:marBottom w:val="0"/>
              <w:divBdr>
                <w:top w:val="none" w:sz="0" w:space="0" w:color="auto"/>
                <w:left w:val="none" w:sz="0" w:space="0" w:color="auto"/>
                <w:bottom w:val="none" w:sz="0" w:space="0" w:color="auto"/>
                <w:right w:val="none" w:sz="0" w:space="0" w:color="auto"/>
              </w:divBdr>
            </w:div>
            <w:div w:id="875890002">
              <w:marLeft w:val="0"/>
              <w:marRight w:val="0"/>
              <w:marTop w:val="0"/>
              <w:marBottom w:val="0"/>
              <w:divBdr>
                <w:top w:val="none" w:sz="0" w:space="0" w:color="auto"/>
                <w:left w:val="none" w:sz="0" w:space="0" w:color="auto"/>
                <w:bottom w:val="none" w:sz="0" w:space="0" w:color="auto"/>
                <w:right w:val="none" w:sz="0" w:space="0" w:color="auto"/>
              </w:divBdr>
            </w:div>
            <w:div w:id="564492786">
              <w:marLeft w:val="0"/>
              <w:marRight w:val="0"/>
              <w:marTop w:val="0"/>
              <w:marBottom w:val="0"/>
              <w:divBdr>
                <w:top w:val="none" w:sz="0" w:space="0" w:color="auto"/>
                <w:left w:val="none" w:sz="0" w:space="0" w:color="auto"/>
                <w:bottom w:val="none" w:sz="0" w:space="0" w:color="auto"/>
                <w:right w:val="none" w:sz="0" w:space="0" w:color="auto"/>
              </w:divBdr>
            </w:div>
            <w:div w:id="1866283455">
              <w:marLeft w:val="0"/>
              <w:marRight w:val="0"/>
              <w:marTop w:val="0"/>
              <w:marBottom w:val="0"/>
              <w:divBdr>
                <w:top w:val="none" w:sz="0" w:space="0" w:color="auto"/>
                <w:left w:val="none" w:sz="0" w:space="0" w:color="auto"/>
                <w:bottom w:val="none" w:sz="0" w:space="0" w:color="auto"/>
                <w:right w:val="none" w:sz="0" w:space="0" w:color="auto"/>
              </w:divBdr>
            </w:div>
            <w:div w:id="1988702358">
              <w:marLeft w:val="0"/>
              <w:marRight w:val="0"/>
              <w:marTop w:val="0"/>
              <w:marBottom w:val="0"/>
              <w:divBdr>
                <w:top w:val="none" w:sz="0" w:space="0" w:color="auto"/>
                <w:left w:val="none" w:sz="0" w:space="0" w:color="auto"/>
                <w:bottom w:val="none" w:sz="0" w:space="0" w:color="auto"/>
                <w:right w:val="none" w:sz="0" w:space="0" w:color="auto"/>
              </w:divBdr>
            </w:div>
            <w:div w:id="1970359783">
              <w:marLeft w:val="0"/>
              <w:marRight w:val="0"/>
              <w:marTop w:val="0"/>
              <w:marBottom w:val="0"/>
              <w:divBdr>
                <w:top w:val="none" w:sz="0" w:space="0" w:color="auto"/>
                <w:left w:val="none" w:sz="0" w:space="0" w:color="auto"/>
                <w:bottom w:val="none" w:sz="0" w:space="0" w:color="auto"/>
                <w:right w:val="none" w:sz="0" w:space="0" w:color="auto"/>
              </w:divBdr>
            </w:div>
            <w:div w:id="941375667">
              <w:marLeft w:val="0"/>
              <w:marRight w:val="0"/>
              <w:marTop w:val="0"/>
              <w:marBottom w:val="0"/>
              <w:divBdr>
                <w:top w:val="none" w:sz="0" w:space="0" w:color="auto"/>
                <w:left w:val="none" w:sz="0" w:space="0" w:color="auto"/>
                <w:bottom w:val="none" w:sz="0" w:space="0" w:color="auto"/>
                <w:right w:val="none" w:sz="0" w:space="0" w:color="auto"/>
              </w:divBdr>
            </w:div>
            <w:div w:id="523401530">
              <w:marLeft w:val="0"/>
              <w:marRight w:val="0"/>
              <w:marTop w:val="0"/>
              <w:marBottom w:val="0"/>
              <w:divBdr>
                <w:top w:val="none" w:sz="0" w:space="0" w:color="auto"/>
                <w:left w:val="none" w:sz="0" w:space="0" w:color="auto"/>
                <w:bottom w:val="none" w:sz="0" w:space="0" w:color="auto"/>
                <w:right w:val="none" w:sz="0" w:space="0" w:color="auto"/>
              </w:divBdr>
            </w:div>
            <w:div w:id="1478455630">
              <w:marLeft w:val="0"/>
              <w:marRight w:val="0"/>
              <w:marTop w:val="0"/>
              <w:marBottom w:val="0"/>
              <w:divBdr>
                <w:top w:val="none" w:sz="0" w:space="0" w:color="auto"/>
                <w:left w:val="none" w:sz="0" w:space="0" w:color="auto"/>
                <w:bottom w:val="none" w:sz="0" w:space="0" w:color="auto"/>
                <w:right w:val="none" w:sz="0" w:space="0" w:color="auto"/>
              </w:divBdr>
            </w:div>
            <w:div w:id="1732921815">
              <w:marLeft w:val="0"/>
              <w:marRight w:val="0"/>
              <w:marTop w:val="0"/>
              <w:marBottom w:val="0"/>
              <w:divBdr>
                <w:top w:val="none" w:sz="0" w:space="0" w:color="auto"/>
                <w:left w:val="none" w:sz="0" w:space="0" w:color="auto"/>
                <w:bottom w:val="none" w:sz="0" w:space="0" w:color="auto"/>
                <w:right w:val="none" w:sz="0" w:space="0" w:color="auto"/>
              </w:divBdr>
            </w:div>
            <w:div w:id="1508522566">
              <w:marLeft w:val="0"/>
              <w:marRight w:val="0"/>
              <w:marTop w:val="0"/>
              <w:marBottom w:val="0"/>
              <w:divBdr>
                <w:top w:val="none" w:sz="0" w:space="0" w:color="auto"/>
                <w:left w:val="none" w:sz="0" w:space="0" w:color="auto"/>
                <w:bottom w:val="none" w:sz="0" w:space="0" w:color="auto"/>
                <w:right w:val="none" w:sz="0" w:space="0" w:color="auto"/>
              </w:divBdr>
            </w:div>
            <w:div w:id="690687783">
              <w:marLeft w:val="0"/>
              <w:marRight w:val="0"/>
              <w:marTop w:val="0"/>
              <w:marBottom w:val="0"/>
              <w:divBdr>
                <w:top w:val="none" w:sz="0" w:space="0" w:color="auto"/>
                <w:left w:val="none" w:sz="0" w:space="0" w:color="auto"/>
                <w:bottom w:val="none" w:sz="0" w:space="0" w:color="auto"/>
                <w:right w:val="none" w:sz="0" w:space="0" w:color="auto"/>
              </w:divBdr>
            </w:div>
            <w:div w:id="1454901159">
              <w:marLeft w:val="0"/>
              <w:marRight w:val="0"/>
              <w:marTop w:val="0"/>
              <w:marBottom w:val="0"/>
              <w:divBdr>
                <w:top w:val="none" w:sz="0" w:space="0" w:color="auto"/>
                <w:left w:val="none" w:sz="0" w:space="0" w:color="auto"/>
                <w:bottom w:val="none" w:sz="0" w:space="0" w:color="auto"/>
                <w:right w:val="none" w:sz="0" w:space="0" w:color="auto"/>
              </w:divBdr>
            </w:div>
            <w:div w:id="260182793">
              <w:marLeft w:val="0"/>
              <w:marRight w:val="0"/>
              <w:marTop w:val="0"/>
              <w:marBottom w:val="0"/>
              <w:divBdr>
                <w:top w:val="none" w:sz="0" w:space="0" w:color="auto"/>
                <w:left w:val="none" w:sz="0" w:space="0" w:color="auto"/>
                <w:bottom w:val="none" w:sz="0" w:space="0" w:color="auto"/>
                <w:right w:val="none" w:sz="0" w:space="0" w:color="auto"/>
              </w:divBdr>
            </w:div>
            <w:div w:id="1558973265">
              <w:marLeft w:val="0"/>
              <w:marRight w:val="0"/>
              <w:marTop w:val="0"/>
              <w:marBottom w:val="0"/>
              <w:divBdr>
                <w:top w:val="none" w:sz="0" w:space="0" w:color="auto"/>
                <w:left w:val="none" w:sz="0" w:space="0" w:color="auto"/>
                <w:bottom w:val="none" w:sz="0" w:space="0" w:color="auto"/>
                <w:right w:val="none" w:sz="0" w:space="0" w:color="auto"/>
              </w:divBdr>
            </w:div>
            <w:div w:id="932402063">
              <w:marLeft w:val="0"/>
              <w:marRight w:val="0"/>
              <w:marTop w:val="0"/>
              <w:marBottom w:val="0"/>
              <w:divBdr>
                <w:top w:val="none" w:sz="0" w:space="0" w:color="auto"/>
                <w:left w:val="none" w:sz="0" w:space="0" w:color="auto"/>
                <w:bottom w:val="none" w:sz="0" w:space="0" w:color="auto"/>
                <w:right w:val="none" w:sz="0" w:space="0" w:color="auto"/>
              </w:divBdr>
            </w:div>
            <w:div w:id="1147942208">
              <w:marLeft w:val="0"/>
              <w:marRight w:val="0"/>
              <w:marTop w:val="0"/>
              <w:marBottom w:val="0"/>
              <w:divBdr>
                <w:top w:val="none" w:sz="0" w:space="0" w:color="auto"/>
                <w:left w:val="none" w:sz="0" w:space="0" w:color="auto"/>
                <w:bottom w:val="none" w:sz="0" w:space="0" w:color="auto"/>
                <w:right w:val="none" w:sz="0" w:space="0" w:color="auto"/>
              </w:divBdr>
            </w:div>
            <w:div w:id="1780837717">
              <w:marLeft w:val="0"/>
              <w:marRight w:val="0"/>
              <w:marTop w:val="0"/>
              <w:marBottom w:val="0"/>
              <w:divBdr>
                <w:top w:val="none" w:sz="0" w:space="0" w:color="auto"/>
                <w:left w:val="none" w:sz="0" w:space="0" w:color="auto"/>
                <w:bottom w:val="none" w:sz="0" w:space="0" w:color="auto"/>
                <w:right w:val="none" w:sz="0" w:space="0" w:color="auto"/>
              </w:divBdr>
            </w:div>
            <w:div w:id="1974210548">
              <w:marLeft w:val="0"/>
              <w:marRight w:val="0"/>
              <w:marTop w:val="0"/>
              <w:marBottom w:val="0"/>
              <w:divBdr>
                <w:top w:val="none" w:sz="0" w:space="0" w:color="auto"/>
                <w:left w:val="none" w:sz="0" w:space="0" w:color="auto"/>
                <w:bottom w:val="none" w:sz="0" w:space="0" w:color="auto"/>
                <w:right w:val="none" w:sz="0" w:space="0" w:color="auto"/>
              </w:divBdr>
            </w:div>
            <w:div w:id="409884800">
              <w:marLeft w:val="0"/>
              <w:marRight w:val="0"/>
              <w:marTop w:val="0"/>
              <w:marBottom w:val="0"/>
              <w:divBdr>
                <w:top w:val="none" w:sz="0" w:space="0" w:color="auto"/>
                <w:left w:val="none" w:sz="0" w:space="0" w:color="auto"/>
                <w:bottom w:val="none" w:sz="0" w:space="0" w:color="auto"/>
                <w:right w:val="none" w:sz="0" w:space="0" w:color="auto"/>
              </w:divBdr>
            </w:div>
            <w:div w:id="1071732525">
              <w:marLeft w:val="0"/>
              <w:marRight w:val="0"/>
              <w:marTop w:val="0"/>
              <w:marBottom w:val="0"/>
              <w:divBdr>
                <w:top w:val="none" w:sz="0" w:space="0" w:color="auto"/>
                <w:left w:val="none" w:sz="0" w:space="0" w:color="auto"/>
                <w:bottom w:val="none" w:sz="0" w:space="0" w:color="auto"/>
                <w:right w:val="none" w:sz="0" w:space="0" w:color="auto"/>
              </w:divBdr>
            </w:div>
            <w:div w:id="182943037">
              <w:marLeft w:val="0"/>
              <w:marRight w:val="0"/>
              <w:marTop w:val="0"/>
              <w:marBottom w:val="0"/>
              <w:divBdr>
                <w:top w:val="none" w:sz="0" w:space="0" w:color="auto"/>
                <w:left w:val="none" w:sz="0" w:space="0" w:color="auto"/>
                <w:bottom w:val="none" w:sz="0" w:space="0" w:color="auto"/>
                <w:right w:val="none" w:sz="0" w:space="0" w:color="auto"/>
              </w:divBdr>
            </w:div>
            <w:div w:id="74672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54819">
      <w:bodyDiv w:val="1"/>
      <w:marLeft w:val="0"/>
      <w:marRight w:val="0"/>
      <w:marTop w:val="0"/>
      <w:marBottom w:val="0"/>
      <w:divBdr>
        <w:top w:val="none" w:sz="0" w:space="0" w:color="auto"/>
        <w:left w:val="none" w:sz="0" w:space="0" w:color="auto"/>
        <w:bottom w:val="none" w:sz="0" w:space="0" w:color="auto"/>
        <w:right w:val="none" w:sz="0" w:space="0" w:color="auto"/>
      </w:divBdr>
      <w:divsChild>
        <w:div w:id="2140952889">
          <w:marLeft w:val="0"/>
          <w:marRight w:val="0"/>
          <w:marTop w:val="0"/>
          <w:marBottom w:val="0"/>
          <w:divBdr>
            <w:top w:val="none" w:sz="0" w:space="0" w:color="auto"/>
            <w:left w:val="none" w:sz="0" w:space="0" w:color="auto"/>
            <w:bottom w:val="none" w:sz="0" w:space="0" w:color="auto"/>
            <w:right w:val="none" w:sz="0" w:space="0" w:color="auto"/>
          </w:divBdr>
        </w:div>
        <w:div w:id="2020235073">
          <w:marLeft w:val="0"/>
          <w:marRight w:val="0"/>
          <w:marTop w:val="0"/>
          <w:marBottom w:val="0"/>
          <w:divBdr>
            <w:top w:val="none" w:sz="0" w:space="0" w:color="auto"/>
            <w:left w:val="none" w:sz="0" w:space="0" w:color="auto"/>
            <w:bottom w:val="none" w:sz="0" w:space="0" w:color="auto"/>
            <w:right w:val="none" w:sz="0" w:space="0" w:color="auto"/>
          </w:divBdr>
        </w:div>
        <w:div w:id="336884104">
          <w:marLeft w:val="0"/>
          <w:marRight w:val="0"/>
          <w:marTop w:val="0"/>
          <w:marBottom w:val="0"/>
          <w:divBdr>
            <w:top w:val="none" w:sz="0" w:space="0" w:color="auto"/>
            <w:left w:val="none" w:sz="0" w:space="0" w:color="auto"/>
            <w:bottom w:val="none" w:sz="0" w:space="0" w:color="auto"/>
            <w:right w:val="none" w:sz="0" w:space="0" w:color="auto"/>
          </w:divBdr>
          <w:divsChild>
            <w:div w:id="609632087">
              <w:marLeft w:val="0"/>
              <w:marRight w:val="0"/>
              <w:marTop w:val="0"/>
              <w:marBottom w:val="0"/>
              <w:divBdr>
                <w:top w:val="none" w:sz="0" w:space="0" w:color="auto"/>
                <w:left w:val="none" w:sz="0" w:space="0" w:color="auto"/>
                <w:bottom w:val="none" w:sz="0" w:space="0" w:color="auto"/>
                <w:right w:val="none" w:sz="0" w:space="0" w:color="auto"/>
              </w:divBdr>
              <w:divsChild>
                <w:div w:id="21041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4214">
          <w:marLeft w:val="0"/>
          <w:marRight w:val="0"/>
          <w:marTop w:val="0"/>
          <w:marBottom w:val="0"/>
          <w:divBdr>
            <w:top w:val="none" w:sz="0" w:space="0" w:color="auto"/>
            <w:left w:val="none" w:sz="0" w:space="0" w:color="auto"/>
            <w:bottom w:val="none" w:sz="0" w:space="0" w:color="auto"/>
            <w:right w:val="none" w:sz="0" w:space="0" w:color="auto"/>
          </w:divBdr>
        </w:div>
        <w:div w:id="210965424">
          <w:marLeft w:val="0"/>
          <w:marRight w:val="0"/>
          <w:marTop w:val="0"/>
          <w:marBottom w:val="0"/>
          <w:divBdr>
            <w:top w:val="none" w:sz="0" w:space="0" w:color="auto"/>
            <w:left w:val="none" w:sz="0" w:space="0" w:color="auto"/>
            <w:bottom w:val="none" w:sz="0" w:space="0" w:color="auto"/>
            <w:right w:val="none" w:sz="0" w:space="0" w:color="auto"/>
          </w:divBdr>
        </w:div>
        <w:div w:id="1441415831">
          <w:marLeft w:val="0"/>
          <w:marRight w:val="0"/>
          <w:marTop w:val="0"/>
          <w:marBottom w:val="0"/>
          <w:divBdr>
            <w:top w:val="none" w:sz="0" w:space="0" w:color="auto"/>
            <w:left w:val="none" w:sz="0" w:space="0" w:color="auto"/>
            <w:bottom w:val="none" w:sz="0" w:space="0" w:color="auto"/>
            <w:right w:val="none" w:sz="0" w:space="0" w:color="auto"/>
          </w:divBdr>
        </w:div>
        <w:div w:id="666904329">
          <w:marLeft w:val="0"/>
          <w:marRight w:val="0"/>
          <w:marTop w:val="0"/>
          <w:marBottom w:val="0"/>
          <w:divBdr>
            <w:top w:val="none" w:sz="0" w:space="0" w:color="auto"/>
            <w:left w:val="none" w:sz="0" w:space="0" w:color="auto"/>
            <w:bottom w:val="none" w:sz="0" w:space="0" w:color="auto"/>
            <w:right w:val="none" w:sz="0" w:space="0" w:color="auto"/>
          </w:divBdr>
        </w:div>
        <w:div w:id="216287810">
          <w:marLeft w:val="0"/>
          <w:marRight w:val="0"/>
          <w:marTop w:val="0"/>
          <w:marBottom w:val="0"/>
          <w:divBdr>
            <w:top w:val="none" w:sz="0" w:space="0" w:color="auto"/>
            <w:left w:val="none" w:sz="0" w:space="0" w:color="auto"/>
            <w:bottom w:val="none" w:sz="0" w:space="0" w:color="auto"/>
            <w:right w:val="none" w:sz="0" w:space="0" w:color="auto"/>
          </w:divBdr>
        </w:div>
        <w:div w:id="1574465112">
          <w:marLeft w:val="0"/>
          <w:marRight w:val="0"/>
          <w:marTop w:val="0"/>
          <w:marBottom w:val="0"/>
          <w:divBdr>
            <w:top w:val="none" w:sz="0" w:space="0" w:color="auto"/>
            <w:left w:val="none" w:sz="0" w:space="0" w:color="auto"/>
            <w:bottom w:val="none" w:sz="0" w:space="0" w:color="auto"/>
            <w:right w:val="none" w:sz="0" w:space="0" w:color="auto"/>
          </w:divBdr>
        </w:div>
        <w:div w:id="1060202796">
          <w:marLeft w:val="0"/>
          <w:marRight w:val="0"/>
          <w:marTop w:val="0"/>
          <w:marBottom w:val="0"/>
          <w:divBdr>
            <w:top w:val="none" w:sz="0" w:space="0" w:color="auto"/>
            <w:left w:val="none" w:sz="0" w:space="0" w:color="auto"/>
            <w:bottom w:val="none" w:sz="0" w:space="0" w:color="auto"/>
            <w:right w:val="none" w:sz="0" w:space="0" w:color="auto"/>
          </w:divBdr>
        </w:div>
        <w:div w:id="1402563248">
          <w:marLeft w:val="0"/>
          <w:marRight w:val="0"/>
          <w:marTop w:val="0"/>
          <w:marBottom w:val="0"/>
          <w:divBdr>
            <w:top w:val="none" w:sz="0" w:space="0" w:color="auto"/>
            <w:left w:val="none" w:sz="0" w:space="0" w:color="auto"/>
            <w:bottom w:val="none" w:sz="0" w:space="0" w:color="auto"/>
            <w:right w:val="none" w:sz="0" w:space="0" w:color="auto"/>
          </w:divBdr>
        </w:div>
        <w:div w:id="471754530">
          <w:marLeft w:val="0"/>
          <w:marRight w:val="0"/>
          <w:marTop w:val="0"/>
          <w:marBottom w:val="0"/>
          <w:divBdr>
            <w:top w:val="none" w:sz="0" w:space="0" w:color="auto"/>
            <w:left w:val="none" w:sz="0" w:space="0" w:color="auto"/>
            <w:bottom w:val="none" w:sz="0" w:space="0" w:color="auto"/>
            <w:right w:val="none" w:sz="0" w:space="0" w:color="auto"/>
          </w:divBdr>
        </w:div>
        <w:div w:id="856390651">
          <w:marLeft w:val="0"/>
          <w:marRight w:val="0"/>
          <w:marTop w:val="0"/>
          <w:marBottom w:val="0"/>
          <w:divBdr>
            <w:top w:val="none" w:sz="0" w:space="0" w:color="auto"/>
            <w:left w:val="none" w:sz="0" w:space="0" w:color="auto"/>
            <w:bottom w:val="none" w:sz="0" w:space="0" w:color="auto"/>
            <w:right w:val="none" w:sz="0" w:space="0" w:color="auto"/>
          </w:divBdr>
        </w:div>
        <w:div w:id="61998106">
          <w:marLeft w:val="0"/>
          <w:marRight w:val="0"/>
          <w:marTop w:val="0"/>
          <w:marBottom w:val="0"/>
          <w:divBdr>
            <w:top w:val="none" w:sz="0" w:space="0" w:color="auto"/>
            <w:left w:val="none" w:sz="0" w:space="0" w:color="auto"/>
            <w:bottom w:val="none" w:sz="0" w:space="0" w:color="auto"/>
            <w:right w:val="none" w:sz="0" w:space="0" w:color="auto"/>
          </w:divBdr>
        </w:div>
        <w:div w:id="1763912149">
          <w:marLeft w:val="0"/>
          <w:marRight w:val="0"/>
          <w:marTop w:val="0"/>
          <w:marBottom w:val="0"/>
          <w:divBdr>
            <w:top w:val="none" w:sz="0" w:space="0" w:color="auto"/>
            <w:left w:val="none" w:sz="0" w:space="0" w:color="auto"/>
            <w:bottom w:val="none" w:sz="0" w:space="0" w:color="auto"/>
            <w:right w:val="none" w:sz="0" w:space="0" w:color="auto"/>
          </w:divBdr>
        </w:div>
        <w:div w:id="1798840945">
          <w:marLeft w:val="0"/>
          <w:marRight w:val="0"/>
          <w:marTop w:val="0"/>
          <w:marBottom w:val="0"/>
          <w:divBdr>
            <w:top w:val="none" w:sz="0" w:space="0" w:color="auto"/>
            <w:left w:val="none" w:sz="0" w:space="0" w:color="auto"/>
            <w:bottom w:val="none" w:sz="0" w:space="0" w:color="auto"/>
            <w:right w:val="none" w:sz="0" w:space="0" w:color="auto"/>
          </w:divBdr>
        </w:div>
        <w:div w:id="1441340647">
          <w:marLeft w:val="0"/>
          <w:marRight w:val="0"/>
          <w:marTop w:val="0"/>
          <w:marBottom w:val="0"/>
          <w:divBdr>
            <w:top w:val="none" w:sz="0" w:space="0" w:color="auto"/>
            <w:left w:val="none" w:sz="0" w:space="0" w:color="auto"/>
            <w:bottom w:val="none" w:sz="0" w:space="0" w:color="auto"/>
            <w:right w:val="none" w:sz="0" w:space="0" w:color="auto"/>
          </w:divBdr>
        </w:div>
        <w:div w:id="1832259079">
          <w:marLeft w:val="0"/>
          <w:marRight w:val="0"/>
          <w:marTop w:val="0"/>
          <w:marBottom w:val="0"/>
          <w:divBdr>
            <w:top w:val="none" w:sz="0" w:space="0" w:color="auto"/>
            <w:left w:val="none" w:sz="0" w:space="0" w:color="auto"/>
            <w:bottom w:val="none" w:sz="0" w:space="0" w:color="auto"/>
            <w:right w:val="none" w:sz="0" w:space="0" w:color="auto"/>
          </w:divBdr>
        </w:div>
        <w:div w:id="1050810160">
          <w:marLeft w:val="0"/>
          <w:marRight w:val="0"/>
          <w:marTop w:val="0"/>
          <w:marBottom w:val="0"/>
          <w:divBdr>
            <w:top w:val="none" w:sz="0" w:space="0" w:color="auto"/>
            <w:left w:val="none" w:sz="0" w:space="0" w:color="auto"/>
            <w:bottom w:val="none" w:sz="0" w:space="0" w:color="auto"/>
            <w:right w:val="none" w:sz="0" w:space="0" w:color="auto"/>
          </w:divBdr>
        </w:div>
        <w:div w:id="257560709">
          <w:marLeft w:val="0"/>
          <w:marRight w:val="0"/>
          <w:marTop w:val="0"/>
          <w:marBottom w:val="0"/>
          <w:divBdr>
            <w:top w:val="none" w:sz="0" w:space="0" w:color="auto"/>
            <w:left w:val="none" w:sz="0" w:space="0" w:color="auto"/>
            <w:bottom w:val="none" w:sz="0" w:space="0" w:color="auto"/>
            <w:right w:val="none" w:sz="0" w:space="0" w:color="auto"/>
          </w:divBdr>
        </w:div>
        <w:div w:id="1517422001">
          <w:marLeft w:val="0"/>
          <w:marRight w:val="0"/>
          <w:marTop w:val="0"/>
          <w:marBottom w:val="0"/>
          <w:divBdr>
            <w:top w:val="none" w:sz="0" w:space="0" w:color="auto"/>
            <w:left w:val="none" w:sz="0" w:space="0" w:color="auto"/>
            <w:bottom w:val="none" w:sz="0" w:space="0" w:color="auto"/>
            <w:right w:val="none" w:sz="0" w:space="0" w:color="auto"/>
          </w:divBdr>
        </w:div>
        <w:div w:id="1373577235">
          <w:marLeft w:val="0"/>
          <w:marRight w:val="0"/>
          <w:marTop w:val="0"/>
          <w:marBottom w:val="0"/>
          <w:divBdr>
            <w:top w:val="none" w:sz="0" w:space="0" w:color="auto"/>
            <w:left w:val="none" w:sz="0" w:space="0" w:color="auto"/>
            <w:bottom w:val="none" w:sz="0" w:space="0" w:color="auto"/>
            <w:right w:val="none" w:sz="0" w:space="0" w:color="auto"/>
          </w:divBdr>
        </w:div>
        <w:div w:id="5793503">
          <w:marLeft w:val="0"/>
          <w:marRight w:val="0"/>
          <w:marTop w:val="0"/>
          <w:marBottom w:val="0"/>
          <w:divBdr>
            <w:top w:val="none" w:sz="0" w:space="0" w:color="auto"/>
            <w:left w:val="none" w:sz="0" w:space="0" w:color="auto"/>
            <w:bottom w:val="none" w:sz="0" w:space="0" w:color="auto"/>
            <w:right w:val="none" w:sz="0" w:space="0" w:color="auto"/>
          </w:divBdr>
        </w:div>
        <w:div w:id="244144029">
          <w:marLeft w:val="0"/>
          <w:marRight w:val="0"/>
          <w:marTop w:val="0"/>
          <w:marBottom w:val="0"/>
          <w:divBdr>
            <w:top w:val="none" w:sz="0" w:space="0" w:color="auto"/>
            <w:left w:val="none" w:sz="0" w:space="0" w:color="auto"/>
            <w:bottom w:val="none" w:sz="0" w:space="0" w:color="auto"/>
            <w:right w:val="none" w:sz="0" w:space="0" w:color="auto"/>
          </w:divBdr>
        </w:div>
        <w:div w:id="1383990216">
          <w:marLeft w:val="0"/>
          <w:marRight w:val="0"/>
          <w:marTop w:val="0"/>
          <w:marBottom w:val="0"/>
          <w:divBdr>
            <w:top w:val="none" w:sz="0" w:space="0" w:color="auto"/>
            <w:left w:val="none" w:sz="0" w:space="0" w:color="auto"/>
            <w:bottom w:val="none" w:sz="0" w:space="0" w:color="auto"/>
            <w:right w:val="none" w:sz="0" w:space="0" w:color="auto"/>
          </w:divBdr>
        </w:div>
        <w:div w:id="737167752">
          <w:marLeft w:val="0"/>
          <w:marRight w:val="0"/>
          <w:marTop w:val="0"/>
          <w:marBottom w:val="0"/>
          <w:divBdr>
            <w:top w:val="none" w:sz="0" w:space="0" w:color="auto"/>
            <w:left w:val="none" w:sz="0" w:space="0" w:color="auto"/>
            <w:bottom w:val="none" w:sz="0" w:space="0" w:color="auto"/>
            <w:right w:val="none" w:sz="0" w:space="0" w:color="auto"/>
          </w:divBdr>
          <w:divsChild>
            <w:div w:id="662468337">
              <w:marLeft w:val="0"/>
              <w:marRight w:val="0"/>
              <w:marTop w:val="0"/>
              <w:marBottom w:val="0"/>
              <w:divBdr>
                <w:top w:val="none" w:sz="0" w:space="0" w:color="auto"/>
                <w:left w:val="none" w:sz="0" w:space="0" w:color="auto"/>
                <w:bottom w:val="none" w:sz="0" w:space="0" w:color="auto"/>
                <w:right w:val="none" w:sz="0" w:space="0" w:color="auto"/>
              </w:divBdr>
            </w:div>
          </w:divsChild>
        </w:div>
        <w:div w:id="110519994">
          <w:marLeft w:val="0"/>
          <w:marRight w:val="0"/>
          <w:marTop w:val="0"/>
          <w:marBottom w:val="0"/>
          <w:divBdr>
            <w:top w:val="none" w:sz="0" w:space="0" w:color="auto"/>
            <w:left w:val="none" w:sz="0" w:space="0" w:color="auto"/>
            <w:bottom w:val="none" w:sz="0" w:space="0" w:color="auto"/>
            <w:right w:val="none" w:sz="0" w:space="0" w:color="auto"/>
          </w:divBdr>
        </w:div>
        <w:div w:id="95105239">
          <w:marLeft w:val="0"/>
          <w:marRight w:val="0"/>
          <w:marTop w:val="0"/>
          <w:marBottom w:val="0"/>
          <w:divBdr>
            <w:top w:val="none" w:sz="0" w:space="0" w:color="auto"/>
            <w:left w:val="none" w:sz="0" w:space="0" w:color="auto"/>
            <w:bottom w:val="none" w:sz="0" w:space="0" w:color="auto"/>
            <w:right w:val="none" w:sz="0" w:space="0" w:color="auto"/>
          </w:divBdr>
        </w:div>
        <w:div w:id="927544757">
          <w:marLeft w:val="0"/>
          <w:marRight w:val="0"/>
          <w:marTop w:val="0"/>
          <w:marBottom w:val="0"/>
          <w:divBdr>
            <w:top w:val="none" w:sz="0" w:space="0" w:color="auto"/>
            <w:left w:val="none" w:sz="0" w:space="0" w:color="auto"/>
            <w:bottom w:val="none" w:sz="0" w:space="0" w:color="auto"/>
            <w:right w:val="none" w:sz="0" w:space="0" w:color="auto"/>
          </w:divBdr>
        </w:div>
        <w:div w:id="197865058">
          <w:marLeft w:val="0"/>
          <w:marRight w:val="0"/>
          <w:marTop w:val="0"/>
          <w:marBottom w:val="0"/>
          <w:divBdr>
            <w:top w:val="none" w:sz="0" w:space="0" w:color="auto"/>
            <w:left w:val="none" w:sz="0" w:space="0" w:color="auto"/>
            <w:bottom w:val="none" w:sz="0" w:space="0" w:color="auto"/>
            <w:right w:val="none" w:sz="0" w:space="0" w:color="auto"/>
          </w:divBdr>
        </w:div>
        <w:div w:id="1941526721">
          <w:marLeft w:val="0"/>
          <w:marRight w:val="0"/>
          <w:marTop w:val="0"/>
          <w:marBottom w:val="0"/>
          <w:divBdr>
            <w:top w:val="none" w:sz="0" w:space="0" w:color="auto"/>
            <w:left w:val="none" w:sz="0" w:space="0" w:color="auto"/>
            <w:bottom w:val="none" w:sz="0" w:space="0" w:color="auto"/>
            <w:right w:val="none" w:sz="0" w:space="0" w:color="auto"/>
          </w:divBdr>
        </w:div>
        <w:div w:id="2143422916">
          <w:marLeft w:val="0"/>
          <w:marRight w:val="0"/>
          <w:marTop w:val="0"/>
          <w:marBottom w:val="0"/>
          <w:divBdr>
            <w:top w:val="none" w:sz="0" w:space="0" w:color="auto"/>
            <w:left w:val="none" w:sz="0" w:space="0" w:color="auto"/>
            <w:bottom w:val="none" w:sz="0" w:space="0" w:color="auto"/>
            <w:right w:val="none" w:sz="0" w:space="0" w:color="auto"/>
          </w:divBdr>
        </w:div>
        <w:div w:id="698510180">
          <w:marLeft w:val="0"/>
          <w:marRight w:val="0"/>
          <w:marTop w:val="0"/>
          <w:marBottom w:val="0"/>
          <w:divBdr>
            <w:top w:val="none" w:sz="0" w:space="0" w:color="auto"/>
            <w:left w:val="none" w:sz="0" w:space="0" w:color="auto"/>
            <w:bottom w:val="none" w:sz="0" w:space="0" w:color="auto"/>
            <w:right w:val="none" w:sz="0" w:space="0" w:color="auto"/>
          </w:divBdr>
        </w:div>
        <w:div w:id="1892884971">
          <w:marLeft w:val="0"/>
          <w:marRight w:val="0"/>
          <w:marTop w:val="0"/>
          <w:marBottom w:val="0"/>
          <w:divBdr>
            <w:top w:val="none" w:sz="0" w:space="0" w:color="auto"/>
            <w:left w:val="none" w:sz="0" w:space="0" w:color="auto"/>
            <w:bottom w:val="none" w:sz="0" w:space="0" w:color="auto"/>
            <w:right w:val="none" w:sz="0" w:space="0" w:color="auto"/>
          </w:divBdr>
        </w:div>
        <w:div w:id="1138958356">
          <w:marLeft w:val="0"/>
          <w:marRight w:val="0"/>
          <w:marTop w:val="0"/>
          <w:marBottom w:val="0"/>
          <w:divBdr>
            <w:top w:val="none" w:sz="0" w:space="0" w:color="auto"/>
            <w:left w:val="none" w:sz="0" w:space="0" w:color="auto"/>
            <w:bottom w:val="none" w:sz="0" w:space="0" w:color="auto"/>
            <w:right w:val="none" w:sz="0" w:space="0" w:color="auto"/>
          </w:divBdr>
        </w:div>
        <w:div w:id="886380116">
          <w:marLeft w:val="0"/>
          <w:marRight w:val="0"/>
          <w:marTop w:val="0"/>
          <w:marBottom w:val="0"/>
          <w:divBdr>
            <w:top w:val="none" w:sz="0" w:space="0" w:color="auto"/>
            <w:left w:val="none" w:sz="0" w:space="0" w:color="auto"/>
            <w:bottom w:val="none" w:sz="0" w:space="0" w:color="auto"/>
            <w:right w:val="none" w:sz="0" w:space="0" w:color="auto"/>
          </w:divBdr>
        </w:div>
        <w:div w:id="756363582">
          <w:marLeft w:val="0"/>
          <w:marRight w:val="0"/>
          <w:marTop w:val="0"/>
          <w:marBottom w:val="0"/>
          <w:divBdr>
            <w:top w:val="none" w:sz="0" w:space="0" w:color="auto"/>
            <w:left w:val="none" w:sz="0" w:space="0" w:color="auto"/>
            <w:bottom w:val="none" w:sz="0" w:space="0" w:color="auto"/>
            <w:right w:val="none" w:sz="0" w:space="0" w:color="auto"/>
          </w:divBdr>
        </w:div>
        <w:div w:id="871498158">
          <w:marLeft w:val="0"/>
          <w:marRight w:val="0"/>
          <w:marTop w:val="0"/>
          <w:marBottom w:val="0"/>
          <w:divBdr>
            <w:top w:val="none" w:sz="0" w:space="0" w:color="auto"/>
            <w:left w:val="none" w:sz="0" w:space="0" w:color="auto"/>
            <w:bottom w:val="none" w:sz="0" w:space="0" w:color="auto"/>
            <w:right w:val="none" w:sz="0" w:space="0" w:color="auto"/>
          </w:divBdr>
        </w:div>
        <w:div w:id="1719625985">
          <w:marLeft w:val="0"/>
          <w:marRight w:val="0"/>
          <w:marTop w:val="0"/>
          <w:marBottom w:val="0"/>
          <w:divBdr>
            <w:top w:val="none" w:sz="0" w:space="0" w:color="auto"/>
            <w:left w:val="none" w:sz="0" w:space="0" w:color="auto"/>
            <w:bottom w:val="none" w:sz="0" w:space="0" w:color="auto"/>
            <w:right w:val="none" w:sz="0" w:space="0" w:color="auto"/>
          </w:divBdr>
        </w:div>
        <w:div w:id="1988196446">
          <w:marLeft w:val="0"/>
          <w:marRight w:val="0"/>
          <w:marTop w:val="0"/>
          <w:marBottom w:val="0"/>
          <w:divBdr>
            <w:top w:val="none" w:sz="0" w:space="0" w:color="auto"/>
            <w:left w:val="none" w:sz="0" w:space="0" w:color="auto"/>
            <w:bottom w:val="none" w:sz="0" w:space="0" w:color="auto"/>
            <w:right w:val="none" w:sz="0" w:space="0" w:color="auto"/>
          </w:divBdr>
        </w:div>
        <w:div w:id="1197892098">
          <w:marLeft w:val="0"/>
          <w:marRight w:val="0"/>
          <w:marTop w:val="0"/>
          <w:marBottom w:val="0"/>
          <w:divBdr>
            <w:top w:val="none" w:sz="0" w:space="0" w:color="auto"/>
            <w:left w:val="none" w:sz="0" w:space="0" w:color="auto"/>
            <w:bottom w:val="none" w:sz="0" w:space="0" w:color="auto"/>
            <w:right w:val="none" w:sz="0" w:space="0" w:color="auto"/>
          </w:divBdr>
        </w:div>
        <w:div w:id="195120319">
          <w:marLeft w:val="0"/>
          <w:marRight w:val="0"/>
          <w:marTop w:val="0"/>
          <w:marBottom w:val="0"/>
          <w:divBdr>
            <w:top w:val="none" w:sz="0" w:space="0" w:color="auto"/>
            <w:left w:val="none" w:sz="0" w:space="0" w:color="auto"/>
            <w:bottom w:val="none" w:sz="0" w:space="0" w:color="auto"/>
            <w:right w:val="none" w:sz="0" w:space="0" w:color="auto"/>
          </w:divBdr>
        </w:div>
        <w:div w:id="1584334202">
          <w:marLeft w:val="0"/>
          <w:marRight w:val="0"/>
          <w:marTop w:val="0"/>
          <w:marBottom w:val="0"/>
          <w:divBdr>
            <w:top w:val="none" w:sz="0" w:space="0" w:color="auto"/>
            <w:left w:val="none" w:sz="0" w:space="0" w:color="auto"/>
            <w:bottom w:val="none" w:sz="0" w:space="0" w:color="auto"/>
            <w:right w:val="none" w:sz="0" w:space="0" w:color="auto"/>
          </w:divBdr>
        </w:div>
        <w:div w:id="293829764">
          <w:marLeft w:val="0"/>
          <w:marRight w:val="0"/>
          <w:marTop w:val="0"/>
          <w:marBottom w:val="0"/>
          <w:divBdr>
            <w:top w:val="none" w:sz="0" w:space="0" w:color="auto"/>
            <w:left w:val="none" w:sz="0" w:space="0" w:color="auto"/>
            <w:bottom w:val="none" w:sz="0" w:space="0" w:color="auto"/>
            <w:right w:val="none" w:sz="0" w:space="0" w:color="auto"/>
          </w:divBdr>
        </w:div>
        <w:div w:id="2133093157">
          <w:marLeft w:val="0"/>
          <w:marRight w:val="0"/>
          <w:marTop w:val="0"/>
          <w:marBottom w:val="0"/>
          <w:divBdr>
            <w:top w:val="none" w:sz="0" w:space="0" w:color="auto"/>
            <w:left w:val="none" w:sz="0" w:space="0" w:color="auto"/>
            <w:bottom w:val="none" w:sz="0" w:space="0" w:color="auto"/>
            <w:right w:val="none" w:sz="0" w:space="0" w:color="auto"/>
          </w:divBdr>
        </w:div>
        <w:div w:id="35323944">
          <w:marLeft w:val="0"/>
          <w:marRight w:val="0"/>
          <w:marTop w:val="0"/>
          <w:marBottom w:val="0"/>
          <w:divBdr>
            <w:top w:val="none" w:sz="0" w:space="0" w:color="auto"/>
            <w:left w:val="none" w:sz="0" w:space="0" w:color="auto"/>
            <w:bottom w:val="none" w:sz="0" w:space="0" w:color="auto"/>
            <w:right w:val="none" w:sz="0" w:space="0" w:color="auto"/>
          </w:divBdr>
        </w:div>
        <w:div w:id="199444215">
          <w:marLeft w:val="0"/>
          <w:marRight w:val="0"/>
          <w:marTop w:val="0"/>
          <w:marBottom w:val="0"/>
          <w:divBdr>
            <w:top w:val="none" w:sz="0" w:space="0" w:color="auto"/>
            <w:left w:val="none" w:sz="0" w:space="0" w:color="auto"/>
            <w:bottom w:val="none" w:sz="0" w:space="0" w:color="auto"/>
            <w:right w:val="none" w:sz="0" w:space="0" w:color="auto"/>
          </w:divBdr>
        </w:div>
        <w:div w:id="437993208">
          <w:marLeft w:val="0"/>
          <w:marRight w:val="0"/>
          <w:marTop w:val="0"/>
          <w:marBottom w:val="0"/>
          <w:divBdr>
            <w:top w:val="none" w:sz="0" w:space="0" w:color="auto"/>
            <w:left w:val="none" w:sz="0" w:space="0" w:color="auto"/>
            <w:bottom w:val="none" w:sz="0" w:space="0" w:color="auto"/>
            <w:right w:val="none" w:sz="0" w:space="0" w:color="auto"/>
          </w:divBdr>
        </w:div>
        <w:div w:id="1268856129">
          <w:marLeft w:val="0"/>
          <w:marRight w:val="0"/>
          <w:marTop w:val="0"/>
          <w:marBottom w:val="0"/>
          <w:divBdr>
            <w:top w:val="none" w:sz="0" w:space="0" w:color="auto"/>
            <w:left w:val="none" w:sz="0" w:space="0" w:color="auto"/>
            <w:bottom w:val="none" w:sz="0" w:space="0" w:color="auto"/>
            <w:right w:val="none" w:sz="0" w:space="0" w:color="auto"/>
          </w:divBdr>
        </w:div>
        <w:div w:id="638269957">
          <w:marLeft w:val="0"/>
          <w:marRight w:val="0"/>
          <w:marTop w:val="0"/>
          <w:marBottom w:val="0"/>
          <w:divBdr>
            <w:top w:val="none" w:sz="0" w:space="0" w:color="auto"/>
            <w:left w:val="none" w:sz="0" w:space="0" w:color="auto"/>
            <w:bottom w:val="none" w:sz="0" w:space="0" w:color="auto"/>
            <w:right w:val="none" w:sz="0" w:space="0" w:color="auto"/>
          </w:divBdr>
        </w:div>
        <w:div w:id="1907102676">
          <w:marLeft w:val="0"/>
          <w:marRight w:val="0"/>
          <w:marTop w:val="0"/>
          <w:marBottom w:val="0"/>
          <w:divBdr>
            <w:top w:val="none" w:sz="0" w:space="0" w:color="auto"/>
            <w:left w:val="none" w:sz="0" w:space="0" w:color="auto"/>
            <w:bottom w:val="none" w:sz="0" w:space="0" w:color="auto"/>
            <w:right w:val="none" w:sz="0" w:space="0" w:color="auto"/>
          </w:divBdr>
        </w:div>
        <w:div w:id="1086609839">
          <w:marLeft w:val="0"/>
          <w:marRight w:val="0"/>
          <w:marTop w:val="0"/>
          <w:marBottom w:val="0"/>
          <w:divBdr>
            <w:top w:val="none" w:sz="0" w:space="0" w:color="auto"/>
            <w:left w:val="none" w:sz="0" w:space="0" w:color="auto"/>
            <w:bottom w:val="none" w:sz="0" w:space="0" w:color="auto"/>
            <w:right w:val="none" w:sz="0" w:space="0" w:color="auto"/>
          </w:divBdr>
        </w:div>
        <w:div w:id="524100274">
          <w:marLeft w:val="0"/>
          <w:marRight w:val="0"/>
          <w:marTop w:val="0"/>
          <w:marBottom w:val="0"/>
          <w:divBdr>
            <w:top w:val="none" w:sz="0" w:space="0" w:color="auto"/>
            <w:left w:val="none" w:sz="0" w:space="0" w:color="auto"/>
            <w:bottom w:val="none" w:sz="0" w:space="0" w:color="auto"/>
            <w:right w:val="none" w:sz="0" w:space="0" w:color="auto"/>
          </w:divBdr>
        </w:div>
        <w:div w:id="451705538">
          <w:marLeft w:val="0"/>
          <w:marRight w:val="0"/>
          <w:marTop w:val="0"/>
          <w:marBottom w:val="0"/>
          <w:divBdr>
            <w:top w:val="none" w:sz="0" w:space="0" w:color="auto"/>
            <w:left w:val="none" w:sz="0" w:space="0" w:color="auto"/>
            <w:bottom w:val="none" w:sz="0" w:space="0" w:color="auto"/>
            <w:right w:val="none" w:sz="0" w:space="0" w:color="auto"/>
          </w:divBdr>
        </w:div>
        <w:div w:id="249512091">
          <w:marLeft w:val="0"/>
          <w:marRight w:val="0"/>
          <w:marTop w:val="0"/>
          <w:marBottom w:val="0"/>
          <w:divBdr>
            <w:top w:val="none" w:sz="0" w:space="0" w:color="auto"/>
            <w:left w:val="none" w:sz="0" w:space="0" w:color="auto"/>
            <w:bottom w:val="none" w:sz="0" w:space="0" w:color="auto"/>
            <w:right w:val="none" w:sz="0" w:space="0" w:color="auto"/>
          </w:divBdr>
        </w:div>
        <w:div w:id="364411752">
          <w:marLeft w:val="0"/>
          <w:marRight w:val="0"/>
          <w:marTop w:val="0"/>
          <w:marBottom w:val="0"/>
          <w:divBdr>
            <w:top w:val="none" w:sz="0" w:space="0" w:color="auto"/>
            <w:left w:val="none" w:sz="0" w:space="0" w:color="auto"/>
            <w:bottom w:val="none" w:sz="0" w:space="0" w:color="auto"/>
            <w:right w:val="none" w:sz="0" w:space="0" w:color="auto"/>
          </w:divBdr>
        </w:div>
        <w:div w:id="2054115471">
          <w:marLeft w:val="0"/>
          <w:marRight w:val="0"/>
          <w:marTop w:val="0"/>
          <w:marBottom w:val="0"/>
          <w:divBdr>
            <w:top w:val="none" w:sz="0" w:space="0" w:color="auto"/>
            <w:left w:val="none" w:sz="0" w:space="0" w:color="auto"/>
            <w:bottom w:val="none" w:sz="0" w:space="0" w:color="auto"/>
            <w:right w:val="none" w:sz="0" w:space="0" w:color="auto"/>
          </w:divBdr>
        </w:div>
        <w:div w:id="598103758">
          <w:marLeft w:val="0"/>
          <w:marRight w:val="0"/>
          <w:marTop w:val="0"/>
          <w:marBottom w:val="0"/>
          <w:divBdr>
            <w:top w:val="none" w:sz="0" w:space="0" w:color="auto"/>
            <w:left w:val="none" w:sz="0" w:space="0" w:color="auto"/>
            <w:bottom w:val="none" w:sz="0" w:space="0" w:color="auto"/>
            <w:right w:val="none" w:sz="0" w:space="0" w:color="auto"/>
          </w:divBdr>
        </w:div>
        <w:div w:id="879516079">
          <w:marLeft w:val="0"/>
          <w:marRight w:val="0"/>
          <w:marTop w:val="0"/>
          <w:marBottom w:val="0"/>
          <w:divBdr>
            <w:top w:val="none" w:sz="0" w:space="0" w:color="auto"/>
            <w:left w:val="none" w:sz="0" w:space="0" w:color="auto"/>
            <w:bottom w:val="none" w:sz="0" w:space="0" w:color="auto"/>
            <w:right w:val="none" w:sz="0" w:space="0" w:color="auto"/>
          </w:divBdr>
        </w:div>
        <w:div w:id="935283284">
          <w:marLeft w:val="0"/>
          <w:marRight w:val="0"/>
          <w:marTop w:val="0"/>
          <w:marBottom w:val="0"/>
          <w:divBdr>
            <w:top w:val="none" w:sz="0" w:space="0" w:color="auto"/>
            <w:left w:val="none" w:sz="0" w:space="0" w:color="auto"/>
            <w:bottom w:val="none" w:sz="0" w:space="0" w:color="auto"/>
            <w:right w:val="none" w:sz="0" w:space="0" w:color="auto"/>
          </w:divBdr>
        </w:div>
        <w:div w:id="135148649">
          <w:marLeft w:val="0"/>
          <w:marRight w:val="0"/>
          <w:marTop w:val="0"/>
          <w:marBottom w:val="0"/>
          <w:divBdr>
            <w:top w:val="none" w:sz="0" w:space="0" w:color="auto"/>
            <w:left w:val="none" w:sz="0" w:space="0" w:color="auto"/>
            <w:bottom w:val="none" w:sz="0" w:space="0" w:color="auto"/>
            <w:right w:val="none" w:sz="0" w:space="0" w:color="auto"/>
          </w:divBdr>
        </w:div>
        <w:div w:id="1172641537">
          <w:marLeft w:val="0"/>
          <w:marRight w:val="0"/>
          <w:marTop w:val="0"/>
          <w:marBottom w:val="0"/>
          <w:divBdr>
            <w:top w:val="none" w:sz="0" w:space="0" w:color="auto"/>
            <w:left w:val="none" w:sz="0" w:space="0" w:color="auto"/>
            <w:bottom w:val="none" w:sz="0" w:space="0" w:color="auto"/>
            <w:right w:val="none" w:sz="0" w:space="0" w:color="auto"/>
          </w:divBdr>
        </w:div>
        <w:div w:id="446236987">
          <w:marLeft w:val="0"/>
          <w:marRight w:val="0"/>
          <w:marTop w:val="0"/>
          <w:marBottom w:val="0"/>
          <w:divBdr>
            <w:top w:val="none" w:sz="0" w:space="0" w:color="auto"/>
            <w:left w:val="none" w:sz="0" w:space="0" w:color="auto"/>
            <w:bottom w:val="none" w:sz="0" w:space="0" w:color="auto"/>
            <w:right w:val="none" w:sz="0" w:space="0" w:color="auto"/>
          </w:divBdr>
        </w:div>
        <w:div w:id="476462253">
          <w:marLeft w:val="0"/>
          <w:marRight w:val="0"/>
          <w:marTop w:val="0"/>
          <w:marBottom w:val="0"/>
          <w:divBdr>
            <w:top w:val="none" w:sz="0" w:space="0" w:color="auto"/>
            <w:left w:val="none" w:sz="0" w:space="0" w:color="auto"/>
            <w:bottom w:val="none" w:sz="0" w:space="0" w:color="auto"/>
            <w:right w:val="none" w:sz="0" w:space="0" w:color="auto"/>
          </w:divBdr>
        </w:div>
        <w:div w:id="1509977578">
          <w:marLeft w:val="0"/>
          <w:marRight w:val="0"/>
          <w:marTop w:val="0"/>
          <w:marBottom w:val="0"/>
          <w:divBdr>
            <w:top w:val="none" w:sz="0" w:space="0" w:color="auto"/>
            <w:left w:val="none" w:sz="0" w:space="0" w:color="auto"/>
            <w:bottom w:val="none" w:sz="0" w:space="0" w:color="auto"/>
            <w:right w:val="none" w:sz="0" w:space="0" w:color="auto"/>
          </w:divBdr>
        </w:div>
        <w:div w:id="1402869535">
          <w:marLeft w:val="0"/>
          <w:marRight w:val="0"/>
          <w:marTop w:val="0"/>
          <w:marBottom w:val="0"/>
          <w:divBdr>
            <w:top w:val="none" w:sz="0" w:space="0" w:color="auto"/>
            <w:left w:val="none" w:sz="0" w:space="0" w:color="auto"/>
            <w:bottom w:val="none" w:sz="0" w:space="0" w:color="auto"/>
            <w:right w:val="none" w:sz="0" w:space="0" w:color="auto"/>
          </w:divBdr>
        </w:div>
        <w:div w:id="486363331">
          <w:marLeft w:val="0"/>
          <w:marRight w:val="0"/>
          <w:marTop w:val="0"/>
          <w:marBottom w:val="0"/>
          <w:divBdr>
            <w:top w:val="none" w:sz="0" w:space="0" w:color="auto"/>
            <w:left w:val="none" w:sz="0" w:space="0" w:color="auto"/>
            <w:bottom w:val="none" w:sz="0" w:space="0" w:color="auto"/>
            <w:right w:val="none" w:sz="0" w:space="0" w:color="auto"/>
          </w:divBdr>
        </w:div>
        <w:div w:id="1582636044">
          <w:marLeft w:val="0"/>
          <w:marRight w:val="0"/>
          <w:marTop w:val="0"/>
          <w:marBottom w:val="0"/>
          <w:divBdr>
            <w:top w:val="none" w:sz="0" w:space="0" w:color="auto"/>
            <w:left w:val="none" w:sz="0" w:space="0" w:color="auto"/>
            <w:bottom w:val="none" w:sz="0" w:space="0" w:color="auto"/>
            <w:right w:val="none" w:sz="0" w:space="0" w:color="auto"/>
          </w:divBdr>
        </w:div>
        <w:div w:id="1973827319">
          <w:marLeft w:val="0"/>
          <w:marRight w:val="0"/>
          <w:marTop w:val="0"/>
          <w:marBottom w:val="0"/>
          <w:divBdr>
            <w:top w:val="none" w:sz="0" w:space="0" w:color="auto"/>
            <w:left w:val="none" w:sz="0" w:space="0" w:color="auto"/>
            <w:bottom w:val="none" w:sz="0" w:space="0" w:color="auto"/>
            <w:right w:val="none" w:sz="0" w:space="0" w:color="auto"/>
          </w:divBdr>
        </w:div>
        <w:div w:id="993527143">
          <w:marLeft w:val="0"/>
          <w:marRight w:val="0"/>
          <w:marTop w:val="0"/>
          <w:marBottom w:val="0"/>
          <w:divBdr>
            <w:top w:val="none" w:sz="0" w:space="0" w:color="auto"/>
            <w:left w:val="none" w:sz="0" w:space="0" w:color="auto"/>
            <w:bottom w:val="none" w:sz="0" w:space="0" w:color="auto"/>
            <w:right w:val="none" w:sz="0" w:space="0" w:color="auto"/>
          </w:divBdr>
        </w:div>
        <w:div w:id="1036389190">
          <w:marLeft w:val="0"/>
          <w:marRight w:val="0"/>
          <w:marTop w:val="0"/>
          <w:marBottom w:val="0"/>
          <w:divBdr>
            <w:top w:val="none" w:sz="0" w:space="0" w:color="auto"/>
            <w:left w:val="none" w:sz="0" w:space="0" w:color="auto"/>
            <w:bottom w:val="none" w:sz="0" w:space="0" w:color="auto"/>
            <w:right w:val="none" w:sz="0" w:space="0" w:color="auto"/>
          </w:divBdr>
        </w:div>
        <w:div w:id="8683381">
          <w:marLeft w:val="0"/>
          <w:marRight w:val="0"/>
          <w:marTop w:val="0"/>
          <w:marBottom w:val="0"/>
          <w:divBdr>
            <w:top w:val="none" w:sz="0" w:space="0" w:color="auto"/>
            <w:left w:val="none" w:sz="0" w:space="0" w:color="auto"/>
            <w:bottom w:val="none" w:sz="0" w:space="0" w:color="auto"/>
            <w:right w:val="none" w:sz="0" w:space="0" w:color="auto"/>
          </w:divBdr>
        </w:div>
        <w:div w:id="1318269213">
          <w:marLeft w:val="0"/>
          <w:marRight w:val="0"/>
          <w:marTop w:val="0"/>
          <w:marBottom w:val="0"/>
          <w:divBdr>
            <w:top w:val="none" w:sz="0" w:space="0" w:color="auto"/>
            <w:left w:val="none" w:sz="0" w:space="0" w:color="auto"/>
            <w:bottom w:val="none" w:sz="0" w:space="0" w:color="auto"/>
            <w:right w:val="none" w:sz="0" w:space="0" w:color="auto"/>
          </w:divBdr>
        </w:div>
        <w:div w:id="1174101668">
          <w:marLeft w:val="0"/>
          <w:marRight w:val="0"/>
          <w:marTop w:val="0"/>
          <w:marBottom w:val="0"/>
          <w:divBdr>
            <w:top w:val="none" w:sz="0" w:space="0" w:color="auto"/>
            <w:left w:val="none" w:sz="0" w:space="0" w:color="auto"/>
            <w:bottom w:val="none" w:sz="0" w:space="0" w:color="auto"/>
            <w:right w:val="none" w:sz="0" w:space="0" w:color="auto"/>
          </w:divBdr>
        </w:div>
        <w:div w:id="1693452727">
          <w:marLeft w:val="0"/>
          <w:marRight w:val="0"/>
          <w:marTop w:val="0"/>
          <w:marBottom w:val="0"/>
          <w:divBdr>
            <w:top w:val="none" w:sz="0" w:space="0" w:color="auto"/>
            <w:left w:val="none" w:sz="0" w:space="0" w:color="auto"/>
            <w:bottom w:val="none" w:sz="0" w:space="0" w:color="auto"/>
            <w:right w:val="none" w:sz="0" w:space="0" w:color="auto"/>
          </w:divBdr>
        </w:div>
        <w:div w:id="712077029">
          <w:marLeft w:val="0"/>
          <w:marRight w:val="0"/>
          <w:marTop w:val="0"/>
          <w:marBottom w:val="0"/>
          <w:divBdr>
            <w:top w:val="none" w:sz="0" w:space="0" w:color="auto"/>
            <w:left w:val="none" w:sz="0" w:space="0" w:color="auto"/>
            <w:bottom w:val="none" w:sz="0" w:space="0" w:color="auto"/>
            <w:right w:val="none" w:sz="0" w:space="0" w:color="auto"/>
          </w:divBdr>
        </w:div>
        <w:div w:id="2088139777">
          <w:marLeft w:val="0"/>
          <w:marRight w:val="0"/>
          <w:marTop w:val="0"/>
          <w:marBottom w:val="0"/>
          <w:divBdr>
            <w:top w:val="none" w:sz="0" w:space="0" w:color="auto"/>
            <w:left w:val="none" w:sz="0" w:space="0" w:color="auto"/>
            <w:bottom w:val="none" w:sz="0" w:space="0" w:color="auto"/>
            <w:right w:val="none" w:sz="0" w:space="0" w:color="auto"/>
          </w:divBdr>
        </w:div>
        <w:div w:id="1713385476">
          <w:marLeft w:val="0"/>
          <w:marRight w:val="0"/>
          <w:marTop w:val="0"/>
          <w:marBottom w:val="0"/>
          <w:divBdr>
            <w:top w:val="none" w:sz="0" w:space="0" w:color="auto"/>
            <w:left w:val="none" w:sz="0" w:space="0" w:color="auto"/>
            <w:bottom w:val="none" w:sz="0" w:space="0" w:color="auto"/>
            <w:right w:val="none" w:sz="0" w:space="0" w:color="auto"/>
          </w:divBdr>
        </w:div>
        <w:div w:id="803546576">
          <w:marLeft w:val="0"/>
          <w:marRight w:val="0"/>
          <w:marTop w:val="0"/>
          <w:marBottom w:val="0"/>
          <w:divBdr>
            <w:top w:val="none" w:sz="0" w:space="0" w:color="auto"/>
            <w:left w:val="none" w:sz="0" w:space="0" w:color="auto"/>
            <w:bottom w:val="none" w:sz="0" w:space="0" w:color="auto"/>
            <w:right w:val="none" w:sz="0" w:space="0" w:color="auto"/>
          </w:divBdr>
        </w:div>
        <w:div w:id="933132434">
          <w:marLeft w:val="0"/>
          <w:marRight w:val="0"/>
          <w:marTop w:val="0"/>
          <w:marBottom w:val="0"/>
          <w:divBdr>
            <w:top w:val="none" w:sz="0" w:space="0" w:color="auto"/>
            <w:left w:val="none" w:sz="0" w:space="0" w:color="auto"/>
            <w:bottom w:val="none" w:sz="0" w:space="0" w:color="auto"/>
            <w:right w:val="none" w:sz="0" w:space="0" w:color="auto"/>
          </w:divBdr>
        </w:div>
        <w:div w:id="576331335">
          <w:marLeft w:val="0"/>
          <w:marRight w:val="0"/>
          <w:marTop w:val="0"/>
          <w:marBottom w:val="0"/>
          <w:divBdr>
            <w:top w:val="none" w:sz="0" w:space="0" w:color="auto"/>
            <w:left w:val="none" w:sz="0" w:space="0" w:color="auto"/>
            <w:bottom w:val="none" w:sz="0" w:space="0" w:color="auto"/>
            <w:right w:val="none" w:sz="0" w:space="0" w:color="auto"/>
          </w:divBdr>
        </w:div>
        <w:div w:id="377509719">
          <w:marLeft w:val="0"/>
          <w:marRight w:val="0"/>
          <w:marTop w:val="0"/>
          <w:marBottom w:val="0"/>
          <w:divBdr>
            <w:top w:val="none" w:sz="0" w:space="0" w:color="auto"/>
            <w:left w:val="none" w:sz="0" w:space="0" w:color="auto"/>
            <w:bottom w:val="none" w:sz="0" w:space="0" w:color="auto"/>
            <w:right w:val="none" w:sz="0" w:space="0" w:color="auto"/>
          </w:divBdr>
        </w:div>
        <w:div w:id="992216544">
          <w:marLeft w:val="0"/>
          <w:marRight w:val="0"/>
          <w:marTop w:val="0"/>
          <w:marBottom w:val="0"/>
          <w:divBdr>
            <w:top w:val="none" w:sz="0" w:space="0" w:color="auto"/>
            <w:left w:val="none" w:sz="0" w:space="0" w:color="auto"/>
            <w:bottom w:val="none" w:sz="0" w:space="0" w:color="auto"/>
            <w:right w:val="none" w:sz="0" w:space="0" w:color="auto"/>
          </w:divBdr>
        </w:div>
        <w:div w:id="1920869761">
          <w:marLeft w:val="0"/>
          <w:marRight w:val="0"/>
          <w:marTop w:val="0"/>
          <w:marBottom w:val="0"/>
          <w:divBdr>
            <w:top w:val="none" w:sz="0" w:space="0" w:color="auto"/>
            <w:left w:val="none" w:sz="0" w:space="0" w:color="auto"/>
            <w:bottom w:val="none" w:sz="0" w:space="0" w:color="auto"/>
            <w:right w:val="none" w:sz="0" w:space="0" w:color="auto"/>
          </w:divBdr>
        </w:div>
        <w:div w:id="1290474126">
          <w:marLeft w:val="0"/>
          <w:marRight w:val="0"/>
          <w:marTop w:val="0"/>
          <w:marBottom w:val="0"/>
          <w:divBdr>
            <w:top w:val="none" w:sz="0" w:space="0" w:color="auto"/>
            <w:left w:val="none" w:sz="0" w:space="0" w:color="auto"/>
            <w:bottom w:val="none" w:sz="0" w:space="0" w:color="auto"/>
            <w:right w:val="none" w:sz="0" w:space="0" w:color="auto"/>
          </w:divBdr>
        </w:div>
        <w:div w:id="1569808457">
          <w:marLeft w:val="0"/>
          <w:marRight w:val="0"/>
          <w:marTop w:val="0"/>
          <w:marBottom w:val="0"/>
          <w:divBdr>
            <w:top w:val="none" w:sz="0" w:space="0" w:color="auto"/>
            <w:left w:val="none" w:sz="0" w:space="0" w:color="auto"/>
            <w:bottom w:val="none" w:sz="0" w:space="0" w:color="auto"/>
            <w:right w:val="none" w:sz="0" w:space="0" w:color="auto"/>
          </w:divBdr>
        </w:div>
        <w:div w:id="13239067">
          <w:marLeft w:val="0"/>
          <w:marRight w:val="0"/>
          <w:marTop w:val="0"/>
          <w:marBottom w:val="0"/>
          <w:divBdr>
            <w:top w:val="none" w:sz="0" w:space="0" w:color="auto"/>
            <w:left w:val="none" w:sz="0" w:space="0" w:color="auto"/>
            <w:bottom w:val="none" w:sz="0" w:space="0" w:color="auto"/>
            <w:right w:val="none" w:sz="0" w:space="0" w:color="auto"/>
          </w:divBdr>
        </w:div>
        <w:div w:id="520702005">
          <w:marLeft w:val="0"/>
          <w:marRight w:val="0"/>
          <w:marTop w:val="0"/>
          <w:marBottom w:val="0"/>
          <w:divBdr>
            <w:top w:val="none" w:sz="0" w:space="0" w:color="auto"/>
            <w:left w:val="none" w:sz="0" w:space="0" w:color="auto"/>
            <w:bottom w:val="none" w:sz="0" w:space="0" w:color="auto"/>
            <w:right w:val="none" w:sz="0" w:space="0" w:color="auto"/>
          </w:divBdr>
        </w:div>
        <w:div w:id="1023631613">
          <w:marLeft w:val="0"/>
          <w:marRight w:val="0"/>
          <w:marTop w:val="0"/>
          <w:marBottom w:val="0"/>
          <w:divBdr>
            <w:top w:val="none" w:sz="0" w:space="0" w:color="auto"/>
            <w:left w:val="none" w:sz="0" w:space="0" w:color="auto"/>
            <w:bottom w:val="none" w:sz="0" w:space="0" w:color="auto"/>
            <w:right w:val="none" w:sz="0" w:space="0" w:color="auto"/>
          </w:divBdr>
        </w:div>
        <w:div w:id="1805728549">
          <w:marLeft w:val="0"/>
          <w:marRight w:val="0"/>
          <w:marTop w:val="0"/>
          <w:marBottom w:val="0"/>
          <w:divBdr>
            <w:top w:val="none" w:sz="0" w:space="0" w:color="auto"/>
            <w:left w:val="none" w:sz="0" w:space="0" w:color="auto"/>
            <w:bottom w:val="none" w:sz="0" w:space="0" w:color="auto"/>
            <w:right w:val="none" w:sz="0" w:space="0" w:color="auto"/>
          </w:divBdr>
        </w:div>
        <w:div w:id="439029199">
          <w:marLeft w:val="0"/>
          <w:marRight w:val="0"/>
          <w:marTop w:val="0"/>
          <w:marBottom w:val="0"/>
          <w:divBdr>
            <w:top w:val="none" w:sz="0" w:space="0" w:color="auto"/>
            <w:left w:val="none" w:sz="0" w:space="0" w:color="auto"/>
            <w:bottom w:val="none" w:sz="0" w:space="0" w:color="auto"/>
            <w:right w:val="none" w:sz="0" w:space="0" w:color="auto"/>
          </w:divBdr>
        </w:div>
        <w:div w:id="1442917275">
          <w:marLeft w:val="0"/>
          <w:marRight w:val="0"/>
          <w:marTop w:val="0"/>
          <w:marBottom w:val="0"/>
          <w:divBdr>
            <w:top w:val="none" w:sz="0" w:space="0" w:color="auto"/>
            <w:left w:val="none" w:sz="0" w:space="0" w:color="auto"/>
            <w:bottom w:val="none" w:sz="0" w:space="0" w:color="auto"/>
            <w:right w:val="none" w:sz="0" w:space="0" w:color="auto"/>
          </w:divBdr>
        </w:div>
        <w:div w:id="1744138560">
          <w:marLeft w:val="0"/>
          <w:marRight w:val="0"/>
          <w:marTop w:val="0"/>
          <w:marBottom w:val="0"/>
          <w:divBdr>
            <w:top w:val="none" w:sz="0" w:space="0" w:color="auto"/>
            <w:left w:val="none" w:sz="0" w:space="0" w:color="auto"/>
            <w:bottom w:val="none" w:sz="0" w:space="0" w:color="auto"/>
            <w:right w:val="none" w:sz="0" w:space="0" w:color="auto"/>
          </w:divBdr>
        </w:div>
        <w:div w:id="1576553433">
          <w:marLeft w:val="0"/>
          <w:marRight w:val="0"/>
          <w:marTop w:val="0"/>
          <w:marBottom w:val="0"/>
          <w:divBdr>
            <w:top w:val="none" w:sz="0" w:space="0" w:color="auto"/>
            <w:left w:val="none" w:sz="0" w:space="0" w:color="auto"/>
            <w:bottom w:val="none" w:sz="0" w:space="0" w:color="auto"/>
            <w:right w:val="none" w:sz="0" w:space="0" w:color="auto"/>
          </w:divBdr>
        </w:div>
        <w:div w:id="1783526599">
          <w:marLeft w:val="0"/>
          <w:marRight w:val="0"/>
          <w:marTop w:val="0"/>
          <w:marBottom w:val="0"/>
          <w:divBdr>
            <w:top w:val="none" w:sz="0" w:space="0" w:color="auto"/>
            <w:left w:val="none" w:sz="0" w:space="0" w:color="auto"/>
            <w:bottom w:val="none" w:sz="0" w:space="0" w:color="auto"/>
            <w:right w:val="none" w:sz="0" w:space="0" w:color="auto"/>
          </w:divBdr>
        </w:div>
        <w:div w:id="551843881">
          <w:marLeft w:val="0"/>
          <w:marRight w:val="0"/>
          <w:marTop w:val="0"/>
          <w:marBottom w:val="0"/>
          <w:divBdr>
            <w:top w:val="none" w:sz="0" w:space="0" w:color="auto"/>
            <w:left w:val="none" w:sz="0" w:space="0" w:color="auto"/>
            <w:bottom w:val="none" w:sz="0" w:space="0" w:color="auto"/>
            <w:right w:val="none" w:sz="0" w:space="0" w:color="auto"/>
          </w:divBdr>
        </w:div>
        <w:div w:id="1767994927">
          <w:marLeft w:val="0"/>
          <w:marRight w:val="0"/>
          <w:marTop w:val="0"/>
          <w:marBottom w:val="0"/>
          <w:divBdr>
            <w:top w:val="none" w:sz="0" w:space="0" w:color="auto"/>
            <w:left w:val="none" w:sz="0" w:space="0" w:color="auto"/>
            <w:bottom w:val="none" w:sz="0" w:space="0" w:color="auto"/>
            <w:right w:val="none" w:sz="0" w:space="0" w:color="auto"/>
          </w:divBdr>
        </w:div>
        <w:div w:id="134563248">
          <w:marLeft w:val="0"/>
          <w:marRight w:val="0"/>
          <w:marTop w:val="0"/>
          <w:marBottom w:val="0"/>
          <w:divBdr>
            <w:top w:val="none" w:sz="0" w:space="0" w:color="auto"/>
            <w:left w:val="none" w:sz="0" w:space="0" w:color="auto"/>
            <w:bottom w:val="none" w:sz="0" w:space="0" w:color="auto"/>
            <w:right w:val="none" w:sz="0" w:space="0" w:color="auto"/>
          </w:divBdr>
        </w:div>
        <w:div w:id="68699759">
          <w:marLeft w:val="0"/>
          <w:marRight w:val="0"/>
          <w:marTop w:val="0"/>
          <w:marBottom w:val="0"/>
          <w:divBdr>
            <w:top w:val="none" w:sz="0" w:space="0" w:color="auto"/>
            <w:left w:val="none" w:sz="0" w:space="0" w:color="auto"/>
            <w:bottom w:val="none" w:sz="0" w:space="0" w:color="auto"/>
            <w:right w:val="none" w:sz="0" w:space="0" w:color="auto"/>
          </w:divBdr>
        </w:div>
        <w:div w:id="788670044">
          <w:marLeft w:val="0"/>
          <w:marRight w:val="0"/>
          <w:marTop w:val="0"/>
          <w:marBottom w:val="0"/>
          <w:divBdr>
            <w:top w:val="none" w:sz="0" w:space="0" w:color="auto"/>
            <w:left w:val="none" w:sz="0" w:space="0" w:color="auto"/>
            <w:bottom w:val="none" w:sz="0" w:space="0" w:color="auto"/>
            <w:right w:val="none" w:sz="0" w:space="0" w:color="auto"/>
          </w:divBdr>
        </w:div>
        <w:div w:id="751195095">
          <w:marLeft w:val="0"/>
          <w:marRight w:val="0"/>
          <w:marTop w:val="0"/>
          <w:marBottom w:val="0"/>
          <w:divBdr>
            <w:top w:val="none" w:sz="0" w:space="0" w:color="auto"/>
            <w:left w:val="none" w:sz="0" w:space="0" w:color="auto"/>
            <w:bottom w:val="none" w:sz="0" w:space="0" w:color="auto"/>
            <w:right w:val="none" w:sz="0" w:space="0" w:color="auto"/>
          </w:divBdr>
        </w:div>
        <w:div w:id="34887824">
          <w:marLeft w:val="0"/>
          <w:marRight w:val="0"/>
          <w:marTop w:val="0"/>
          <w:marBottom w:val="0"/>
          <w:divBdr>
            <w:top w:val="none" w:sz="0" w:space="0" w:color="auto"/>
            <w:left w:val="none" w:sz="0" w:space="0" w:color="auto"/>
            <w:bottom w:val="none" w:sz="0" w:space="0" w:color="auto"/>
            <w:right w:val="none" w:sz="0" w:space="0" w:color="auto"/>
          </w:divBdr>
        </w:div>
        <w:div w:id="646471010">
          <w:marLeft w:val="0"/>
          <w:marRight w:val="0"/>
          <w:marTop w:val="0"/>
          <w:marBottom w:val="0"/>
          <w:divBdr>
            <w:top w:val="none" w:sz="0" w:space="0" w:color="auto"/>
            <w:left w:val="none" w:sz="0" w:space="0" w:color="auto"/>
            <w:bottom w:val="none" w:sz="0" w:space="0" w:color="auto"/>
            <w:right w:val="none" w:sz="0" w:space="0" w:color="auto"/>
          </w:divBdr>
        </w:div>
        <w:div w:id="402602477">
          <w:marLeft w:val="0"/>
          <w:marRight w:val="0"/>
          <w:marTop w:val="0"/>
          <w:marBottom w:val="0"/>
          <w:divBdr>
            <w:top w:val="none" w:sz="0" w:space="0" w:color="auto"/>
            <w:left w:val="none" w:sz="0" w:space="0" w:color="auto"/>
            <w:bottom w:val="none" w:sz="0" w:space="0" w:color="auto"/>
            <w:right w:val="none" w:sz="0" w:space="0" w:color="auto"/>
          </w:divBdr>
        </w:div>
        <w:div w:id="1547178204">
          <w:marLeft w:val="0"/>
          <w:marRight w:val="0"/>
          <w:marTop w:val="0"/>
          <w:marBottom w:val="0"/>
          <w:divBdr>
            <w:top w:val="none" w:sz="0" w:space="0" w:color="auto"/>
            <w:left w:val="none" w:sz="0" w:space="0" w:color="auto"/>
            <w:bottom w:val="none" w:sz="0" w:space="0" w:color="auto"/>
            <w:right w:val="none" w:sz="0" w:space="0" w:color="auto"/>
          </w:divBdr>
        </w:div>
        <w:div w:id="1191333526">
          <w:marLeft w:val="0"/>
          <w:marRight w:val="0"/>
          <w:marTop w:val="0"/>
          <w:marBottom w:val="0"/>
          <w:divBdr>
            <w:top w:val="none" w:sz="0" w:space="0" w:color="auto"/>
            <w:left w:val="none" w:sz="0" w:space="0" w:color="auto"/>
            <w:bottom w:val="none" w:sz="0" w:space="0" w:color="auto"/>
            <w:right w:val="none" w:sz="0" w:space="0" w:color="auto"/>
          </w:divBdr>
        </w:div>
        <w:div w:id="264928805">
          <w:marLeft w:val="0"/>
          <w:marRight w:val="0"/>
          <w:marTop w:val="0"/>
          <w:marBottom w:val="0"/>
          <w:divBdr>
            <w:top w:val="none" w:sz="0" w:space="0" w:color="auto"/>
            <w:left w:val="none" w:sz="0" w:space="0" w:color="auto"/>
            <w:bottom w:val="none" w:sz="0" w:space="0" w:color="auto"/>
            <w:right w:val="none" w:sz="0" w:space="0" w:color="auto"/>
          </w:divBdr>
          <w:divsChild>
            <w:div w:id="335424459">
              <w:marLeft w:val="0"/>
              <w:marRight w:val="0"/>
              <w:marTop w:val="0"/>
              <w:marBottom w:val="0"/>
              <w:divBdr>
                <w:top w:val="none" w:sz="0" w:space="0" w:color="auto"/>
                <w:left w:val="none" w:sz="0" w:space="0" w:color="auto"/>
                <w:bottom w:val="none" w:sz="0" w:space="0" w:color="auto"/>
                <w:right w:val="none" w:sz="0" w:space="0" w:color="auto"/>
              </w:divBdr>
              <w:divsChild>
                <w:div w:id="165120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22642">
          <w:marLeft w:val="0"/>
          <w:marRight w:val="0"/>
          <w:marTop w:val="0"/>
          <w:marBottom w:val="0"/>
          <w:divBdr>
            <w:top w:val="none" w:sz="0" w:space="0" w:color="auto"/>
            <w:left w:val="none" w:sz="0" w:space="0" w:color="auto"/>
            <w:bottom w:val="none" w:sz="0" w:space="0" w:color="auto"/>
            <w:right w:val="none" w:sz="0" w:space="0" w:color="auto"/>
          </w:divBdr>
        </w:div>
        <w:div w:id="218054596">
          <w:marLeft w:val="0"/>
          <w:marRight w:val="0"/>
          <w:marTop w:val="0"/>
          <w:marBottom w:val="0"/>
          <w:divBdr>
            <w:top w:val="none" w:sz="0" w:space="0" w:color="auto"/>
            <w:left w:val="none" w:sz="0" w:space="0" w:color="auto"/>
            <w:bottom w:val="none" w:sz="0" w:space="0" w:color="auto"/>
            <w:right w:val="none" w:sz="0" w:space="0" w:color="auto"/>
          </w:divBdr>
        </w:div>
        <w:div w:id="1261764802">
          <w:marLeft w:val="0"/>
          <w:marRight w:val="0"/>
          <w:marTop w:val="0"/>
          <w:marBottom w:val="0"/>
          <w:divBdr>
            <w:top w:val="none" w:sz="0" w:space="0" w:color="auto"/>
            <w:left w:val="none" w:sz="0" w:space="0" w:color="auto"/>
            <w:bottom w:val="none" w:sz="0" w:space="0" w:color="auto"/>
            <w:right w:val="none" w:sz="0" w:space="0" w:color="auto"/>
          </w:divBdr>
        </w:div>
        <w:div w:id="317423494">
          <w:marLeft w:val="0"/>
          <w:marRight w:val="0"/>
          <w:marTop w:val="0"/>
          <w:marBottom w:val="0"/>
          <w:divBdr>
            <w:top w:val="none" w:sz="0" w:space="0" w:color="auto"/>
            <w:left w:val="none" w:sz="0" w:space="0" w:color="auto"/>
            <w:bottom w:val="none" w:sz="0" w:space="0" w:color="auto"/>
            <w:right w:val="none" w:sz="0" w:space="0" w:color="auto"/>
          </w:divBdr>
        </w:div>
        <w:div w:id="1557660567">
          <w:marLeft w:val="0"/>
          <w:marRight w:val="0"/>
          <w:marTop w:val="0"/>
          <w:marBottom w:val="0"/>
          <w:divBdr>
            <w:top w:val="none" w:sz="0" w:space="0" w:color="auto"/>
            <w:left w:val="none" w:sz="0" w:space="0" w:color="auto"/>
            <w:bottom w:val="none" w:sz="0" w:space="0" w:color="auto"/>
            <w:right w:val="none" w:sz="0" w:space="0" w:color="auto"/>
          </w:divBdr>
        </w:div>
        <w:div w:id="1050499708">
          <w:marLeft w:val="0"/>
          <w:marRight w:val="0"/>
          <w:marTop w:val="0"/>
          <w:marBottom w:val="0"/>
          <w:divBdr>
            <w:top w:val="none" w:sz="0" w:space="0" w:color="auto"/>
            <w:left w:val="none" w:sz="0" w:space="0" w:color="auto"/>
            <w:bottom w:val="none" w:sz="0" w:space="0" w:color="auto"/>
            <w:right w:val="none" w:sz="0" w:space="0" w:color="auto"/>
          </w:divBdr>
        </w:div>
        <w:div w:id="1656103732">
          <w:marLeft w:val="0"/>
          <w:marRight w:val="0"/>
          <w:marTop w:val="0"/>
          <w:marBottom w:val="0"/>
          <w:divBdr>
            <w:top w:val="none" w:sz="0" w:space="0" w:color="auto"/>
            <w:left w:val="none" w:sz="0" w:space="0" w:color="auto"/>
            <w:bottom w:val="none" w:sz="0" w:space="0" w:color="auto"/>
            <w:right w:val="none" w:sz="0" w:space="0" w:color="auto"/>
          </w:divBdr>
        </w:div>
        <w:div w:id="295987915">
          <w:marLeft w:val="0"/>
          <w:marRight w:val="0"/>
          <w:marTop w:val="0"/>
          <w:marBottom w:val="0"/>
          <w:divBdr>
            <w:top w:val="none" w:sz="0" w:space="0" w:color="auto"/>
            <w:left w:val="none" w:sz="0" w:space="0" w:color="auto"/>
            <w:bottom w:val="none" w:sz="0" w:space="0" w:color="auto"/>
            <w:right w:val="none" w:sz="0" w:space="0" w:color="auto"/>
          </w:divBdr>
        </w:div>
        <w:div w:id="57555240">
          <w:marLeft w:val="0"/>
          <w:marRight w:val="0"/>
          <w:marTop w:val="0"/>
          <w:marBottom w:val="0"/>
          <w:divBdr>
            <w:top w:val="none" w:sz="0" w:space="0" w:color="auto"/>
            <w:left w:val="none" w:sz="0" w:space="0" w:color="auto"/>
            <w:bottom w:val="none" w:sz="0" w:space="0" w:color="auto"/>
            <w:right w:val="none" w:sz="0" w:space="0" w:color="auto"/>
          </w:divBdr>
        </w:div>
        <w:div w:id="1320959391">
          <w:marLeft w:val="0"/>
          <w:marRight w:val="0"/>
          <w:marTop w:val="0"/>
          <w:marBottom w:val="0"/>
          <w:divBdr>
            <w:top w:val="none" w:sz="0" w:space="0" w:color="auto"/>
            <w:left w:val="none" w:sz="0" w:space="0" w:color="auto"/>
            <w:bottom w:val="none" w:sz="0" w:space="0" w:color="auto"/>
            <w:right w:val="none" w:sz="0" w:space="0" w:color="auto"/>
          </w:divBdr>
        </w:div>
        <w:div w:id="381487108">
          <w:marLeft w:val="0"/>
          <w:marRight w:val="0"/>
          <w:marTop w:val="0"/>
          <w:marBottom w:val="0"/>
          <w:divBdr>
            <w:top w:val="none" w:sz="0" w:space="0" w:color="auto"/>
            <w:left w:val="none" w:sz="0" w:space="0" w:color="auto"/>
            <w:bottom w:val="none" w:sz="0" w:space="0" w:color="auto"/>
            <w:right w:val="none" w:sz="0" w:space="0" w:color="auto"/>
          </w:divBdr>
        </w:div>
        <w:div w:id="390151852">
          <w:marLeft w:val="0"/>
          <w:marRight w:val="0"/>
          <w:marTop w:val="0"/>
          <w:marBottom w:val="0"/>
          <w:divBdr>
            <w:top w:val="none" w:sz="0" w:space="0" w:color="auto"/>
            <w:left w:val="none" w:sz="0" w:space="0" w:color="auto"/>
            <w:bottom w:val="none" w:sz="0" w:space="0" w:color="auto"/>
            <w:right w:val="none" w:sz="0" w:space="0" w:color="auto"/>
          </w:divBdr>
        </w:div>
        <w:div w:id="2046058780">
          <w:marLeft w:val="0"/>
          <w:marRight w:val="0"/>
          <w:marTop w:val="0"/>
          <w:marBottom w:val="0"/>
          <w:divBdr>
            <w:top w:val="none" w:sz="0" w:space="0" w:color="auto"/>
            <w:left w:val="none" w:sz="0" w:space="0" w:color="auto"/>
            <w:bottom w:val="none" w:sz="0" w:space="0" w:color="auto"/>
            <w:right w:val="none" w:sz="0" w:space="0" w:color="auto"/>
          </w:divBdr>
        </w:div>
        <w:div w:id="185486717">
          <w:marLeft w:val="0"/>
          <w:marRight w:val="0"/>
          <w:marTop w:val="0"/>
          <w:marBottom w:val="0"/>
          <w:divBdr>
            <w:top w:val="none" w:sz="0" w:space="0" w:color="auto"/>
            <w:left w:val="none" w:sz="0" w:space="0" w:color="auto"/>
            <w:bottom w:val="none" w:sz="0" w:space="0" w:color="auto"/>
            <w:right w:val="none" w:sz="0" w:space="0" w:color="auto"/>
          </w:divBdr>
        </w:div>
        <w:div w:id="1198157895">
          <w:marLeft w:val="0"/>
          <w:marRight w:val="0"/>
          <w:marTop w:val="0"/>
          <w:marBottom w:val="0"/>
          <w:divBdr>
            <w:top w:val="none" w:sz="0" w:space="0" w:color="auto"/>
            <w:left w:val="none" w:sz="0" w:space="0" w:color="auto"/>
            <w:bottom w:val="none" w:sz="0" w:space="0" w:color="auto"/>
            <w:right w:val="none" w:sz="0" w:space="0" w:color="auto"/>
          </w:divBdr>
        </w:div>
        <w:div w:id="1940798520">
          <w:marLeft w:val="0"/>
          <w:marRight w:val="0"/>
          <w:marTop w:val="0"/>
          <w:marBottom w:val="0"/>
          <w:divBdr>
            <w:top w:val="none" w:sz="0" w:space="0" w:color="auto"/>
            <w:left w:val="none" w:sz="0" w:space="0" w:color="auto"/>
            <w:bottom w:val="none" w:sz="0" w:space="0" w:color="auto"/>
            <w:right w:val="none" w:sz="0" w:space="0" w:color="auto"/>
          </w:divBdr>
        </w:div>
        <w:div w:id="1354065017">
          <w:marLeft w:val="0"/>
          <w:marRight w:val="0"/>
          <w:marTop w:val="0"/>
          <w:marBottom w:val="0"/>
          <w:divBdr>
            <w:top w:val="none" w:sz="0" w:space="0" w:color="auto"/>
            <w:left w:val="none" w:sz="0" w:space="0" w:color="auto"/>
            <w:bottom w:val="none" w:sz="0" w:space="0" w:color="auto"/>
            <w:right w:val="none" w:sz="0" w:space="0" w:color="auto"/>
          </w:divBdr>
        </w:div>
        <w:div w:id="674234814">
          <w:marLeft w:val="0"/>
          <w:marRight w:val="0"/>
          <w:marTop w:val="0"/>
          <w:marBottom w:val="0"/>
          <w:divBdr>
            <w:top w:val="none" w:sz="0" w:space="0" w:color="auto"/>
            <w:left w:val="none" w:sz="0" w:space="0" w:color="auto"/>
            <w:bottom w:val="none" w:sz="0" w:space="0" w:color="auto"/>
            <w:right w:val="none" w:sz="0" w:space="0" w:color="auto"/>
          </w:divBdr>
        </w:div>
        <w:div w:id="1749421975">
          <w:marLeft w:val="0"/>
          <w:marRight w:val="0"/>
          <w:marTop w:val="0"/>
          <w:marBottom w:val="0"/>
          <w:divBdr>
            <w:top w:val="none" w:sz="0" w:space="0" w:color="auto"/>
            <w:left w:val="none" w:sz="0" w:space="0" w:color="auto"/>
            <w:bottom w:val="none" w:sz="0" w:space="0" w:color="auto"/>
            <w:right w:val="none" w:sz="0" w:space="0" w:color="auto"/>
          </w:divBdr>
        </w:div>
        <w:div w:id="246959704">
          <w:marLeft w:val="0"/>
          <w:marRight w:val="0"/>
          <w:marTop w:val="0"/>
          <w:marBottom w:val="0"/>
          <w:divBdr>
            <w:top w:val="none" w:sz="0" w:space="0" w:color="auto"/>
            <w:left w:val="none" w:sz="0" w:space="0" w:color="auto"/>
            <w:bottom w:val="none" w:sz="0" w:space="0" w:color="auto"/>
            <w:right w:val="none" w:sz="0" w:space="0" w:color="auto"/>
          </w:divBdr>
        </w:div>
        <w:div w:id="373235564">
          <w:marLeft w:val="0"/>
          <w:marRight w:val="0"/>
          <w:marTop w:val="0"/>
          <w:marBottom w:val="0"/>
          <w:divBdr>
            <w:top w:val="none" w:sz="0" w:space="0" w:color="auto"/>
            <w:left w:val="none" w:sz="0" w:space="0" w:color="auto"/>
            <w:bottom w:val="none" w:sz="0" w:space="0" w:color="auto"/>
            <w:right w:val="none" w:sz="0" w:space="0" w:color="auto"/>
          </w:divBdr>
        </w:div>
        <w:div w:id="265580739">
          <w:marLeft w:val="0"/>
          <w:marRight w:val="0"/>
          <w:marTop w:val="0"/>
          <w:marBottom w:val="0"/>
          <w:divBdr>
            <w:top w:val="none" w:sz="0" w:space="0" w:color="auto"/>
            <w:left w:val="none" w:sz="0" w:space="0" w:color="auto"/>
            <w:bottom w:val="none" w:sz="0" w:space="0" w:color="auto"/>
            <w:right w:val="none" w:sz="0" w:space="0" w:color="auto"/>
          </w:divBdr>
        </w:div>
        <w:div w:id="405613473">
          <w:marLeft w:val="0"/>
          <w:marRight w:val="0"/>
          <w:marTop w:val="0"/>
          <w:marBottom w:val="0"/>
          <w:divBdr>
            <w:top w:val="none" w:sz="0" w:space="0" w:color="auto"/>
            <w:left w:val="none" w:sz="0" w:space="0" w:color="auto"/>
            <w:bottom w:val="none" w:sz="0" w:space="0" w:color="auto"/>
            <w:right w:val="none" w:sz="0" w:space="0" w:color="auto"/>
          </w:divBdr>
        </w:div>
        <w:div w:id="1496219532">
          <w:marLeft w:val="0"/>
          <w:marRight w:val="0"/>
          <w:marTop w:val="0"/>
          <w:marBottom w:val="0"/>
          <w:divBdr>
            <w:top w:val="none" w:sz="0" w:space="0" w:color="auto"/>
            <w:left w:val="none" w:sz="0" w:space="0" w:color="auto"/>
            <w:bottom w:val="none" w:sz="0" w:space="0" w:color="auto"/>
            <w:right w:val="none" w:sz="0" w:space="0" w:color="auto"/>
          </w:divBdr>
        </w:div>
        <w:div w:id="1250312560">
          <w:marLeft w:val="0"/>
          <w:marRight w:val="0"/>
          <w:marTop w:val="0"/>
          <w:marBottom w:val="0"/>
          <w:divBdr>
            <w:top w:val="none" w:sz="0" w:space="0" w:color="auto"/>
            <w:left w:val="none" w:sz="0" w:space="0" w:color="auto"/>
            <w:bottom w:val="none" w:sz="0" w:space="0" w:color="auto"/>
            <w:right w:val="none" w:sz="0" w:space="0" w:color="auto"/>
          </w:divBdr>
        </w:div>
        <w:div w:id="2049524962">
          <w:marLeft w:val="0"/>
          <w:marRight w:val="0"/>
          <w:marTop w:val="0"/>
          <w:marBottom w:val="0"/>
          <w:divBdr>
            <w:top w:val="none" w:sz="0" w:space="0" w:color="auto"/>
            <w:left w:val="none" w:sz="0" w:space="0" w:color="auto"/>
            <w:bottom w:val="none" w:sz="0" w:space="0" w:color="auto"/>
            <w:right w:val="none" w:sz="0" w:space="0" w:color="auto"/>
          </w:divBdr>
        </w:div>
        <w:div w:id="1093555623">
          <w:marLeft w:val="0"/>
          <w:marRight w:val="0"/>
          <w:marTop w:val="0"/>
          <w:marBottom w:val="0"/>
          <w:divBdr>
            <w:top w:val="none" w:sz="0" w:space="0" w:color="auto"/>
            <w:left w:val="none" w:sz="0" w:space="0" w:color="auto"/>
            <w:bottom w:val="none" w:sz="0" w:space="0" w:color="auto"/>
            <w:right w:val="none" w:sz="0" w:space="0" w:color="auto"/>
          </w:divBdr>
        </w:div>
        <w:div w:id="126245972">
          <w:marLeft w:val="0"/>
          <w:marRight w:val="0"/>
          <w:marTop w:val="0"/>
          <w:marBottom w:val="0"/>
          <w:divBdr>
            <w:top w:val="none" w:sz="0" w:space="0" w:color="auto"/>
            <w:left w:val="none" w:sz="0" w:space="0" w:color="auto"/>
            <w:bottom w:val="none" w:sz="0" w:space="0" w:color="auto"/>
            <w:right w:val="none" w:sz="0" w:space="0" w:color="auto"/>
          </w:divBdr>
        </w:div>
        <w:div w:id="577788379">
          <w:marLeft w:val="0"/>
          <w:marRight w:val="0"/>
          <w:marTop w:val="0"/>
          <w:marBottom w:val="0"/>
          <w:divBdr>
            <w:top w:val="none" w:sz="0" w:space="0" w:color="auto"/>
            <w:left w:val="none" w:sz="0" w:space="0" w:color="auto"/>
            <w:bottom w:val="none" w:sz="0" w:space="0" w:color="auto"/>
            <w:right w:val="none" w:sz="0" w:space="0" w:color="auto"/>
          </w:divBdr>
        </w:div>
        <w:div w:id="960259787">
          <w:marLeft w:val="0"/>
          <w:marRight w:val="0"/>
          <w:marTop w:val="0"/>
          <w:marBottom w:val="0"/>
          <w:divBdr>
            <w:top w:val="none" w:sz="0" w:space="0" w:color="auto"/>
            <w:left w:val="none" w:sz="0" w:space="0" w:color="auto"/>
            <w:bottom w:val="none" w:sz="0" w:space="0" w:color="auto"/>
            <w:right w:val="none" w:sz="0" w:space="0" w:color="auto"/>
          </w:divBdr>
        </w:div>
        <w:div w:id="686443545">
          <w:marLeft w:val="0"/>
          <w:marRight w:val="0"/>
          <w:marTop w:val="0"/>
          <w:marBottom w:val="0"/>
          <w:divBdr>
            <w:top w:val="none" w:sz="0" w:space="0" w:color="auto"/>
            <w:left w:val="none" w:sz="0" w:space="0" w:color="auto"/>
            <w:bottom w:val="none" w:sz="0" w:space="0" w:color="auto"/>
            <w:right w:val="none" w:sz="0" w:space="0" w:color="auto"/>
          </w:divBdr>
        </w:div>
        <w:div w:id="1921022851">
          <w:marLeft w:val="0"/>
          <w:marRight w:val="0"/>
          <w:marTop w:val="0"/>
          <w:marBottom w:val="0"/>
          <w:divBdr>
            <w:top w:val="none" w:sz="0" w:space="0" w:color="auto"/>
            <w:left w:val="none" w:sz="0" w:space="0" w:color="auto"/>
            <w:bottom w:val="none" w:sz="0" w:space="0" w:color="auto"/>
            <w:right w:val="none" w:sz="0" w:space="0" w:color="auto"/>
          </w:divBdr>
        </w:div>
        <w:div w:id="12928782">
          <w:marLeft w:val="0"/>
          <w:marRight w:val="0"/>
          <w:marTop w:val="0"/>
          <w:marBottom w:val="0"/>
          <w:divBdr>
            <w:top w:val="none" w:sz="0" w:space="0" w:color="auto"/>
            <w:left w:val="none" w:sz="0" w:space="0" w:color="auto"/>
            <w:bottom w:val="none" w:sz="0" w:space="0" w:color="auto"/>
            <w:right w:val="none" w:sz="0" w:space="0" w:color="auto"/>
          </w:divBdr>
        </w:div>
        <w:div w:id="291256268">
          <w:marLeft w:val="0"/>
          <w:marRight w:val="0"/>
          <w:marTop w:val="0"/>
          <w:marBottom w:val="0"/>
          <w:divBdr>
            <w:top w:val="none" w:sz="0" w:space="0" w:color="auto"/>
            <w:left w:val="none" w:sz="0" w:space="0" w:color="auto"/>
            <w:bottom w:val="none" w:sz="0" w:space="0" w:color="auto"/>
            <w:right w:val="none" w:sz="0" w:space="0" w:color="auto"/>
          </w:divBdr>
        </w:div>
        <w:div w:id="538784914">
          <w:marLeft w:val="0"/>
          <w:marRight w:val="0"/>
          <w:marTop w:val="0"/>
          <w:marBottom w:val="0"/>
          <w:divBdr>
            <w:top w:val="none" w:sz="0" w:space="0" w:color="auto"/>
            <w:left w:val="none" w:sz="0" w:space="0" w:color="auto"/>
            <w:bottom w:val="none" w:sz="0" w:space="0" w:color="auto"/>
            <w:right w:val="none" w:sz="0" w:space="0" w:color="auto"/>
          </w:divBdr>
        </w:div>
        <w:div w:id="1244796124">
          <w:marLeft w:val="0"/>
          <w:marRight w:val="0"/>
          <w:marTop w:val="0"/>
          <w:marBottom w:val="0"/>
          <w:divBdr>
            <w:top w:val="none" w:sz="0" w:space="0" w:color="auto"/>
            <w:left w:val="none" w:sz="0" w:space="0" w:color="auto"/>
            <w:bottom w:val="none" w:sz="0" w:space="0" w:color="auto"/>
            <w:right w:val="none" w:sz="0" w:space="0" w:color="auto"/>
          </w:divBdr>
        </w:div>
        <w:div w:id="920410170">
          <w:marLeft w:val="0"/>
          <w:marRight w:val="0"/>
          <w:marTop w:val="0"/>
          <w:marBottom w:val="0"/>
          <w:divBdr>
            <w:top w:val="none" w:sz="0" w:space="0" w:color="auto"/>
            <w:left w:val="none" w:sz="0" w:space="0" w:color="auto"/>
            <w:bottom w:val="none" w:sz="0" w:space="0" w:color="auto"/>
            <w:right w:val="none" w:sz="0" w:space="0" w:color="auto"/>
          </w:divBdr>
        </w:div>
      </w:divsChild>
    </w:div>
    <w:div w:id="1488941137">
      <w:bodyDiv w:val="1"/>
      <w:marLeft w:val="0"/>
      <w:marRight w:val="0"/>
      <w:marTop w:val="0"/>
      <w:marBottom w:val="0"/>
      <w:divBdr>
        <w:top w:val="none" w:sz="0" w:space="0" w:color="auto"/>
        <w:left w:val="none" w:sz="0" w:space="0" w:color="auto"/>
        <w:bottom w:val="none" w:sz="0" w:space="0" w:color="auto"/>
        <w:right w:val="none" w:sz="0" w:space="0" w:color="auto"/>
      </w:divBdr>
      <w:divsChild>
        <w:div w:id="1462920194">
          <w:marLeft w:val="0"/>
          <w:marRight w:val="0"/>
          <w:marTop w:val="0"/>
          <w:marBottom w:val="0"/>
          <w:divBdr>
            <w:top w:val="none" w:sz="0" w:space="0" w:color="auto"/>
            <w:left w:val="none" w:sz="0" w:space="0" w:color="auto"/>
            <w:bottom w:val="none" w:sz="0" w:space="0" w:color="auto"/>
            <w:right w:val="none" w:sz="0" w:space="0" w:color="auto"/>
          </w:divBdr>
        </w:div>
        <w:div w:id="1603226336">
          <w:marLeft w:val="0"/>
          <w:marRight w:val="0"/>
          <w:marTop w:val="0"/>
          <w:marBottom w:val="0"/>
          <w:divBdr>
            <w:top w:val="none" w:sz="0" w:space="0" w:color="auto"/>
            <w:left w:val="none" w:sz="0" w:space="0" w:color="auto"/>
            <w:bottom w:val="none" w:sz="0" w:space="0" w:color="auto"/>
            <w:right w:val="none" w:sz="0" w:space="0" w:color="auto"/>
          </w:divBdr>
          <w:divsChild>
            <w:div w:id="1506281281">
              <w:marLeft w:val="0"/>
              <w:marRight w:val="0"/>
              <w:marTop w:val="0"/>
              <w:marBottom w:val="0"/>
              <w:divBdr>
                <w:top w:val="none" w:sz="0" w:space="0" w:color="auto"/>
                <w:left w:val="none" w:sz="0" w:space="0" w:color="auto"/>
                <w:bottom w:val="none" w:sz="0" w:space="0" w:color="auto"/>
                <w:right w:val="none" w:sz="0" w:space="0" w:color="auto"/>
              </w:divBdr>
              <w:divsChild>
                <w:div w:id="10925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493454">
          <w:marLeft w:val="0"/>
          <w:marRight w:val="0"/>
          <w:marTop w:val="0"/>
          <w:marBottom w:val="0"/>
          <w:divBdr>
            <w:top w:val="none" w:sz="0" w:space="0" w:color="auto"/>
            <w:left w:val="none" w:sz="0" w:space="0" w:color="auto"/>
            <w:bottom w:val="none" w:sz="0" w:space="0" w:color="auto"/>
            <w:right w:val="none" w:sz="0" w:space="0" w:color="auto"/>
          </w:divBdr>
        </w:div>
        <w:div w:id="89744119">
          <w:marLeft w:val="0"/>
          <w:marRight w:val="0"/>
          <w:marTop w:val="0"/>
          <w:marBottom w:val="0"/>
          <w:divBdr>
            <w:top w:val="none" w:sz="0" w:space="0" w:color="auto"/>
            <w:left w:val="none" w:sz="0" w:space="0" w:color="auto"/>
            <w:bottom w:val="none" w:sz="0" w:space="0" w:color="auto"/>
            <w:right w:val="none" w:sz="0" w:space="0" w:color="auto"/>
          </w:divBdr>
        </w:div>
        <w:div w:id="1255548845">
          <w:marLeft w:val="0"/>
          <w:marRight w:val="0"/>
          <w:marTop w:val="0"/>
          <w:marBottom w:val="0"/>
          <w:divBdr>
            <w:top w:val="none" w:sz="0" w:space="0" w:color="auto"/>
            <w:left w:val="none" w:sz="0" w:space="0" w:color="auto"/>
            <w:bottom w:val="none" w:sz="0" w:space="0" w:color="auto"/>
            <w:right w:val="none" w:sz="0" w:space="0" w:color="auto"/>
          </w:divBdr>
        </w:div>
        <w:div w:id="495464447">
          <w:marLeft w:val="0"/>
          <w:marRight w:val="0"/>
          <w:marTop w:val="0"/>
          <w:marBottom w:val="0"/>
          <w:divBdr>
            <w:top w:val="none" w:sz="0" w:space="0" w:color="auto"/>
            <w:left w:val="none" w:sz="0" w:space="0" w:color="auto"/>
            <w:bottom w:val="none" w:sz="0" w:space="0" w:color="auto"/>
            <w:right w:val="none" w:sz="0" w:space="0" w:color="auto"/>
          </w:divBdr>
        </w:div>
        <w:div w:id="1781486668">
          <w:marLeft w:val="0"/>
          <w:marRight w:val="0"/>
          <w:marTop w:val="0"/>
          <w:marBottom w:val="0"/>
          <w:divBdr>
            <w:top w:val="none" w:sz="0" w:space="0" w:color="auto"/>
            <w:left w:val="none" w:sz="0" w:space="0" w:color="auto"/>
            <w:bottom w:val="none" w:sz="0" w:space="0" w:color="auto"/>
            <w:right w:val="none" w:sz="0" w:space="0" w:color="auto"/>
          </w:divBdr>
        </w:div>
        <w:div w:id="141237294">
          <w:marLeft w:val="0"/>
          <w:marRight w:val="0"/>
          <w:marTop w:val="0"/>
          <w:marBottom w:val="0"/>
          <w:divBdr>
            <w:top w:val="none" w:sz="0" w:space="0" w:color="auto"/>
            <w:left w:val="none" w:sz="0" w:space="0" w:color="auto"/>
            <w:bottom w:val="none" w:sz="0" w:space="0" w:color="auto"/>
            <w:right w:val="none" w:sz="0" w:space="0" w:color="auto"/>
          </w:divBdr>
        </w:div>
        <w:div w:id="421679452">
          <w:marLeft w:val="0"/>
          <w:marRight w:val="0"/>
          <w:marTop w:val="0"/>
          <w:marBottom w:val="0"/>
          <w:divBdr>
            <w:top w:val="none" w:sz="0" w:space="0" w:color="auto"/>
            <w:left w:val="none" w:sz="0" w:space="0" w:color="auto"/>
            <w:bottom w:val="none" w:sz="0" w:space="0" w:color="auto"/>
            <w:right w:val="none" w:sz="0" w:space="0" w:color="auto"/>
          </w:divBdr>
        </w:div>
        <w:div w:id="1354960039">
          <w:marLeft w:val="0"/>
          <w:marRight w:val="0"/>
          <w:marTop w:val="0"/>
          <w:marBottom w:val="0"/>
          <w:divBdr>
            <w:top w:val="none" w:sz="0" w:space="0" w:color="auto"/>
            <w:left w:val="none" w:sz="0" w:space="0" w:color="auto"/>
            <w:bottom w:val="none" w:sz="0" w:space="0" w:color="auto"/>
            <w:right w:val="none" w:sz="0" w:space="0" w:color="auto"/>
          </w:divBdr>
        </w:div>
        <w:div w:id="1568685996">
          <w:marLeft w:val="0"/>
          <w:marRight w:val="0"/>
          <w:marTop w:val="0"/>
          <w:marBottom w:val="0"/>
          <w:divBdr>
            <w:top w:val="none" w:sz="0" w:space="0" w:color="auto"/>
            <w:left w:val="none" w:sz="0" w:space="0" w:color="auto"/>
            <w:bottom w:val="none" w:sz="0" w:space="0" w:color="auto"/>
            <w:right w:val="none" w:sz="0" w:space="0" w:color="auto"/>
          </w:divBdr>
        </w:div>
        <w:div w:id="887377684">
          <w:marLeft w:val="0"/>
          <w:marRight w:val="0"/>
          <w:marTop w:val="0"/>
          <w:marBottom w:val="0"/>
          <w:divBdr>
            <w:top w:val="none" w:sz="0" w:space="0" w:color="auto"/>
            <w:left w:val="none" w:sz="0" w:space="0" w:color="auto"/>
            <w:bottom w:val="none" w:sz="0" w:space="0" w:color="auto"/>
            <w:right w:val="none" w:sz="0" w:space="0" w:color="auto"/>
          </w:divBdr>
        </w:div>
        <w:div w:id="1490512501">
          <w:marLeft w:val="0"/>
          <w:marRight w:val="0"/>
          <w:marTop w:val="0"/>
          <w:marBottom w:val="0"/>
          <w:divBdr>
            <w:top w:val="none" w:sz="0" w:space="0" w:color="auto"/>
            <w:left w:val="none" w:sz="0" w:space="0" w:color="auto"/>
            <w:bottom w:val="none" w:sz="0" w:space="0" w:color="auto"/>
            <w:right w:val="none" w:sz="0" w:space="0" w:color="auto"/>
          </w:divBdr>
        </w:div>
        <w:div w:id="641957660">
          <w:marLeft w:val="0"/>
          <w:marRight w:val="0"/>
          <w:marTop w:val="0"/>
          <w:marBottom w:val="0"/>
          <w:divBdr>
            <w:top w:val="none" w:sz="0" w:space="0" w:color="auto"/>
            <w:left w:val="none" w:sz="0" w:space="0" w:color="auto"/>
            <w:bottom w:val="none" w:sz="0" w:space="0" w:color="auto"/>
            <w:right w:val="none" w:sz="0" w:space="0" w:color="auto"/>
          </w:divBdr>
        </w:div>
        <w:div w:id="334040852">
          <w:marLeft w:val="0"/>
          <w:marRight w:val="0"/>
          <w:marTop w:val="0"/>
          <w:marBottom w:val="0"/>
          <w:divBdr>
            <w:top w:val="none" w:sz="0" w:space="0" w:color="auto"/>
            <w:left w:val="none" w:sz="0" w:space="0" w:color="auto"/>
            <w:bottom w:val="none" w:sz="0" w:space="0" w:color="auto"/>
            <w:right w:val="none" w:sz="0" w:space="0" w:color="auto"/>
          </w:divBdr>
        </w:div>
        <w:div w:id="1967420033">
          <w:marLeft w:val="0"/>
          <w:marRight w:val="0"/>
          <w:marTop w:val="0"/>
          <w:marBottom w:val="0"/>
          <w:divBdr>
            <w:top w:val="none" w:sz="0" w:space="0" w:color="auto"/>
            <w:left w:val="none" w:sz="0" w:space="0" w:color="auto"/>
            <w:bottom w:val="none" w:sz="0" w:space="0" w:color="auto"/>
            <w:right w:val="none" w:sz="0" w:space="0" w:color="auto"/>
          </w:divBdr>
        </w:div>
        <w:div w:id="1503736172">
          <w:marLeft w:val="0"/>
          <w:marRight w:val="0"/>
          <w:marTop w:val="0"/>
          <w:marBottom w:val="0"/>
          <w:divBdr>
            <w:top w:val="none" w:sz="0" w:space="0" w:color="auto"/>
            <w:left w:val="none" w:sz="0" w:space="0" w:color="auto"/>
            <w:bottom w:val="none" w:sz="0" w:space="0" w:color="auto"/>
            <w:right w:val="none" w:sz="0" w:space="0" w:color="auto"/>
          </w:divBdr>
        </w:div>
        <w:div w:id="314337756">
          <w:marLeft w:val="0"/>
          <w:marRight w:val="0"/>
          <w:marTop w:val="0"/>
          <w:marBottom w:val="0"/>
          <w:divBdr>
            <w:top w:val="none" w:sz="0" w:space="0" w:color="auto"/>
            <w:left w:val="none" w:sz="0" w:space="0" w:color="auto"/>
            <w:bottom w:val="none" w:sz="0" w:space="0" w:color="auto"/>
            <w:right w:val="none" w:sz="0" w:space="0" w:color="auto"/>
          </w:divBdr>
        </w:div>
        <w:div w:id="1048183862">
          <w:marLeft w:val="0"/>
          <w:marRight w:val="0"/>
          <w:marTop w:val="0"/>
          <w:marBottom w:val="0"/>
          <w:divBdr>
            <w:top w:val="none" w:sz="0" w:space="0" w:color="auto"/>
            <w:left w:val="none" w:sz="0" w:space="0" w:color="auto"/>
            <w:bottom w:val="none" w:sz="0" w:space="0" w:color="auto"/>
            <w:right w:val="none" w:sz="0" w:space="0" w:color="auto"/>
          </w:divBdr>
        </w:div>
        <w:div w:id="164901469">
          <w:marLeft w:val="0"/>
          <w:marRight w:val="0"/>
          <w:marTop w:val="0"/>
          <w:marBottom w:val="0"/>
          <w:divBdr>
            <w:top w:val="none" w:sz="0" w:space="0" w:color="auto"/>
            <w:left w:val="none" w:sz="0" w:space="0" w:color="auto"/>
            <w:bottom w:val="none" w:sz="0" w:space="0" w:color="auto"/>
            <w:right w:val="none" w:sz="0" w:space="0" w:color="auto"/>
          </w:divBdr>
        </w:div>
        <w:div w:id="287703647">
          <w:marLeft w:val="0"/>
          <w:marRight w:val="0"/>
          <w:marTop w:val="0"/>
          <w:marBottom w:val="0"/>
          <w:divBdr>
            <w:top w:val="none" w:sz="0" w:space="0" w:color="auto"/>
            <w:left w:val="none" w:sz="0" w:space="0" w:color="auto"/>
            <w:bottom w:val="none" w:sz="0" w:space="0" w:color="auto"/>
            <w:right w:val="none" w:sz="0" w:space="0" w:color="auto"/>
          </w:divBdr>
          <w:divsChild>
            <w:div w:id="508717818">
              <w:marLeft w:val="0"/>
              <w:marRight w:val="0"/>
              <w:marTop w:val="0"/>
              <w:marBottom w:val="0"/>
              <w:divBdr>
                <w:top w:val="none" w:sz="0" w:space="0" w:color="auto"/>
                <w:left w:val="none" w:sz="0" w:space="0" w:color="auto"/>
                <w:bottom w:val="none" w:sz="0" w:space="0" w:color="auto"/>
                <w:right w:val="none" w:sz="0" w:space="0" w:color="auto"/>
              </w:divBdr>
            </w:div>
          </w:divsChild>
        </w:div>
        <w:div w:id="1878007061">
          <w:marLeft w:val="0"/>
          <w:marRight w:val="0"/>
          <w:marTop w:val="0"/>
          <w:marBottom w:val="0"/>
          <w:divBdr>
            <w:top w:val="none" w:sz="0" w:space="0" w:color="auto"/>
            <w:left w:val="none" w:sz="0" w:space="0" w:color="auto"/>
            <w:bottom w:val="none" w:sz="0" w:space="0" w:color="auto"/>
            <w:right w:val="none" w:sz="0" w:space="0" w:color="auto"/>
          </w:divBdr>
        </w:div>
        <w:div w:id="1295990032">
          <w:marLeft w:val="0"/>
          <w:marRight w:val="0"/>
          <w:marTop w:val="0"/>
          <w:marBottom w:val="0"/>
          <w:divBdr>
            <w:top w:val="none" w:sz="0" w:space="0" w:color="auto"/>
            <w:left w:val="none" w:sz="0" w:space="0" w:color="auto"/>
            <w:bottom w:val="none" w:sz="0" w:space="0" w:color="auto"/>
            <w:right w:val="none" w:sz="0" w:space="0" w:color="auto"/>
          </w:divBdr>
        </w:div>
        <w:div w:id="865826602">
          <w:marLeft w:val="0"/>
          <w:marRight w:val="0"/>
          <w:marTop w:val="0"/>
          <w:marBottom w:val="0"/>
          <w:divBdr>
            <w:top w:val="none" w:sz="0" w:space="0" w:color="auto"/>
            <w:left w:val="none" w:sz="0" w:space="0" w:color="auto"/>
            <w:bottom w:val="none" w:sz="0" w:space="0" w:color="auto"/>
            <w:right w:val="none" w:sz="0" w:space="0" w:color="auto"/>
          </w:divBdr>
        </w:div>
        <w:div w:id="896361376">
          <w:marLeft w:val="0"/>
          <w:marRight w:val="0"/>
          <w:marTop w:val="0"/>
          <w:marBottom w:val="0"/>
          <w:divBdr>
            <w:top w:val="none" w:sz="0" w:space="0" w:color="auto"/>
            <w:left w:val="none" w:sz="0" w:space="0" w:color="auto"/>
            <w:bottom w:val="none" w:sz="0" w:space="0" w:color="auto"/>
            <w:right w:val="none" w:sz="0" w:space="0" w:color="auto"/>
          </w:divBdr>
        </w:div>
        <w:div w:id="197083893">
          <w:marLeft w:val="0"/>
          <w:marRight w:val="0"/>
          <w:marTop w:val="0"/>
          <w:marBottom w:val="0"/>
          <w:divBdr>
            <w:top w:val="none" w:sz="0" w:space="0" w:color="auto"/>
            <w:left w:val="none" w:sz="0" w:space="0" w:color="auto"/>
            <w:bottom w:val="none" w:sz="0" w:space="0" w:color="auto"/>
            <w:right w:val="none" w:sz="0" w:space="0" w:color="auto"/>
          </w:divBdr>
        </w:div>
        <w:div w:id="1063018928">
          <w:marLeft w:val="0"/>
          <w:marRight w:val="0"/>
          <w:marTop w:val="0"/>
          <w:marBottom w:val="0"/>
          <w:divBdr>
            <w:top w:val="none" w:sz="0" w:space="0" w:color="auto"/>
            <w:left w:val="none" w:sz="0" w:space="0" w:color="auto"/>
            <w:bottom w:val="none" w:sz="0" w:space="0" w:color="auto"/>
            <w:right w:val="none" w:sz="0" w:space="0" w:color="auto"/>
          </w:divBdr>
        </w:div>
        <w:div w:id="1127940403">
          <w:marLeft w:val="0"/>
          <w:marRight w:val="0"/>
          <w:marTop w:val="0"/>
          <w:marBottom w:val="0"/>
          <w:divBdr>
            <w:top w:val="none" w:sz="0" w:space="0" w:color="auto"/>
            <w:left w:val="none" w:sz="0" w:space="0" w:color="auto"/>
            <w:bottom w:val="none" w:sz="0" w:space="0" w:color="auto"/>
            <w:right w:val="none" w:sz="0" w:space="0" w:color="auto"/>
          </w:divBdr>
        </w:div>
        <w:div w:id="361513658">
          <w:marLeft w:val="0"/>
          <w:marRight w:val="0"/>
          <w:marTop w:val="0"/>
          <w:marBottom w:val="0"/>
          <w:divBdr>
            <w:top w:val="none" w:sz="0" w:space="0" w:color="auto"/>
            <w:left w:val="none" w:sz="0" w:space="0" w:color="auto"/>
            <w:bottom w:val="none" w:sz="0" w:space="0" w:color="auto"/>
            <w:right w:val="none" w:sz="0" w:space="0" w:color="auto"/>
          </w:divBdr>
        </w:div>
        <w:div w:id="1794246064">
          <w:marLeft w:val="0"/>
          <w:marRight w:val="0"/>
          <w:marTop w:val="0"/>
          <w:marBottom w:val="0"/>
          <w:divBdr>
            <w:top w:val="none" w:sz="0" w:space="0" w:color="auto"/>
            <w:left w:val="none" w:sz="0" w:space="0" w:color="auto"/>
            <w:bottom w:val="none" w:sz="0" w:space="0" w:color="auto"/>
            <w:right w:val="none" w:sz="0" w:space="0" w:color="auto"/>
          </w:divBdr>
        </w:div>
        <w:div w:id="752556730">
          <w:marLeft w:val="0"/>
          <w:marRight w:val="0"/>
          <w:marTop w:val="0"/>
          <w:marBottom w:val="0"/>
          <w:divBdr>
            <w:top w:val="none" w:sz="0" w:space="0" w:color="auto"/>
            <w:left w:val="none" w:sz="0" w:space="0" w:color="auto"/>
            <w:bottom w:val="none" w:sz="0" w:space="0" w:color="auto"/>
            <w:right w:val="none" w:sz="0" w:space="0" w:color="auto"/>
          </w:divBdr>
        </w:div>
        <w:div w:id="1848517066">
          <w:marLeft w:val="0"/>
          <w:marRight w:val="0"/>
          <w:marTop w:val="0"/>
          <w:marBottom w:val="0"/>
          <w:divBdr>
            <w:top w:val="none" w:sz="0" w:space="0" w:color="auto"/>
            <w:left w:val="none" w:sz="0" w:space="0" w:color="auto"/>
            <w:bottom w:val="none" w:sz="0" w:space="0" w:color="auto"/>
            <w:right w:val="none" w:sz="0" w:space="0" w:color="auto"/>
          </w:divBdr>
        </w:div>
        <w:div w:id="1702588847">
          <w:marLeft w:val="0"/>
          <w:marRight w:val="0"/>
          <w:marTop w:val="0"/>
          <w:marBottom w:val="0"/>
          <w:divBdr>
            <w:top w:val="none" w:sz="0" w:space="0" w:color="auto"/>
            <w:left w:val="none" w:sz="0" w:space="0" w:color="auto"/>
            <w:bottom w:val="none" w:sz="0" w:space="0" w:color="auto"/>
            <w:right w:val="none" w:sz="0" w:space="0" w:color="auto"/>
          </w:divBdr>
        </w:div>
        <w:div w:id="2017688684">
          <w:marLeft w:val="0"/>
          <w:marRight w:val="0"/>
          <w:marTop w:val="0"/>
          <w:marBottom w:val="0"/>
          <w:divBdr>
            <w:top w:val="none" w:sz="0" w:space="0" w:color="auto"/>
            <w:left w:val="none" w:sz="0" w:space="0" w:color="auto"/>
            <w:bottom w:val="none" w:sz="0" w:space="0" w:color="auto"/>
            <w:right w:val="none" w:sz="0" w:space="0" w:color="auto"/>
          </w:divBdr>
        </w:div>
        <w:div w:id="1694962597">
          <w:marLeft w:val="0"/>
          <w:marRight w:val="0"/>
          <w:marTop w:val="0"/>
          <w:marBottom w:val="0"/>
          <w:divBdr>
            <w:top w:val="none" w:sz="0" w:space="0" w:color="auto"/>
            <w:left w:val="none" w:sz="0" w:space="0" w:color="auto"/>
            <w:bottom w:val="none" w:sz="0" w:space="0" w:color="auto"/>
            <w:right w:val="none" w:sz="0" w:space="0" w:color="auto"/>
          </w:divBdr>
        </w:div>
        <w:div w:id="877820958">
          <w:marLeft w:val="0"/>
          <w:marRight w:val="0"/>
          <w:marTop w:val="0"/>
          <w:marBottom w:val="0"/>
          <w:divBdr>
            <w:top w:val="none" w:sz="0" w:space="0" w:color="auto"/>
            <w:left w:val="none" w:sz="0" w:space="0" w:color="auto"/>
            <w:bottom w:val="none" w:sz="0" w:space="0" w:color="auto"/>
            <w:right w:val="none" w:sz="0" w:space="0" w:color="auto"/>
          </w:divBdr>
        </w:div>
        <w:div w:id="659650876">
          <w:marLeft w:val="0"/>
          <w:marRight w:val="0"/>
          <w:marTop w:val="0"/>
          <w:marBottom w:val="0"/>
          <w:divBdr>
            <w:top w:val="none" w:sz="0" w:space="0" w:color="auto"/>
            <w:left w:val="none" w:sz="0" w:space="0" w:color="auto"/>
            <w:bottom w:val="none" w:sz="0" w:space="0" w:color="auto"/>
            <w:right w:val="none" w:sz="0" w:space="0" w:color="auto"/>
          </w:divBdr>
        </w:div>
        <w:div w:id="509758374">
          <w:marLeft w:val="0"/>
          <w:marRight w:val="0"/>
          <w:marTop w:val="0"/>
          <w:marBottom w:val="0"/>
          <w:divBdr>
            <w:top w:val="none" w:sz="0" w:space="0" w:color="auto"/>
            <w:left w:val="none" w:sz="0" w:space="0" w:color="auto"/>
            <w:bottom w:val="none" w:sz="0" w:space="0" w:color="auto"/>
            <w:right w:val="none" w:sz="0" w:space="0" w:color="auto"/>
          </w:divBdr>
        </w:div>
        <w:div w:id="1227253921">
          <w:marLeft w:val="0"/>
          <w:marRight w:val="0"/>
          <w:marTop w:val="0"/>
          <w:marBottom w:val="0"/>
          <w:divBdr>
            <w:top w:val="none" w:sz="0" w:space="0" w:color="auto"/>
            <w:left w:val="none" w:sz="0" w:space="0" w:color="auto"/>
            <w:bottom w:val="none" w:sz="0" w:space="0" w:color="auto"/>
            <w:right w:val="none" w:sz="0" w:space="0" w:color="auto"/>
          </w:divBdr>
        </w:div>
        <w:div w:id="2122525285">
          <w:marLeft w:val="0"/>
          <w:marRight w:val="0"/>
          <w:marTop w:val="0"/>
          <w:marBottom w:val="0"/>
          <w:divBdr>
            <w:top w:val="none" w:sz="0" w:space="0" w:color="auto"/>
            <w:left w:val="none" w:sz="0" w:space="0" w:color="auto"/>
            <w:bottom w:val="none" w:sz="0" w:space="0" w:color="auto"/>
            <w:right w:val="none" w:sz="0" w:space="0" w:color="auto"/>
          </w:divBdr>
        </w:div>
        <w:div w:id="1856920314">
          <w:marLeft w:val="0"/>
          <w:marRight w:val="0"/>
          <w:marTop w:val="0"/>
          <w:marBottom w:val="0"/>
          <w:divBdr>
            <w:top w:val="none" w:sz="0" w:space="0" w:color="auto"/>
            <w:left w:val="none" w:sz="0" w:space="0" w:color="auto"/>
            <w:bottom w:val="none" w:sz="0" w:space="0" w:color="auto"/>
            <w:right w:val="none" w:sz="0" w:space="0" w:color="auto"/>
          </w:divBdr>
        </w:div>
        <w:div w:id="1330937771">
          <w:marLeft w:val="0"/>
          <w:marRight w:val="0"/>
          <w:marTop w:val="0"/>
          <w:marBottom w:val="0"/>
          <w:divBdr>
            <w:top w:val="none" w:sz="0" w:space="0" w:color="auto"/>
            <w:left w:val="none" w:sz="0" w:space="0" w:color="auto"/>
            <w:bottom w:val="none" w:sz="0" w:space="0" w:color="auto"/>
            <w:right w:val="none" w:sz="0" w:space="0" w:color="auto"/>
          </w:divBdr>
        </w:div>
        <w:div w:id="1933321785">
          <w:marLeft w:val="0"/>
          <w:marRight w:val="0"/>
          <w:marTop w:val="0"/>
          <w:marBottom w:val="0"/>
          <w:divBdr>
            <w:top w:val="none" w:sz="0" w:space="0" w:color="auto"/>
            <w:left w:val="none" w:sz="0" w:space="0" w:color="auto"/>
            <w:bottom w:val="none" w:sz="0" w:space="0" w:color="auto"/>
            <w:right w:val="none" w:sz="0" w:space="0" w:color="auto"/>
          </w:divBdr>
        </w:div>
        <w:div w:id="2025787413">
          <w:marLeft w:val="0"/>
          <w:marRight w:val="0"/>
          <w:marTop w:val="0"/>
          <w:marBottom w:val="0"/>
          <w:divBdr>
            <w:top w:val="none" w:sz="0" w:space="0" w:color="auto"/>
            <w:left w:val="none" w:sz="0" w:space="0" w:color="auto"/>
            <w:bottom w:val="none" w:sz="0" w:space="0" w:color="auto"/>
            <w:right w:val="none" w:sz="0" w:space="0" w:color="auto"/>
          </w:divBdr>
        </w:div>
        <w:div w:id="275601000">
          <w:marLeft w:val="0"/>
          <w:marRight w:val="0"/>
          <w:marTop w:val="0"/>
          <w:marBottom w:val="0"/>
          <w:divBdr>
            <w:top w:val="none" w:sz="0" w:space="0" w:color="auto"/>
            <w:left w:val="none" w:sz="0" w:space="0" w:color="auto"/>
            <w:bottom w:val="none" w:sz="0" w:space="0" w:color="auto"/>
            <w:right w:val="none" w:sz="0" w:space="0" w:color="auto"/>
          </w:divBdr>
        </w:div>
        <w:div w:id="1745882095">
          <w:marLeft w:val="0"/>
          <w:marRight w:val="0"/>
          <w:marTop w:val="0"/>
          <w:marBottom w:val="0"/>
          <w:divBdr>
            <w:top w:val="none" w:sz="0" w:space="0" w:color="auto"/>
            <w:left w:val="none" w:sz="0" w:space="0" w:color="auto"/>
            <w:bottom w:val="none" w:sz="0" w:space="0" w:color="auto"/>
            <w:right w:val="none" w:sz="0" w:space="0" w:color="auto"/>
          </w:divBdr>
        </w:div>
        <w:div w:id="1468165009">
          <w:marLeft w:val="0"/>
          <w:marRight w:val="0"/>
          <w:marTop w:val="0"/>
          <w:marBottom w:val="0"/>
          <w:divBdr>
            <w:top w:val="none" w:sz="0" w:space="0" w:color="auto"/>
            <w:left w:val="none" w:sz="0" w:space="0" w:color="auto"/>
            <w:bottom w:val="none" w:sz="0" w:space="0" w:color="auto"/>
            <w:right w:val="none" w:sz="0" w:space="0" w:color="auto"/>
          </w:divBdr>
        </w:div>
        <w:div w:id="546524950">
          <w:marLeft w:val="0"/>
          <w:marRight w:val="0"/>
          <w:marTop w:val="0"/>
          <w:marBottom w:val="0"/>
          <w:divBdr>
            <w:top w:val="none" w:sz="0" w:space="0" w:color="auto"/>
            <w:left w:val="none" w:sz="0" w:space="0" w:color="auto"/>
            <w:bottom w:val="none" w:sz="0" w:space="0" w:color="auto"/>
            <w:right w:val="none" w:sz="0" w:space="0" w:color="auto"/>
          </w:divBdr>
          <w:divsChild>
            <w:div w:id="868638807">
              <w:marLeft w:val="0"/>
              <w:marRight w:val="0"/>
              <w:marTop w:val="0"/>
              <w:marBottom w:val="0"/>
              <w:divBdr>
                <w:top w:val="none" w:sz="0" w:space="0" w:color="auto"/>
                <w:left w:val="none" w:sz="0" w:space="0" w:color="auto"/>
                <w:bottom w:val="none" w:sz="0" w:space="0" w:color="auto"/>
                <w:right w:val="none" w:sz="0" w:space="0" w:color="auto"/>
              </w:divBdr>
            </w:div>
            <w:div w:id="193931658">
              <w:marLeft w:val="0"/>
              <w:marRight w:val="0"/>
              <w:marTop w:val="0"/>
              <w:marBottom w:val="0"/>
              <w:divBdr>
                <w:top w:val="none" w:sz="0" w:space="0" w:color="auto"/>
                <w:left w:val="none" w:sz="0" w:space="0" w:color="auto"/>
                <w:bottom w:val="none" w:sz="0" w:space="0" w:color="auto"/>
                <w:right w:val="none" w:sz="0" w:space="0" w:color="auto"/>
              </w:divBdr>
            </w:div>
          </w:divsChild>
        </w:div>
        <w:div w:id="782578669">
          <w:marLeft w:val="0"/>
          <w:marRight w:val="0"/>
          <w:marTop w:val="0"/>
          <w:marBottom w:val="0"/>
          <w:divBdr>
            <w:top w:val="none" w:sz="0" w:space="0" w:color="auto"/>
            <w:left w:val="none" w:sz="0" w:space="0" w:color="auto"/>
            <w:bottom w:val="none" w:sz="0" w:space="0" w:color="auto"/>
            <w:right w:val="none" w:sz="0" w:space="0" w:color="auto"/>
          </w:divBdr>
        </w:div>
        <w:div w:id="477184851">
          <w:marLeft w:val="0"/>
          <w:marRight w:val="0"/>
          <w:marTop w:val="0"/>
          <w:marBottom w:val="0"/>
          <w:divBdr>
            <w:top w:val="none" w:sz="0" w:space="0" w:color="auto"/>
            <w:left w:val="none" w:sz="0" w:space="0" w:color="auto"/>
            <w:bottom w:val="none" w:sz="0" w:space="0" w:color="auto"/>
            <w:right w:val="none" w:sz="0" w:space="0" w:color="auto"/>
          </w:divBdr>
        </w:div>
        <w:div w:id="1481075019">
          <w:marLeft w:val="0"/>
          <w:marRight w:val="0"/>
          <w:marTop w:val="0"/>
          <w:marBottom w:val="0"/>
          <w:divBdr>
            <w:top w:val="none" w:sz="0" w:space="0" w:color="auto"/>
            <w:left w:val="none" w:sz="0" w:space="0" w:color="auto"/>
            <w:bottom w:val="none" w:sz="0" w:space="0" w:color="auto"/>
            <w:right w:val="none" w:sz="0" w:space="0" w:color="auto"/>
          </w:divBdr>
        </w:div>
        <w:div w:id="258493650">
          <w:marLeft w:val="0"/>
          <w:marRight w:val="0"/>
          <w:marTop w:val="0"/>
          <w:marBottom w:val="0"/>
          <w:divBdr>
            <w:top w:val="none" w:sz="0" w:space="0" w:color="auto"/>
            <w:left w:val="none" w:sz="0" w:space="0" w:color="auto"/>
            <w:bottom w:val="none" w:sz="0" w:space="0" w:color="auto"/>
            <w:right w:val="none" w:sz="0" w:space="0" w:color="auto"/>
          </w:divBdr>
        </w:div>
        <w:div w:id="909729282">
          <w:marLeft w:val="0"/>
          <w:marRight w:val="0"/>
          <w:marTop w:val="0"/>
          <w:marBottom w:val="0"/>
          <w:divBdr>
            <w:top w:val="none" w:sz="0" w:space="0" w:color="auto"/>
            <w:left w:val="none" w:sz="0" w:space="0" w:color="auto"/>
            <w:bottom w:val="none" w:sz="0" w:space="0" w:color="auto"/>
            <w:right w:val="none" w:sz="0" w:space="0" w:color="auto"/>
          </w:divBdr>
        </w:div>
        <w:div w:id="297495198">
          <w:marLeft w:val="0"/>
          <w:marRight w:val="0"/>
          <w:marTop w:val="0"/>
          <w:marBottom w:val="0"/>
          <w:divBdr>
            <w:top w:val="none" w:sz="0" w:space="0" w:color="auto"/>
            <w:left w:val="none" w:sz="0" w:space="0" w:color="auto"/>
            <w:bottom w:val="none" w:sz="0" w:space="0" w:color="auto"/>
            <w:right w:val="none" w:sz="0" w:space="0" w:color="auto"/>
          </w:divBdr>
        </w:div>
        <w:div w:id="1404989629">
          <w:marLeft w:val="0"/>
          <w:marRight w:val="0"/>
          <w:marTop w:val="0"/>
          <w:marBottom w:val="0"/>
          <w:divBdr>
            <w:top w:val="none" w:sz="0" w:space="0" w:color="auto"/>
            <w:left w:val="none" w:sz="0" w:space="0" w:color="auto"/>
            <w:bottom w:val="none" w:sz="0" w:space="0" w:color="auto"/>
            <w:right w:val="none" w:sz="0" w:space="0" w:color="auto"/>
          </w:divBdr>
        </w:div>
        <w:div w:id="775559912">
          <w:marLeft w:val="0"/>
          <w:marRight w:val="0"/>
          <w:marTop w:val="0"/>
          <w:marBottom w:val="0"/>
          <w:divBdr>
            <w:top w:val="none" w:sz="0" w:space="0" w:color="auto"/>
            <w:left w:val="none" w:sz="0" w:space="0" w:color="auto"/>
            <w:bottom w:val="none" w:sz="0" w:space="0" w:color="auto"/>
            <w:right w:val="none" w:sz="0" w:space="0" w:color="auto"/>
          </w:divBdr>
        </w:div>
        <w:div w:id="1438597324">
          <w:marLeft w:val="0"/>
          <w:marRight w:val="0"/>
          <w:marTop w:val="0"/>
          <w:marBottom w:val="0"/>
          <w:divBdr>
            <w:top w:val="none" w:sz="0" w:space="0" w:color="auto"/>
            <w:left w:val="none" w:sz="0" w:space="0" w:color="auto"/>
            <w:bottom w:val="none" w:sz="0" w:space="0" w:color="auto"/>
            <w:right w:val="none" w:sz="0" w:space="0" w:color="auto"/>
          </w:divBdr>
        </w:div>
        <w:div w:id="1948659546">
          <w:marLeft w:val="0"/>
          <w:marRight w:val="0"/>
          <w:marTop w:val="0"/>
          <w:marBottom w:val="0"/>
          <w:divBdr>
            <w:top w:val="none" w:sz="0" w:space="0" w:color="auto"/>
            <w:left w:val="none" w:sz="0" w:space="0" w:color="auto"/>
            <w:bottom w:val="none" w:sz="0" w:space="0" w:color="auto"/>
            <w:right w:val="none" w:sz="0" w:space="0" w:color="auto"/>
          </w:divBdr>
        </w:div>
        <w:div w:id="312031491">
          <w:marLeft w:val="0"/>
          <w:marRight w:val="0"/>
          <w:marTop w:val="0"/>
          <w:marBottom w:val="0"/>
          <w:divBdr>
            <w:top w:val="none" w:sz="0" w:space="0" w:color="auto"/>
            <w:left w:val="none" w:sz="0" w:space="0" w:color="auto"/>
            <w:bottom w:val="none" w:sz="0" w:space="0" w:color="auto"/>
            <w:right w:val="none" w:sz="0" w:space="0" w:color="auto"/>
          </w:divBdr>
        </w:div>
        <w:div w:id="1119420965">
          <w:marLeft w:val="0"/>
          <w:marRight w:val="0"/>
          <w:marTop w:val="0"/>
          <w:marBottom w:val="0"/>
          <w:divBdr>
            <w:top w:val="none" w:sz="0" w:space="0" w:color="auto"/>
            <w:left w:val="none" w:sz="0" w:space="0" w:color="auto"/>
            <w:bottom w:val="none" w:sz="0" w:space="0" w:color="auto"/>
            <w:right w:val="none" w:sz="0" w:space="0" w:color="auto"/>
          </w:divBdr>
        </w:div>
        <w:div w:id="1432163777">
          <w:marLeft w:val="0"/>
          <w:marRight w:val="0"/>
          <w:marTop w:val="0"/>
          <w:marBottom w:val="0"/>
          <w:divBdr>
            <w:top w:val="none" w:sz="0" w:space="0" w:color="auto"/>
            <w:left w:val="none" w:sz="0" w:space="0" w:color="auto"/>
            <w:bottom w:val="none" w:sz="0" w:space="0" w:color="auto"/>
            <w:right w:val="none" w:sz="0" w:space="0" w:color="auto"/>
          </w:divBdr>
        </w:div>
        <w:div w:id="408429803">
          <w:marLeft w:val="0"/>
          <w:marRight w:val="0"/>
          <w:marTop w:val="0"/>
          <w:marBottom w:val="0"/>
          <w:divBdr>
            <w:top w:val="none" w:sz="0" w:space="0" w:color="auto"/>
            <w:left w:val="none" w:sz="0" w:space="0" w:color="auto"/>
            <w:bottom w:val="none" w:sz="0" w:space="0" w:color="auto"/>
            <w:right w:val="none" w:sz="0" w:space="0" w:color="auto"/>
          </w:divBdr>
        </w:div>
        <w:div w:id="1875188266">
          <w:marLeft w:val="0"/>
          <w:marRight w:val="0"/>
          <w:marTop w:val="0"/>
          <w:marBottom w:val="0"/>
          <w:divBdr>
            <w:top w:val="none" w:sz="0" w:space="0" w:color="auto"/>
            <w:left w:val="none" w:sz="0" w:space="0" w:color="auto"/>
            <w:bottom w:val="none" w:sz="0" w:space="0" w:color="auto"/>
            <w:right w:val="none" w:sz="0" w:space="0" w:color="auto"/>
          </w:divBdr>
        </w:div>
        <w:div w:id="1608192564">
          <w:marLeft w:val="0"/>
          <w:marRight w:val="0"/>
          <w:marTop w:val="0"/>
          <w:marBottom w:val="0"/>
          <w:divBdr>
            <w:top w:val="none" w:sz="0" w:space="0" w:color="auto"/>
            <w:left w:val="none" w:sz="0" w:space="0" w:color="auto"/>
            <w:bottom w:val="none" w:sz="0" w:space="0" w:color="auto"/>
            <w:right w:val="none" w:sz="0" w:space="0" w:color="auto"/>
          </w:divBdr>
        </w:div>
        <w:div w:id="1674338890">
          <w:marLeft w:val="0"/>
          <w:marRight w:val="0"/>
          <w:marTop w:val="0"/>
          <w:marBottom w:val="0"/>
          <w:divBdr>
            <w:top w:val="none" w:sz="0" w:space="0" w:color="auto"/>
            <w:left w:val="none" w:sz="0" w:space="0" w:color="auto"/>
            <w:bottom w:val="none" w:sz="0" w:space="0" w:color="auto"/>
            <w:right w:val="none" w:sz="0" w:space="0" w:color="auto"/>
          </w:divBdr>
        </w:div>
        <w:div w:id="1233395038">
          <w:marLeft w:val="0"/>
          <w:marRight w:val="0"/>
          <w:marTop w:val="0"/>
          <w:marBottom w:val="0"/>
          <w:divBdr>
            <w:top w:val="none" w:sz="0" w:space="0" w:color="auto"/>
            <w:left w:val="none" w:sz="0" w:space="0" w:color="auto"/>
            <w:bottom w:val="none" w:sz="0" w:space="0" w:color="auto"/>
            <w:right w:val="none" w:sz="0" w:space="0" w:color="auto"/>
          </w:divBdr>
        </w:div>
        <w:div w:id="560167127">
          <w:marLeft w:val="0"/>
          <w:marRight w:val="0"/>
          <w:marTop w:val="0"/>
          <w:marBottom w:val="0"/>
          <w:divBdr>
            <w:top w:val="none" w:sz="0" w:space="0" w:color="auto"/>
            <w:left w:val="none" w:sz="0" w:space="0" w:color="auto"/>
            <w:bottom w:val="none" w:sz="0" w:space="0" w:color="auto"/>
            <w:right w:val="none" w:sz="0" w:space="0" w:color="auto"/>
          </w:divBdr>
        </w:div>
        <w:div w:id="1893038473">
          <w:marLeft w:val="0"/>
          <w:marRight w:val="0"/>
          <w:marTop w:val="0"/>
          <w:marBottom w:val="0"/>
          <w:divBdr>
            <w:top w:val="none" w:sz="0" w:space="0" w:color="auto"/>
            <w:left w:val="none" w:sz="0" w:space="0" w:color="auto"/>
            <w:bottom w:val="none" w:sz="0" w:space="0" w:color="auto"/>
            <w:right w:val="none" w:sz="0" w:space="0" w:color="auto"/>
          </w:divBdr>
        </w:div>
        <w:div w:id="382173164">
          <w:marLeft w:val="0"/>
          <w:marRight w:val="0"/>
          <w:marTop w:val="0"/>
          <w:marBottom w:val="0"/>
          <w:divBdr>
            <w:top w:val="none" w:sz="0" w:space="0" w:color="auto"/>
            <w:left w:val="none" w:sz="0" w:space="0" w:color="auto"/>
            <w:bottom w:val="none" w:sz="0" w:space="0" w:color="auto"/>
            <w:right w:val="none" w:sz="0" w:space="0" w:color="auto"/>
          </w:divBdr>
        </w:div>
        <w:div w:id="966853333">
          <w:marLeft w:val="0"/>
          <w:marRight w:val="0"/>
          <w:marTop w:val="0"/>
          <w:marBottom w:val="0"/>
          <w:divBdr>
            <w:top w:val="none" w:sz="0" w:space="0" w:color="auto"/>
            <w:left w:val="none" w:sz="0" w:space="0" w:color="auto"/>
            <w:bottom w:val="none" w:sz="0" w:space="0" w:color="auto"/>
            <w:right w:val="none" w:sz="0" w:space="0" w:color="auto"/>
          </w:divBdr>
        </w:div>
        <w:div w:id="798186792">
          <w:marLeft w:val="0"/>
          <w:marRight w:val="0"/>
          <w:marTop w:val="0"/>
          <w:marBottom w:val="0"/>
          <w:divBdr>
            <w:top w:val="none" w:sz="0" w:space="0" w:color="auto"/>
            <w:left w:val="none" w:sz="0" w:space="0" w:color="auto"/>
            <w:bottom w:val="none" w:sz="0" w:space="0" w:color="auto"/>
            <w:right w:val="none" w:sz="0" w:space="0" w:color="auto"/>
          </w:divBdr>
        </w:div>
        <w:div w:id="2053730484">
          <w:marLeft w:val="0"/>
          <w:marRight w:val="0"/>
          <w:marTop w:val="0"/>
          <w:marBottom w:val="0"/>
          <w:divBdr>
            <w:top w:val="none" w:sz="0" w:space="0" w:color="auto"/>
            <w:left w:val="none" w:sz="0" w:space="0" w:color="auto"/>
            <w:bottom w:val="none" w:sz="0" w:space="0" w:color="auto"/>
            <w:right w:val="none" w:sz="0" w:space="0" w:color="auto"/>
          </w:divBdr>
        </w:div>
        <w:div w:id="1356883701">
          <w:marLeft w:val="0"/>
          <w:marRight w:val="0"/>
          <w:marTop w:val="0"/>
          <w:marBottom w:val="0"/>
          <w:divBdr>
            <w:top w:val="none" w:sz="0" w:space="0" w:color="auto"/>
            <w:left w:val="none" w:sz="0" w:space="0" w:color="auto"/>
            <w:bottom w:val="none" w:sz="0" w:space="0" w:color="auto"/>
            <w:right w:val="none" w:sz="0" w:space="0" w:color="auto"/>
          </w:divBdr>
        </w:div>
        <w:div w:id="1519192583">
          <w:marLeft w:val="0"/>
          <w:marRight w:val="0"/>
          <w:marTop w:val="0"/>
          <w:marBottom w:val="0"/>
          <w:divBdr>
            <w:top w:val="none" w:sz="0" w:space="0" w:color="auto"/>
            <w:left w:val="none" w:sz="0" w:space="0" w:color="auto"/>
            <w:bottom w:val="none" w:sz="0" w:space="0" w:color="auto"/>
            <w:right w:val="none" w:sz="0" w:space="0" w:color="auto"/>
          </w:divBdr>
        </w:div>
        <w:div w:id="859273688">
          <w:marLeft w:val="0"/>
          <w:marRight w:val="0"/>
          <w:marTop w:val="0"/>
          <w:marBottom w:val="0"/>
          <w:divBdr>
            <w:top w:val="none" w:sz="0" w:space="0" w:color="auto"/>
            <w:left w:val="none" w:sz="0" w:space="0" w:color="auto"/>
            <w:bottom w:val="none" w:sz="0" w:space="0" w:color="auto"/>
            <w:right w:val="none" w:sz="0" w:space="0" w:color="auto"/>
          </w:divBdr>
        </w:div>
        <w:div w:id="63065927">
          <w:marLeft w:val="0"/>
          <w:marRight w:val="0"/>
          <w:marTop w:val="0"/>
          <w:marBottom w:val="0"/>
          <w:divBdr>
            <w:top w:val="none" w:sz="0" w:space="0" w:color="auto"/>
            <w:left w:val="none" w:sz="0" w:space="0" w:color="auto"/>
            <w:bottom w:val="none" w:sz="0" w:space="0" w:color="auto"/>
            <w:right w:val="none" w:sz="0" w:space="0" w:color="auto"/>
          </w:divBdr>
        </w:div>
        <w:div w:id="2020043729">
          <w:marLeft w:val="0"/>
          <w:marRight w:val="0"/>
          <w:marTop w:val="0"/>
          <w:marBottom w:val="0"/>
          <w:divBdr>
            <w:top w:val="none" w:sz="0" w:space="0" w:color="auto"/>
            <w:left w:val="none" w:sz="0" w:space="0" w:color="auto"/>
            <w:bottom w:val="none" w:sz="0" w:space="0" w:color="auto"/>
            <w:right w:val="none" w:sz="0" w:space="0" w:color="auto"/>
          </w:divBdr>
          <w:divsChild>
            <w:div w:id="96022522">
              <w:marLeft w:val="0"/>
              <w:marRight w:val="0"/>
              <w:marTop w:val="0"/>
              <w:marBottom w:val="0"/>
              <w:divBdr>
                <w:top w:val="none" w:sz="0" w:space="0" w:color="auto"/>
                <w:left w:val="none" w:sz="0" w:space="0" w:color="auto"/>
                <w:bottom w:val="none" w:sz="0" w:space="0" w:color="auto"/>
                <w:right w:val="none" w:sz="0" w:space="0" w:color="auto"/>
              </w:divBdr>
            </w:div>
            <w:div w:id="403332746">
              <w:marLeft w:val="0"/>
              <w:marRight w:val="0"/>
              <w:marTop w:val="0"/>
              <w:marBottom w:val="0"/>
              <w:divBdr>
                <w:top w:val="none" w:sz="0" w:space="0" w:color="auto"/>
                <w:left w:val="none" w:sz="0" w:space="0" w:color="auto"/>
                <w:bottom w:val="none" w:sz="0" w:space="0" w:color="auto"/>
                <w:right w:val="none" w:sz="0" w:space="0" w:color="auto"/>
              </w:divBdr>
            </w:div>
            <w:div w:id="1768191247">
              <w:marLeft w:val="0"/>
              <w:marRight w:val="0"/>
              <w:marTop w:val="0"/>
              <w:marBottom w:val="0"/>
              <w:divBdr>
                <w:top w:val="none" w:sz="0" w:space="0" w:color="auto"/>
                <w:left w:val="none" w:sz="0" w:space="0" w:color="auto"/>
                <w:bottom w:val="none" w:sz="0" w:space="0" w:color="auto"/>
                <w:right w:val="none" w:sz="0" w:space="0" w:color="auto"/>
              </w:divBdr>
            </w:div>
            <w:div w:id="1753088428">
              <w:marLeft w:val="0"/>
              <w:marRight w:val="0"/>
              <w:marTop w:val="0"/>
              <w:marBottom w:val="0"/>
              <w:divBdr>
                <w:top w:val="none" w:sz="0" w:space="0" w:color="auto"/>
                <w:left w:val="none" w:sz="0" w:space="0" w:color="auto"/>
                <w:bottom w:val="none" w:sz="0" w:space="0" w:color="auto"/>
                <w:right w:val="none" w:sz="0" w:space="0" w:color="auto"/>
              </w:divBdr>
            </w:div>
            <w:div w:id="785198992">
              <w:marLeft w:val="0"/>
              <w:marRight w:val="0"/>
              <w:marTop w:val="0"/>
              <w:marBottom w:val="0"/>
              <w:divBdr>
                <w:top w:val="none" w:sz="0" w:space="0" w:color="auto"/>
                <w:left w:val="none" w:sz="0" w:space="0" w:color="auto"/>
                <w:bottom w:val="none" w:sz="0" w:space="0" w:color="auto"/>
                <w:right w:val="none" w:sz="0" w:space="0" w:color="auto"/>
              </w:divBdr>
            </w:div>
            <w:div w:id="1329357840">
              <w:marLeft w:val="0"/>
              <w:marRight w:val="0"/>
              <w:marTop w:val="0"/>
              <w:marBottom w:val="0"/>
              <w:divBdr>
                <w:top w:val="none" w:sz="0" w:space="0" w:color="auto"/>
                <w:left w:val="none" w:sz="0" w:space="0" w:color="auto"/>
                <w:bottom w:val="none" w:sz="0" w:space="0" w:color="auto"/>
                <w:right w:val="none" w:sz="0" w:space="0" w:color="auto"/>
              </w:divBdr>
            </w:div>
            <w:div w:id="1339313497">
              <w:marLeft w:val="0"/>
              <w:marRight w:val="0"/>
              <w:marTop w:val="0"/>
              <w:marBottom w:val="0"/>
              <w:divBdr>
                <w:top w:val="none" w:sz="0" w:space="0" w:color="auto"/>
                <w:left w:val="none" w:sz="0" w:space="0" w:color="auto"/>
                <w:bottom w:val="none" w:sz="0" w:space="0" w:color="auto"/>
                <w:right w:val="none" w:sz="0" w:space="0" w:color="auto"/>
              </w:divBdr>
            </w:div>
            <w:div w:id="1816069003">
              <w:marLeft w:val="0"/>
              <w:marRight w:val="0"/>
              <w:marTop w:val="0"/>
              <w:marBottom w:val="0"/>
              <w:divBdr>
                <w:top w:val="none" w:sz="0" w:space="0" w:color="auto"/>
                <w:left w:val="none" w:sz="0" w:space="0" w:color="auto"/>
                <w:bottom w:val="none" w:sz="0" w:space="0" w:color="auto"/>
                <w:right w:val="none" w:sz="0" w:space="0" w:color="auto"/>
              </w:divBdr>
            </w:div>
          </w:divsChild>
        </w:div>
        <w:div w:id="1687712841">
          <w:marLeft w:val="0"/>
          <w:marRight w:val="0"/>
          <w:marTop w:val="0"/>
          <w:marBottom w:val="0"/>
          <w:divBdr>
            <w:top w:val="none" w:sz="0" w:space="0" w:color="auto"/>
            <w:left w:val="none" w:sz="0" w:space="0" w:color="auto"/>
            <w:bottom w:val="none" w:sz="0" w:space="0" w:color="auto"/>
            <w:right w:val="none" w:sz="0" w:space="0" w:color="auto"/>
          </w:divBdr>
        </w:div>
        <w:div w:id="1520854795">
          <w:marLeft w:val="0"/>
          <w:marRight w:val="0"/>
          <w:marTop w:val="0"/>
          <w:marBottom w:val="0"/>
          <w:divBdr>
            <w:top w:val="none" w:sz="0" w:space="0" w:color="auto"/>
            <w:left w:val="none" w:sz="0" w:space="0" w:color="auto"/>
            <w:bottom w:val="none" w:sz="0" w:space="0" w:color="auto"/>
            <w:right w:val="none" w:sz="0" w:space="0" w:color="auto"/>
          </w:divBdr>
          <w:divsChild>
            <w:div w:id="1184516625">
              <w:marLeft w:val="0"/>
              <w:marRight w:val="0"/>
              <w:marTop w:val="0"/>
              <w:marBottom w:val="0"/>
              <w:divBdr>
                <w:top w:val="none" w:sz="0" w:space="0" w:color="auto"/>
                <w:left w:val="none" w:sz="0" w:space="0" w:color="auto"/>
                <w:bottom w:val="none" w:sz="0" w:space="0" w:color="auto"/>
                <w:right w:val="none" w:sz="0" w:space="0" w:color="auto"/>
              </w:divBdr>
            </w:div>
            <w:div w:id="310717623">
              <w:marLeft w:val="0"/>
              <w:marRight w:val="0"/>
              <w:marTop w:val="0"/>
              <w:marBottom w:val="0"/>
              <w:divBdr>
                <w:top w:val="none" w:sz="0" w:space="0" w:color="auto"/>
                <w:left w:val="none" w:sz="0" w:space="0" w:color="auto"/>
                <w:bottom w:val="none" w:sz="0" w:space="0" w:color="auto"/>
                <w:right w:val="none" w:sz="0" w:space="0" w:color="auto"/>
              </w:divBdr>
            </w:div>
            <w:div w:id="30035709">
              <w:marLeft w:val="0"/>
              <w:marRight w:val="0"/>
              <w:marTop w:val="0"/>
              <w:marBottom w:val="0"/>
              <w:divBdr>
                <w:top w:val="none" w:sz="0" w:space="0" w:color="auto"/>
                <w:left w:val="none" w:sz="0" w:space="0" w:color="auto"/>
                <w:bottom w:val="none" w:sz="0" w:space="0" w:color="auto"/>
                <w:right w:val="none" w:sz="0" w:space="0" w:color="auto"/>
              </w:divBdr>
            </w:div>
          </w:divsChild>
        </w:div>
        <w:div w:id="939751278">
          <w:marLeft w:val="0"/>
          <w:marRight w:val="0"/>
          <w:marTop w:val="0"/>
          <w:marBottom w:val="0"/>
          <w:divBdr>
            <w:top w:val="none" w:sz="0" w:space="0" w:color="auto"/>
            <w:left w:val="none" w:sz="0" w:space="0" w:color="auto"/>
            <w:bottom w:val="none" w:sz="0" w:space="0" w:color="auto"/>
            <w:right w:val="none" w:sz="0" w:space="0" w:color="auto"/>
          </w:divBdr>
        </w:div>
        <w:div w:id="1447575943">
          <w:marLeft w:val="0"/>
          <w:marRight w:val="0"/>
          <w:marTop w:val="0"/>
          <w:marBottom w:val="0"/>
          <w:divBdr>
            <w:top w:val="none" w:sz="0" w:space="0" w:color="auto"/>
            <w:left w:val="none" w:sz="0" w:space="0" w:color="auto"/>
            <w:bottom w:val="none" w:sz="0" w:space="0" w:color="auto"/>
            <w:right w:val="none" w:sz="0" w:space="0" w:color="auto"/>
          </w:divBdr>
        </w:div>
        <w:div w:id="424037422">
          <w:marLeft w:val="0"/>
          <w:marRight w:val="0"/>
          <w:marTop w:val="0"/>
          <w:marBottom w:val="0"/>
          <w:divBdr>
            <w:top w:val="none" w:sz="0" w:space="0" w:color="auto"/>
            <w:left w:val="none" w:sz="0" w:space="0" w:color="auto"/>
            <w:bottom w:val="none" w:sz="0" w:space="0" w:color="auto"/>
            <w:right w:val="none" w:sz="0" w:space="0" w:color="auto"/>
          </w:divBdr>
          <w:divsChild>
            <w:div w:id="96296769">
              <w:marLeft w:val="0"/>
              <w:marRight w:val="0"/>
              <w:marTop w:val="0"/>
              <w:marBottom w:val="0"/>
              <w:divBdr>
                <w:top w:val="none" w:sz="0" w:space="0" w:color="auto"/>
                <w:left w:val="none" w:sz="0" w:space="0" w:color="auto"/>
                <w:bottom w:val="none" w:sz="0" w:space="0" w:color="auto"/>
                <w:right w:val="none" w:sz="0" w:space="0" w:color="auto"/>
              </w:divBdr>
            </w:div>
            <w:div w:id="1440032031">
              <w:marLeft w:val="0"/>
              <w:marRight w:val="0"/>
              <w:marTop w:val="0"/>
              <w:marBottom w:val="0"/>
              <w:divBdr>
                <w:top w:val="none" w:sz="0" w:space="0" w:color="auto"/>
                <w:left w:val="none" w:sz="0" w:space="0" w:color="auto"/>
                <w:bottom w:val="none" w:sz="0" w:space="0" w:color="auto"/>
                <w:right w:val="none" w:sz="0" w:space="0" w:color="auto"/>
              </w:divBdr>
            </w:div>
          </w:divsChild>
        </w:div>
        <w:div w:id="107092295">
          <w:marLeft w:val="0"/>
          <w:marRight w:val="0"/>
          <w:marTop w:val="0"/>
          <w:marBottom w:val="0"/>
          <w:divBdr>
            <w:top w:val="none" w:sz="0" w:space="0" w:color="auto"/>
            <w:left w:val="none" w:sz="0" w:space="0" w:color="auto"/>
            <w:bottom w:val="none" w:sz="0" w:space="0" w:color="auto"/>
            <w:right w:val="none" w:sz="0" w:space="0" w:color="auto"/>
          </w:divBdr>
          <w:divsChild>
            <w:div w:id="711463859">
              <w:marLeft w:val="0"/>
              <w:marRight w:val="0"/>
              <w:marTop w:val="0"/>
              <w:marBottom w:val="0"/>
              <w:divBdr>
                <w:top w:val="none" w:sz="0" w:space="0" w:color="auto"/>
                <w:left w:val="none" w:sz="0" w:space="0" w:color="auto"/>
                <w:bottom w:val="none" w:sz="0" w:space="0" w:color="auto"/>
                <w:right w:val="none" w:sz="0" w:space="0" w:color="auto"/>
              </w:divBdr>
            </w:div>
            <w:div w:id="1107313395">
              <w:marLeft w:val="0"/>
              <w:marRight w:val="0"/>
              <w:marTop w:val="0"/>
              <w:marBottom w:val="0"/>
              <w:divBdr>
                <w:top w:val="none" w:sz="0" w:space="0" w:color="auto"/>
                <w:left w:val="none" w:sz="0" w:space="0" w:color="auto"/>
                <w:bottom w:val="none" w:sz="0" w:space="0" w:color="auto"/>
                <w:right w:val="none" w:sz="0" w:space="0" w:color="auto"/>
              </w:divBdr>
            </w:div>
          </w:divsChild>
        </w:div>
        <w:div w:id="1163669267">
          <w:marLeft w:val="0"/>
          <w:marRight w:val="0"/>
          <w:marTop w:val="0"/>
          <w:marBottom w:val="0"/>
          <w:divBdr>
            <w:top w:val="none" w:sz="0" w:space="0" w:color="auto"/>
            <w:left w:val="none" w:sz="0" w:space="0" w:color="auto"/>
            <w:bottom w:val="none" w:sz="0" w:space="0" w:color="auto"/>
            <w:right w:val="none" w:sz="0" w:space="0" w:color="auto"/>
          </w:divBdr>
        </w:div>
        <w:div w:id="1733238350">
          <w:marLeft w:val="0"/>
          <w:marRight w:val="0"/>
          <w:marTop w:val="0"/>
          <w:marBottom w:val="0"/>
          <w:divBdr>
            <w:top w:val="none" w:sz="0" w:space="0" w:color="auto"/>
            <w:left w:val="none" w:sz="0" w:space="0" w:color="auto"/>
            <w:bottom w:val="none" w:sz="0" w:space="0" w:color="auto"/>
            <w:right w:val="none" w:sz="0" w:space="0" w:color="auto"/>
          </w:divBdr>
          <w:divsChild>
            <w:div w:id="1869565808">
              <w:marLeft w:val="0"/>
              <w:marRight w:val="0"/>
              <w:marTop w:val="0"/>
              <w:marBottom w:val="0"/>
              <w:divBdr>
                <w:top w:val="none" w:sz="0" w:space="0" w:color="auto"/>
                <w:left w:val="none" w:sz="0" w:space="0" w:color="auto"/>
                <w:bottom w:val="none" w:sz="0" w:space="0" w:color="auto"/>
                <w:right w:val="none" w:sz="0" w:space="0" w:color="auto"/>
              </w:divBdr>
            </w:div>
            <w:div w:id="457653123">
              <w:marLeft w:val="0"/>
              <w:marRight w:val="0"/>
              <w:marTop w:val="0"/>
              <w:marBottom w:val="0"/>
              <w:divBdr>
                <w:top w:val="none" w:sz="0" w:space="0" w:color="auto"/>
                <w:left w:val="none" w:sz="0" w:space="0" w:color="auto"/>
                <w:bottom w:val="none" w:sz="0" w:space="0" w:color="auto"/>
                <w:right w:val="none" w:sz="0" w:space="0" w:color="auto"/>
              </w:divBdr>
            </w:div>
            <w:div w:id="540171114">
              <w:marLeft w:val="0"/>
              <w:marRight w:val="0"/>
              <w:marTop w:val="0"/>
              <w:marBottom w:val="0"/>
              <w:divBdr>
                <w:top w:val="none" w:sz="0" w:space="0" w:color="auto"/>
                <w:left w:val="none" w:sz="0" w:space="0" w:color="auto"/>
                <w:bottom w:val="none" w:sz="0" w:space="0" w:color="auto"/>
                <w:right w:val="none" w:sz="0" w:space="0" w:color="auto"/>
              </w:divBdr>
            </w:div>
            <w:div w:id="43717394">
              <w:marLeft w:val="0"/>
              <w:marRight w:val="0"/>
              <w:marTop w:val="0"/>
              <w:marBottom w:val="0"/>
              <w:divBdr>
                <w:top w:val="none" w:sz="0" w:space="0" w:color="auto"/>
                <w:left w:val="none" w:sz="0" w:space="0" w:color="auto"/>
                <w:bottom w:val="none" w:sz="0" w:space="0" w:color="auto"/>
                <w:right w:val="none" w:sz="0" w:space="0" w:color="auto"/>
              </w:divBdr>
            </w:div>
            <w:div w:id="581138760">
              <w:marLeft w:val="0"/>
              <w:marRight w:val="0"/>
              <w:marTop w:val="0"/>
              <w:marBottom w:val="0"/>
              <w:divBdr>
                <w:top w:val="none" w:sz="0" w:space="0" w:color="auto"/>
                <w:left w:val="none" w:sz="0" w:space="0" w:color="auto"/>
                <w:bottom w:val="none" w:sz="0" w:space="0" w:color="auto"/>
                <w:right w:val="none" w:sz="0" w:space="0" w:color="auto"/>
              </w:divBdr>
            </w:div>
          </w:divsChild>
        </w:div>
        <w:div w:id="539127711">
          <w:marLeft w:val="0"/>
          <w:marRight w:val="0"/>
          <w:marTop w:val="0"/>
          <w:marBottom w:val="0"/>
          <w:divBdr>
            <w:top w:val="none" w:sz="0" w:space="0" w:color="auto"/>
            <w:left w:val="none" w:sz="0" w:space="0" w:color="auto"/>
            <w:bottom w:val="none" w:sz="0" w:space="0" w:color="auto"/>
            <w:right w:val="none" w:sz="0" w:space="0" w:color="auto"/>
          </w:divBdr>
        </w:div>
        <w:div w:id="1547839422">
          <w:marLeft w:val="0"/>
          <w:marRight w:val="0"/>
          <w:marTop w:val="0"/>
          <w:marBottom w:val="0"/>
          <w:divBdr>
            <w:top w:val="none" w:sz="0" w:space="0" w:color="auto"/>
            <w:left w:val="none" w:sz="0" w:space="0" w:color="auto"/>
            <w:bottom w:val="none" w:sz="0" w:space="0" w:color="auto"/>
            <w:right w:val="none" w:sz="0" w:space="0" w:color="auto"/>
          </w:divBdr>
        </w:div>
        <w:div w:id="1230581793">
          <w:marLeft w:val="0"/>
          <w:marRight w:val="0"/>
          <w:marTop w:val="0"/>
          <w:marBottom w:val="0"/>
          <w:divBdr>
            <w:top w:val="none" w:sz="0" w:space="0" w:color="auto"/>
            <w:left w:val="none" w:sz="0" w:space="0" w:color="auto"/>
            <w:bottom w:val="none" w:sz="0" w:space="0" w:color="auto"/>
            <w:right w:val="none" w:sz="0" w:space="0" w:color="auto"/>
          </w:divBdr>
        </w:div>
        <w:div w:id="1924757909">
          <w:marLeft w:val="0"/>
          <w:marRight w:val="0"/>
          <w:marTop w:val="0"/>
          <w:marBottom w:val="0"/>
          <w:divBdr>
            <w:top w:val="none" w:sz="0" w:space="0" w:color="auto"/>
            <w:left w:val="none" w:sz="0" w:space="0" w:color="auto"/>
            <w:bottom w:val="none" w:sz="0" w:space="0" w:color="auto"/>
            <w:right w:val="none" w:sz="0" w:space="0" w:color="auto"/>
          </w:divBdr>
          <w:divsChild>
            <w:div w:id="1951089647">
              <w:marLeft w:val="0"/>
              <w:marRight w:val="0"/>
              <w:marTop w:val="0"/>
              <w:marBottom w:val="0"/>
              <w:divBdr>
                <w:top w:val="none" w:sz="0" w:space="0" w:color="auto"/>
                <w:left w:val="none" w:sz="0" w:space="0" w:color="auto"/>
                <w:bottom w:val="none" w:sz="0" w:space="0" w:color="auto"/>
                <w:right w:val="none" w:sz="0" w:space="0" w:color="auto"/>
              </w:divBdr>
            </w:div>
            <w:div w:id="972906429">
              <w:marLeft w:val="0"/>
              <w:marRight w:val="0"/>
              <w:marTop w:val="0"/>
              <w:marBottom w:val="0"/>
              <w:divBdr>
                <w:top w:val="none" w:sz="0" w:space="0" w:color="auto"/>
                <w:left w:val="none" w:sz="0" w:space="0" w:color="auto"/>
                <w:bottom w:val="none" w:sz="0" w:space="0" w:color="auto"/>
                <w:right w:val="none" w:sz="0" w:space="0" w:color="auto"/>
              </w:divBdr>
            </w:div>
          </w:divsChild>
        </w:div>
        <w:div w:id="1877769331">
          <w:marLeft w:val="0"/>
          <w:marRight w:val="0"/>
          <w:marTop w:val="0"/>
          <w:marBottom w:val="0"/>
          <w:divBdr>
            <w:top w:val="none" w:sz="0" w:space="0" w:color="auto"/>
            <w:left w:val="none" w:sz="0" w:space="0" w:color="auto"/>
            <w:bottom w:val="none" w:sz="0" w:space="0" w:color="auto"/>
            <w:right w:val="none" w:sz="0" w:space="0" w:color="auto"/>
          </w:divBdr>
        </w:div>
        <w:div w:id="1710646225">
          <w:marLeft w:val="0"/>
          <w:marRight w:val="0"/>
          <w:marTop w:val="0"/>
          <w:marBottom w:val="0"/>
          <w:divBdr>
            <w:top w:val="none" w:sz="0" w:space="0" w:color="auto"/>
            <w:left w:val="none" w:sz="0" w:space="0" w:color="auto"/>
            <w:bottom w:val="none" w:sz="0" w:space="0" w:color="auto"/>
            <w:right w:val="none" w:sz="0" w:space="0" w:color="auto"/>
          </w:divBdr>
        </w:div>
        <w:div w:id="4477905">
          <w:marLeft w:val="0"/>
          <w:marRight w:val="0"/>
          <w:marTop w:val="0"/>
          <w:marBottom w:val="0"/>
          <w:divBdr>
            <w:top w:val="none" w:sz="0" w:space="0" w:color="auto"/>
            <w:left w:val="none" w:sz="0" w:space="0" w:color="auto"/>
            <w:bottom w:val="none" w:sz="0" w:space="0" w:color="auto"/>
            <w:right w:val="none" w:sz="0" w:space="0" w:color="auto"/>
          </w:divBdr>
        </w:div>
        <w:div w:id="153036728">
          <w:marLeft w:val="0"/>
          <w:marRight w:val="0"/>
          <w:marTop w:val="0"/>
          <w:marBottom w:val="0"/>
          <w:divBdr>
            <w:top w:val="none" w:sz="0" w:space="0" w:color="auto"/>
            <w:left w:val="none" w:sz="0" w:space="0" w:color="auto"/>
            <w:bottom w:val="none" w:sz="0" w:space="0" w:color="auto"/>
            <w:right w:val="none" w:sz="0" w:space="0" w:color="auto"/>
          </w:divBdr>
        </w:div>
        <w:div w:id="1193493806">
          <w:marLeft w:val="0"/>
          <w:marRight w:val="0"/>
          <w:marTop w:val="0"/>
          <w:marBottom w:val="0"/>
          <w:divBdr>
            <w:top w:val="none" w:sz="0" w:space="0" w:color="auto"/>
            <w:left w:val="none" w:sz="0" w:space="0" w:color="auto"/>
            <w:bottom w:val="none" w:sz="0" w:space="0" w:color="auto"/>
            <w:right w:val="none" w:sz="0" w:space="0" w:color="auto"/>
          </w:divBdr>
        </w:div>
        <w:div w:id="380445725">
          <w:marLeft w:val="0"/>
          <w:marRight w:val="0"/>
          <w:marTop w:val="0"/>
          <w:marBottom w:val="0"/>
          <w:divBdr>
            <w:top w:val="none" w:sz="0" w:space="0" w:color="auto"/>
            <w:left w:val="none" w:sz="0" w:space="0" w:color="auto"/>
            <w:bottom w:val="none" w:sz="0" w:space="0" w:color="auto"/>
            <w:right w:val="none" w:sz="0" w:space="0" w:color="auto"/>
          </w:divBdr>
        </w:div>
        <w:div w:id="2007391864">
          <w:marLeft w:val="0"/>
          <w:marRight w:val="0"/>
          <w:marTop w:val="0"/>
          <w:marBottom w:val="0"/>
          <w:divBdr>
            <w:top w:val="none" w:sz="0" w:space="0" w:color="auto"/>
            <w:left w:val="none" w:sz="0" w:space="0" w:color="auto"/>
            <w:bottom w:val="none" w:sz="0" w:space="0" w:color="auto"/>
            <w:right w:val="none" w:sz="0" w:space="0" w:color="auto"/>
          </w:divBdr>
          <w:divsChild>
            <w:div w:id="1934628551">
              <w:marLeft w:val="0"/>
              <w:marRight w:val="0"/>
              <w:marTop w:val="0"/>
              <w:marBottom w:val="0"/>
              <w:divBdr>
                <w:top w:val="none" w:sz="0" w:space="0" w:color="auto"/>
                <w:left w:val="none" w:sz="0" w:space="0" w:color="auto"/>
                <w:bottom w:val="none" w:sz="0" w:space="0" w:color="auto"/>
                <w:right w:val="none" w:sz="0" w:space="0" w:color="auto"/>
              </w:divBdr>
            </w:div>
            <w:div w:id="1896889048">
              <w:marLeft w:val="0"/>
              <w:marRight w:val="0"/>
              <w:marTop w:val="0"/>
              <w:marBottom w:val="0"/>
              <w:divBdr>
                <w:top w:val="none" w:sz="0" w:space="0" w:color="auto"/>
                <w:left w:val="none" w:sz="0" w:space="0" w:color="auto"/>
                <w:bottom w:val="none" w:sz="0" w:space="0" w:color="auto"/>
                <w:right w:val="none" w:sz="0" w:space="0" w:color="auto"/>
              </w:divBdr>
            </w:div>
          </w:divsChild>
        </w:div>
        <w:div w:id="1304651930">
          <w:marLeft w:val="0"/>
          <w:marRight w:val="0"/>
          <w:marTop w:val="0"/>
          <w:marBottom w:val="0"/>
          <w:divBdr>
            <w:top w:val="none" w:sz="0" w:space="0" w:color="auto"/>
            <w:left w:val="none" w:sz="0" w:space="0" w:color="auto"/>
            <w:bottom w:val="none" w:sz="0" w:space="0" w:color="auto"/>
            <w:right w:val="none" w:sz="0" w:space="0" w:color="auto"/>
          </w:divBdr>
        </w:div>
        <w:div w:id="2031494705">
          <w:marLeft w:val="0"/>
          <w:marRight w:val="0"/>
          <w:marTop w:val="0"/>
          <w:marBottom w:val="0"/>
          <w:divBdr>
            <w:top w:val="none" w:sz="0" w:space="0" w:color="auto"/>
            <w:left w:val="none" w:sz="0" w:space="0" w:color="auto"/>
            <w:bottom w:val="none" w:sz="0" w:space="0" w:color="auto"/>
            <w:right w:val="none" w:sz="0" w:space="0" w:color="auto"/>
          </w:divBdr>
        </w:div>
        <w:div w:id="843086605">
          <w:marLeft w:val="0"/>
          <w:marRight w:val="0"/>
          <w:marTop w:val="0"/>
          <w:marBottom w:val="0"/>
          <w:divBdr>
            <w:top w:val="none" w:sz="0" w:space="0" w:color="auto"/>
            <w:left w:val="none" w:sz="0" w:space="0" w:color="auto"/>
            <w:bottom w:val="none" w:sz="0" w:space="0" w:color="auto"/>
            <w:right w:val="none" w:sz="0" w:space="0" w:color="auto"/>
          </w:divBdr>
        </w:div>
        <w:div w:id="1341272625">
          <w:marLeft w:val="0"/>
          <w:marRight w:val="0"/>
          <w:marTop w:val="0"/>
          <w:marBottom w:val="0"/>
          <w:divBdr>
            <w:top w:val="none" w:sz="0" w:space="0" w:color="auto"/>
            <w:left w:val="none" w:sz="0" w:space="0" w:color="auto"/>
            <w:bottom w:val="none" w:sz="0" w:space="0" w:color="auto"/>
            <w:right w:val="none" w:sz="0" w:space="0" w:color="auto"/>
          </w:divBdr>
        </w:div>
        <w:div w:id="630938069">
          <w:marLeft w:val="0"/>
          <w:marRight w:val="0"/>
          <w:marTop w:val="0"/>
          <w:marBottom w:val="0"/>
          <w:divBdr>
            <w:top w:val="none" w:sz="0" w:space="0" w:color="auto"/>
            <w:left w:val="none" w:sz="0" w:space="0" w:color="auto"/>
            <w:bottom w:val="none" w:sz="0" w:space="0" w:color="auto"/>
            <w:right w:val="none" w:sz="0" w:space="0" w:color="auto"/>
          </w:divBdr>
        </w:div>
        <w:div w:id="1634411599">
          <w:marLeft w:val="0"/>
          <w:marRight w:val="0"/>
          <w:marTop w:val="0"/>
          <w:marBottom w:val="0"/>
          <w:divBdr>
            <w:top w:val="none" w:sz="0" w:space="0" w:color="auto"/>
            <w:left w:val="none" w:sz="0" w:space="0" w:color="auto"/>
            <w:bottom w:val="none" w:sz="0" w:space="0" w:color="auto"/>
            <w:right w:val="none" w:sz="0" w:space="0" w:color="auto"/>
          </w:divBdr>
        </w:div>
        <w:div w:id="2086411317">
          <w:marLeft w:val="0"/>
          <w:marRight w:val="0"/>
          <w:marTop w:val="0"/>
          <w:marBottom w:val="0"/>
          <w:divBdr>
            <w:top w:val="none" w:sz="0" w:space="0" w:color="auto"/>
            <w:left w:val="none" w:sz="0" w:space="0" w:color="auto"/>
            <w:bottom w:val="none" w:sz="0" w:space="0" w:color="auto"/>
            <w:right w:val="none" w:sz="0" w:space="0" w:color="auto"/>
          </w:divBdr>
        </w:div>
        <w:div w:id="824276121">
          <w:marLeft w:val="0"/>
          <w:marRight w:val="0"/>
          <w:marTop w:val="0"/>
          <w:marBottom w:val="0"/>
          <w:divBdr>
            <w:top w:val="none" w:sz="0" w:space="0" w:color="auto"/>
            <w:left w:val="none" w:sz="0" w:space="0" w:color="auto"/>
            <w:bottom w:val="none" w:sz="0" w:space="0" w:color="auto"/>
            <w:right w:val="none" w:sz="0" w:space="0" w:color="auto"/>
          </w:divBdr>
        </w:div>
        <w:div w:id="1116482339">
          <w:marLeft w:val="0"/>
          <w:marRight w:val="0"/>
          <w:marTop w:val="0"/>
          <w:marBottom w:val="0"/>
          <w:divBdr>
            <w:top w:val="none" w:sz="0" w:space="0" w:color="auto"/>
            <w:left w:val="none" w:sz="0" w:space="0" w:color="auto"/>
            <w:bottom w:val="none" w:sz="0" w:space="0" w:color="auto"/>
            <w:right w:val="none" w:sz="0" w:space="0" w:color="auto"/>
          </w:divBdr>
        </w:div>
        <w:div w:id="1900244078">
          <w:marLeft w:val="0"/>
          <w:marRight w:val="0"/>
          <w:marTop w:val="0"/>
          <w:marBottom w:val="0"/>
          <w:divBdr>
            <w:top w:val="none" w:sz="0" w:space="0" w:color="auto"/>
            <w:left w:val="none" w:sz="0" w:space="0" w:color="auto"/>
            <w:bottom w:val="none" w:sz="0" w:space="0" w:color="auto"/>
            <w:right w:val="none" w:sz="0" w:space="0" w:color="auto"/>
          </w:divBdr>
        </w:div>
        <w:div w:id="1401443189">
          <w:marLeft w:val="0"/>
          <w:marRight w:val="0"/>
          <w:marTop w:val="0"/>
          <w:marBottom w:val="0"/>
          <w:divBdr>
            <w:top w:val="none" w:sz="0" w:space="0" w:color="auto"/>
            <w:left w:val="none" w:sz="0" w:space="0" w:color="auto"/>
            <w:bottom w:val="none" w:sz="0" w:space="0" w:color="auto"/>
            <w:right w:val="none" w:sz="0" w:space="0" w:color="auto"/>
          </w:divBdr>
        </w:div>
        <w:div w:id="1183980156">
          <w:marLeft w:val="0"/>
          <w:marRight w:val="0"/>
          <w:marTop w:val="0"/>
          <w:marBottom w:val="0"/>
          <w:divBdr>
            <w:top w:val="none" w:sz="0" w:space="0" w:color="auto"/>
            <w:left w:val="none" w:sz="0" w:space="0" w:color="auto"/>
            <w:bottom w:val="none" w:sz="0" w:space="0" w:color="auto"/>
            <w:right w:val="none" w:sz="0" w:space="0" w:color="auto"/>
          </w:divBdr>
        </w:div>
        <w:div w:id="620839128">
          <w:marLeft w:val="0"/>
          <w:marRight w:val="0"/>
          <w:marTop w:val="0"/>
          <w:marBottom w:val="0"/>
          <w:divBdr>
            <w:top w:val="none" w:sz="0" w:space="0" w:color="auto"/>
            <w:left w:val="none" w:sz="0" w:space="0" w:color="auto"/>
            <w:bottom w:val="none" w:sz="0" w:space="0" w:color="auto"/>
            <w:right w:val="none" w:sz="0" w:space="0" w:color="auto"/>
          </w:divBdr>
        </w:div>
        <w:div w:id="770710882">
          <w:marLeft w:val="0"/>
          <w:marRight w:val="0"/>
          <w:marTop w:val="0"/>
          <w:marBottom w:val="0"/>
          <w:divBdr>
            <w:top w:val="none" w:sz="0" w:space="0" w:color="auto"/>
            <w:left w:val="none" w:sz="0" w:space="0" w:color="auto"/>
            <w:bottom w:val="none" w:sz="0" w:space="0" w:color="auto"/>
            <w:right w:val="none" w:sz="0" w:space="0" w:color="auto"/>
          </w:divBdr>
        </w:div>
        <w:div w:id="1118983631">
          <w:marLeft w:val="0"/>
          <w:marRight w:val="0"/>
          <w:marTop w:val="0"/>
          <w:marBottom w:val="0"/>
          <w:divBdr>
            <w:top w:val="none" w:sz="0" w:space="0" w:color="auto"/>
            <w:left w:val="none" w:sz="0" w:space="0" w:color="auto"/>
            <w:bottom w:val="none" w:sz="0" w:space="0" w:color="auto"/>
            <w:right w:val="none" w:sz="0" w:space="0" w:color="auto"/>
          </w:divBdr>
        </w:div>
        <w:div w:id="426075693">
          <w:marLeft w:val="0"/>
          <w:marRight w:val="0"/>
          <w:marTop w:val="0"/>
          <w:marBottom w:val="0"/>
          <w:divBdr>
            <w:top w:val="none" w:sz="0" w:space="0" w:color="auto"/>
            <w:left w:val="none" w:sz="0" w:space="0" w:color="auto"/>
            <w:bottom w:val="none" w:sz="0" w:space="0" w:color="auto"/>
            <w:right w:val="none" w:sz="0" w:space="0" w:color="auto"/>
          </w:divBdr>
        </w:div>
        <w:div w:id="282271103">
          <w:marLeft w:val="0"/>
          <w:marRight w:val="0"/>
          <w:marTop w:val="0"/>
          <w:marBottom w:val="0"/>
          <w:divBdr>
            <w:top w:val="none" w:sz="0" w:space="0" w:color="auto"/>
            <w:left w:val="none" w:sz="0" w:space="0" w:color="auto"/>
            <w:bottom w:val="none" w:sz="0" w:space="0" w:color="auto"/>
            <w:right w:val="none" w:sz="0" w:space="0" w:color="auto"/>
          </w:divBdr>
          <w:divsChild>
            <w:div w:id="2047751179">
              <w:marLeft w:val="0"/>
              <w:marRight w:val="0"/>
              <w:marTop w:val="0"/>
              <w:marBottom w:val="0"/>
              <w:divBdr>
                <w:top w:val="none" w:sz="0" w:space="0" w:color="auto"/>
                <w:left w:val="none" w:sz="0" w:space="0" w:color="auto"/>
                <w:bottom w:val="none" w:sz="0" w:space="0" w:color="auto"/>
                <w:right w:val="none" w:sz="0" w:space="0" w:color="auto"/>
              </w:divBdr>
            </w:div>
            <w:div w:id="665861351">
              <w:marLeft w:val="0"/>
              <w:marRight w:val="0"/>
              <w:marTop w:val="0"/>
              <w:marBottom w:val="0"/>
              <w:divBdr>
                <w:top w:val="none" w:sz="0" w:space="0" w:color="auto"/>
                <w:left w:val="none" w:sz="0" w:space="0" w:color="auto"/>
                <w:bottom w:val="none" w:sz="0" w:space="0" w:color="auto"/>
                <w:right w:val="none" w:sz="0" w:space="0" w:color="auto"/>
              </w:divBdr>
            </w:div>
          </w:divsChild>
        </w:div>
        <w:div w:id="468862206">
          <w:marLeft w:val="0"/>
          <w:marRight w:val="0"/>
          <w:marTop w:val="0"/>
          <w:marBottom w:val="0"/>
          <w:divBdr>
            <w:top w:val="none" w:sz="0" w:space="0" w:color="auto"/>
            <w:left w:val="none" w:sz="0" w:space="0" w:color="auto"/>
            <w:bottom w:val="none" w:sz="0" w:space="0" w:color="auto"/>
            <w:right w:val="none" w:sz="0" w:space="0" w:color="auto"/>
          </w:divBdr>
        </w:div>
        <w:div w:id="1646546922">
          <w:marLeft w:val="0"/>
          <w:marRight w:val="0"/>
          <w:marTop w:val="0"/>
          <w:marBottom w:val="0"/>
          <w:divBdr>
            <w:top w:val="none" w:sz="0" w:space="0" w:color="auto"/>
            <w:left w:val="none" w:sz="0" w:space="0" w:color="auto"/>
            <w:bottom w:val="none" w:sz="0" w:space="0" w:color="auto"/>
            <w:right w:val="none" w:sz="0" w:space="0" w:color="auto"/>
          </w:divBdr>
          <w:divsChild>
            <w:div w:id="1770002011">
              <w:marLeft w:val="0"/>
              <w:marRight w:val="0"/>
              <w:marTop w:val="0"/>
              <w:marBottom w:val="0"/>
              <w:divBdr>
                <w:top w:val="none" w:sz="0" w:space="0" w:color="auto"/>
                <w:left w:val="none" w:sz="0" w:space="0" w:color="auto"/>
                <w:bottom w:val="none" w:sz="0" w:space="0" w:color="auto"/>
                <w:right w:val="none" w:sz="0" w:space="0" w:color="auto"/>
              </w:divBdr>
            </w:div>
            <w:div w:id="592864182">
              <w:marLeft w:val="0"/>
              <w:marRight w:val="0"/>
              <w:marTop w:val="0"/>
              <w:marBottom w:val="0"/>
              <w:divBdr>
                <w:top w:val="none" w:sz="0" w:space="0" w:color="auto"/>
                <w:left w:val="none" w:sz="0" w:space="0" w:color="auto"/>
                <w:bottom w:val="none" w:sz="0" w:space="0" w:color="auto"/>
                <w:right w:val="none" w:sz="0" w:space="0" w:color="auto"/>
              </w:divBdr>
            </w:div>
            <w:div w:id="1663700199">
              <w:marLeft w:val="0"/>
              <w:marRight w:val="0"/>
              <w:marTop w:val="0"/>
              <w:marBottom w:val="0"/>
              <w:divBdr>
                <w:top w:val="none" w:sz="0" w:space="0" w:color="auto"/>
                <w:left w:val="none" w:sz="0" w:space="0" w:color="auto"/>
                <w:bottom w:val="none" w:sz="0" w:space="0" w:color="auto"/>
                <w:right w:val="none" w:sz="0" w:space="0" w:color="auto"/>
              </w:divBdr>
            </w:div>
            <w:div w:id="380597382">
              <w:marLeft w:val="0"/>
              <w:marRight w:val="0"/>
              <w:marTop w:val="0"/>
              <w:marBottom w:val="0"/>
              <w:divBdr>
                <w:top w:val="none" w:sz="0" w:space="0" w:color="auto"/>
                <w:left w:val="none" w:sz="0" w:space="0" w:color="auto"/>
                <w:bottom w:val="none" w:sz="0" w:space="0" w:color="auto"/>
                <w:right w:val="none" w:sz="0" w:space="0" w:color="auto"/>
              </w:divBdr>
            </w:div>
          </w:divsChild>
        </w:div>
        <w:div w:id="192573776">
          <w:marLeft w:val="0"/>
          <w:marRight w:val="0"/>
          <w:marTop w:val="0"/>
          <w:marBottom w:val="0"/>
          <w:divBdr>
            <w:top w:val="none" w:sz="0" w:space="0" w:color="auto"/>
            <w:left w:val="none" w:sz="0" w:space="0" w:color="auto"/>
            <w:bottom w:val="none" w:sz="0" w:space="0" w:color="auto"/>
            <w:right w:val="none" w:sz="0" w:space="0" w:color="auto"/>
          </w:divBdr>
          <w:divsChild>
            <w:div w:id="1431701598">
              <w:marLeft w:val="0"/>
              <w:marRight w:val="0"/>
              <w:marTop w:val="0"/>
              <w:marBottom w:val="0"/>
              <w:divBdr>
                <w:top w:val="none" w:sz="0" w:space="0" w:color="auto"/>
                <w:left w:val="none" w:sz="0" w:space="0" w:color="auto"/>
                <w:bottom w:val="none" w:sz="0" w:space="0" w:color="auto"/>
                <w:right w:val="none" w:sz="0" w:space="0" w:color="auto"/>
              </w:divBdr>
            </w:div>
          </w:divsChild>
        </w:div>
        <w:div w:id="1762800183">
          <w:marLeft w:val="0"/>
          <w:marRight w:val="0"/>
          <w:marTop w:val="0"/>
          <w:marBottom w:val="0"/>
          <w:divBdr>
            <w:top w:val="none" w:sz="0" w:space="0" w:color="auto"/>
            <w:left w:val="none" w:sz="0" w:space="0" w:color="auto"/>
            <w:bottom w:val="none" w:sz="0" w:space="0" w:color="auto"/>
            <w:right w:val="none" w:sz="0" w:space="0" w:color="auto"/>
          </w:divBdr>
          <w:divsChild>
            <w:div w:id="614405168">
              <w:marLeft w:val="0"/>
              <w:marRight w:val="0"/>
              <w:marTop w:val="0"/>
              <w:marBottom w:val="0"/>
              <w:divBdr>
                <w:top w:val="none" w:sz="0" w:space="0" w:color="auto"/>
                <w:left w:val="none" w:sz="0" w:space="0" w:color="auto"/>
                <w:bottom w:val="none" w:sz="0" w:space="0" w:color="auto"/>
                <w:right w:val="none" w:sz="0" w:space="0" w:color="auto"/>
              </w:divBdr>
            </w:div>
            <w:div w:id="71703853">
              <w:marLeft w:val="0"/>
              <w:marRight w:val="0"/>
              <w:marTop w:val="0"/>
              <w:marBottom w:val="0"/>
              <w:divBdr>
                <w:top w:val="none" w:sz="0" w:space="0" w:color="auto"/>
                <w:left w:val="none" w:sz="0" w:space="0" w:color="auto"/>
                <w:bottom w:val="none" w:sz="0" w:space="0" w:color="auto"/>
                <w:right w:val="none" w:sz="0" w:space="0" w:color="auto"/>
              </w:divBdr>
            </w:div>
          </w:divsChild>
        </w:div>
        <w:div w:id="1957174259">
          <w:marLeft w:val="0"/>
          <w:marRight w:val="0"/>
          <w:marTop w:val="0"/>
          <w:marBottom w:val="0"/>
          <w:divBdr>
            <w:top w:val="none" w:sz="0" w:space="0" w:color="auto"/>
            <w:left w:val="none" w:sz="0" w:space="0" w:color="auto"/>
            <w:bottom w:val="none" w:sz="0" w:space="0" w:color="auto"/>
            <w:right w:val="none" w:sz="0" w:space="0" w:color="auto"/>
          </w:divBdr>
        </w:div>
        <w:div w:id="1251936399">
          <w:marLeft w:val="0"/>
          <w:marRight w:val="0"/>
          <w:marTop w:val="0"/>
          <w:marBottom w:val="0"/>
          <w:divBdr>
            <w:top w:val="none" w:sz="0" w:space="0" w:color="auto"/>
            <w:left w:val="none" w:sz="0" w:space="0" w:color="auto"/>
            <w:bottom w:val="none" w:sz="0" w:space="0" w:color="auto"/>
            <w:right w:val="none" w:sz="0" w:space="0" w:color="auto"/>
          </w:divBdr>
        </w:div>
        <w:div w:id="1543899672">
          <w:marLeft w:val="0"/>
          <w:marRight w:val="0"/>
          <w:marTop w:val="0"/>
          <w:marBottom w:val="0"/>
          <w:divBdr>
            <w:top w:val="none" w:sz="0" w:space="0" w:color="auto"/>
            <w:left w:val="none" w:sz="0" w:space="0" w:color="auto"/>
            <w:bottom w:val="none" w:sz="0" w:space="0" w:color="auto"/>
            <w:right w:val="none" w:sz="0" w:space="0" w:color="auto"/>
          </w:divBdr>
        </w:div>
        <w:div w:id="1995791234">
          <w:marLeft w:val="0"/>
          <w:marRight w:val="0"/>
          <w:marTop w:val="0"/>
          <w:marBottom w:val="0"/>
          <w:divBdr>
            <w:top w:val="none" w:sz="0" w:space="0" w:color="auto"/>
            <w:left w:val="none" w:sz="0" w:space="0" w:color="auto"/>
            <w:bottom w:val="none" w:sz="0" w:space="0" w:color="auto"/>
            <w:right w:val="none" w:sz="0" w:space="0" w:color="auto"/>
          </w:divBdr>
          <w:divsChild>
            <w:div w:id="1380472360">
              <w:marLeft w:val="0"/>
              <w:marRight w:val="0"/>
              <w:marTop w:val="0"/>
              <w:marBottom w:val="0"/>
              <w:divBdr>
                <w:top w:val="none" w:sz="0" w:space="0" w:color="auto"/>
                <w:left w:val="none" w:sz="0" w:space="0" w:color="auto"/>
                <w:bottom w:val="none" w:sz="0" w:space="0" w:color="auto"/>
                <w:right w:val="none" w:sz="0" w:space="0" w:color="auto"/>
              </w:divBdr>
            </w:div>
            <w:div w:id="1420638891">
              <w:marLeft w:val="0"/>
              <w:marRight w:val="0"/>
              <w:marTop w:val="0"/>
              <w:marBottom w:val="0"/>
              <w:divBdr>
                <w:top w:val="none" w:sz="0" w:space="0" w:color="auto"/>
                <w:left w:val="none" w:sz="0" w:space="0" w:color="auto"/>
                <w:bottom w:val="none" w:sz="0" w:space="0" w:color="auto"/>
                <w:right w:val="none" w:sz="0" w:space="0" w:color="auto"/>
              </w:divBdr>
            </w:div>
            <w:div w:id="1390689166">
              <w:marLeft w:val="0"/>
              <w:marRight w:val="0"/>
              <w:marTop w:val="0"/>
              <w:marBottom w:val="0"/>
              <w:divBdr>
                <w:top w:val="none" w:sz="0" w:space="0" w:color="auto"/>
                <w:left w:val="none" w:sz="0" w:space="0" w:color="auto"/>
                <w:bottom w:val="none" w:sz="0" w:space="0" w:color="auto"/>
                <w:right w:val="none" w:sz="0" w:space="0" w:color="auto"/>
              </w:divBdr>
            </w:div>
            <w:div w:id="1395812616">
              <w:marLeft w:val="0"/>
              <w:marRight w:val="0"/>
              <w:marTop w:val="0"/>
              <w:marBottom w:val="0"/>
              <w:divBdr>
                <w:top w:val="none" w:sz="0" w:space="0" w:color="auto"/>
                <w:left w:val="none" w:sz="0" w:space="0" w:color="auto"/>
                <w:bottom w:val="none" w:sz="0" w:space="0" w:color="auto"/>
                <w:right w:val="none" w:sz="0" w:space="0" w:color="auto"/>
              </w:divBdr>
            </w:div>
          </w:divsChild>
        </w:div>
        <w:div w:id="618073826">
          <w:marLeft w:val="0"/>
          <w:marRight w:val="0"/>
          <w:marTop w:val="0"/>
          <w:marBottom w:val="0"/>
          <w:divBdr>
            <w:top w:val="none" w:sz="0" w:space="0" w:color="auto"/>
            <w:left w:val="none" w:sz="0" w:space="0" w:color="auto"/>
            <w:bottom w:val="none" w:sz="0" w:space="0" w:color="auto"/>
            <w:right w:val="none" w:sz="0" w:space="0" w:color="auto"/>
          </w:divBdr>
        </w:div>
        <w:div w:id="20598572">
          <w:marLeft w:val="0"/>
          <w:marRight w:val="0"/>
          <w:marTop w:val="0"/>
          <w:marBottom w:val="0"/>
          <w:divBdr>
            <w:top w:val="none" w:sz="0" w:space="0" w:color="auto"/>
            <w:left w:val="none" w:sz="0" w:space="0" w:color="auto"/>
            <w:bottom w:val="none" w:sz="0" w:space="0" w:color="auto"/>
            <w:right w:val="none" w:sz="0" w:space="0" w:color="auto"/>
          </w:divBdr>
        </w:div>
        <w:div w:id="1920477008">
          <w:marLeft w:val="0"/>
          <w:marRight w:val="0"/>
          <w:marTop w:val="0"/>
          <w:marBottom w:val="0"/>
          <w:divBdr>
            <w:top w:val="none" w:sz="0" w:space="0" w:color="auto"/>
            <w:left w:val="none" w:sz="0" w:space="0" w:color="auto"/>
            <w:bottom w:val="none" w:sz="0" w:space="0" w:color="auto"/>
            <w:right w:val="none" w:sz="0" w:space="0" w:color="auto"/>
          </w:divBdr>
        </w:div>
        <w:div w:id="1174109508">
          <w:marLeft w:val="0"/>
          <w:marRight w:val="0"/>
          <w:marTop w:val="0"/>
          <w:marBottom w:val="0"/>
          <w:divBdr>
            <w:top w:val="none" w:sz="0" w:space="0" w:color="auto"/>
            <w:left w:val="none" w:sz="0" w:space="0" w:color="auto"/>
            <w:bottom w:val="none" w:sz="0" w:space="0" w:color="auto"/>
            <w:right w:val="none" w:sz="0" w:space="0" w:color="auto"/>
          </w:divBdr>
        </w:div>
        <w:div w:id="1136876787">
          <w:marLeft w:val="0"/>
          <w:marRight w:val="0"/>
          <w:marTop w:val="0"/>
          <w:marBottom w:val="0"/>
          <w:divBdr>
            <w:top w:val="none" w:sz="0" w:space="0" w:color="auto"/>
            <w:left w:val="none" w:sz="0" w:space="0" w:color="auto"/>
            <w:bottom w:val="none" w:sz="0" w:space="0" w:color="auto"/>
            <w:right w:val="none" w:sz="0" w:space="0" w:color="auto"/>
          </w:divBdr>
        </w:div>
        <w:div w:id="1796368046">
          <w:marLeft w:val="0"/>
          <w:marRight w:val="0"/>
          <w:marTop w:val="0"/>
          <w:marBottom w:val="0"/>
          <w:divBdr>
            <w:top w:val="none" w:sz="0" w:space="0" w:color="auto"/>
            <w:left w:val="none" w:sz="0" w:space="0" w:color="auto"/>
            <w:bottom w:val="none" w:sz="0" w:space="0" w:color="auto"/>
            <w:right w:val="none" w:sz="0" w:space="0" w:color="auto"/>
          </w:divBdr>
        </w:div>
        <w:div w:id="958796838">
          <w:marLeft w:val="0"/>
          <w:marRight w:val="0"/>
          <w:marTop w:val="0"/>
          <w:marBottom w:val="0"/>
          <w:divBdr>
            <w:top w:val="none" w:sz="0" w:space="0" w:color="auto"/>
            <w:left w:val="none" w:sz="0" w:space="0" w:color="auto"/>
            <w:bottom w:val="none" w:sz="0" w:space="0" w:color="auto"/>
            <w:right w:val="none" w:sz="0" w:space="0" w:color="auto"/>
          </w:divBdr>
        </w:div>
        <w:div w:id="2137945395">
          <w:marLeft w:val="0"/>
          <w:marRight w:val="0"/>
          <w:marTop w:val="0"/>
          <w:marBottom w:val="0"/>
          <w:divBdr>
            <w:top w:val="none" w:sz="0" w:space="0" w:color="auto"/>
            <w:left w:val="none" w:sz="0" w:space="0" w:color="auto"/>
            <w:bottom w:val="none" w:sz="0" w:space="0" w:color="auto"/>
            <w:right w:val="none" w:sz="0" w:space="0" w:color="auto"/>
          </w:divBdr>
          <w:divsChild>
            <w:div w:id="223613759">
              <w:marLeft w:val="0"/>
              <w:marRight w:val="0"/>
              <w:marTop w:val="0"/>
              <w:marBottom w:val="0"/>
              <w:divBdr>
                <w:top w:val="none" w:sz="0" w:space="0" w:color="auto"/>
                <w:left w:val="none" w:sz="0" w:space="0" w:color="auto"/>
                <w:bottom w:val="none" w:sz="0" w:space="0" w:color="auto"/>
                <w:right w:val="none" w:sz="0" w:space="0" w:color="auto"/>
              </w:divBdr>
            </w:div>
            <w:div w:id="1674994473">
              <w:marLeft w:val="0"/>
              <w:marRight w:val="0"/>
              <w:marTop w:val="0"/>
              <w:marBottom w:val="0"/>
              <w:divBdr>
                <w:top w:val="none" w:sz="0" w:space="0" w:color="auto"/>
                <w:left w:val="none" w:sz="0" w:space="0" w:color="auto"/>
                <w:bottom w:val="none" w:sz="0" w:space="0" w:color="auto"/>
                <w:right w:val="none" w:sz="0" w:space="0" w:color="auto"/>
              </w:divBdr>
            </w:div>
            <w:div w:id="1217668235">
              <w:marLeft w:val="0"/>
              <w:marRight w:val="0"/>
              <w:marTop w:val="0"/>
              <w:marBottom w:val="0"/>
              <w:divBdr>
                <w:top w:val="none" w:sz="0" w:space="0" w:color="auto"/>
                <w:left w:val="none" w:sz="0" w:space="0" w:color="auto"/>
                <w:bottom w:val="none" w:sz="0" w:space="0" w:color="auto"/>
                <w:right w:val="none" w:sz="0" w:space="0" w:color="auto"/>
              </w:divBdr>
            </w:div>
          </w:divsChild>
        </w:div>
        <w:div w:id="1501044468">
          <w:marLeft w:val="0"/>
          <w:marRight w:val="0"/>
          <w:marTop w:val="0"/>
          <w:marBottom w:val="0"/>
          <w:divBdr>
            <w:top w:val="none" w:sz="0" w:space="0" w:color="auto"/>
            <w:left w:val="none" w:sz="0" w:space="0" w:color="auto"/>
            <w:bottom w:val="none" w:sz="0" w:space="0" w:color="auto"/>
            <w:right w:val="none" w:sz="0" w:space="0" w:color="auto"/>
          </w:divBdr>
        </w:div>
        <w:div w:id="1969701528">
          <w:marLeft w:val="0"/>
          <w:marRight w:val="0"/>
          <w:marTop w:val="0"/>
          <w:marBottom w:val="0"/>
          <w:divBdr>
            <w:top w:val="none" w:sz="0" w:space="0" w:color="auto"/>
            <w:left w:val="none" w:sz="0" w:space="0" w:color="auto"/>
            <w:bottom w:val="none" w:sz="0" w:space="0" w:color="auto"/>
            <w:right w:val="none" w:sz="0" w:space="0" w:color="auto"/>
          </w:divBdr>
        </w:div>
        <w:div w:id="1493830896">
          <w:marLeft w:val="0"/>
          <w:marRight w:val="0"/>
          <w:marTop w:val="0"/>
          <w:marBottom w:val="0"/>
          <w:divBdr>
            <w:top w:val="none" w:sz="0" w:space="0" w:color="auto"/>
            <w:left w:val="none" w:sz="0" w:space="0" w:color="auto"/>
            <w:bottom w:val="none" w:sz="0" w:space="0" w:color="auto"/>
            <w:right w:val="none" w:sz="0" w:space="0" w:color="auto"/>
          </w:divBdr>
        </w:div>
        <w:div w:id="1035228231">
          <w:marLeft w:val="0"/>
          <w:marRight w:val="0"/>
          <w:marTop w:val="0"/>
          <w:marBottom w:val="0"/>
          <w:divBdr>
            <w:top w:val="none" w:sz="0" w:space="0" w:color="auto"/>
            <w:left w:val="none" w:sz="0" w:space="0" w:color="auto"/>
            <w:bottom w:val="none" w:sz="0" w:space="0" w:color="auto"/>
            <w:right w:val="none" w:sz="0" w:space="0" w:color="auto"/>
          </w:divBdr>
          <w:divsChild>
            <w:div w:id="1492211122">
              <w:marLeft w:val="0"/>
              <w:marRight w:val="0"/>
              <w:marTop w:val="0"/>
              <w:marBottom w:val="0"/>
              <w:divBdr>
                <w:top w:val="none" w:sz="0" w:space="0" w:color="auto"/>
                <w:left w:val="none" w:sz="0" w:space="0" w:color="auto"/>
                <w:bottom w:val="none" w:sz="0" w:space="0" w:color="auto"/>
                <w:right w:val="none" w:sz="0" w:space="0" w:color="auto"/>
              </w:divBdr>
            </w:div>
            <w:div w:id="1050149683">
              <w:marLeft w:val="0"/>
              <w:marRight w:val="0"/>
              <w:marTop w:val="0"/>
              <w:marBottom w:val="0"/>
              <w:divBdr>
                <w:top w:val="none" w:sz="0" w:space="0" w:color="auto"/>
                <w:left w:val="none" w:sz="0" w:space="0" w:color="auto"/>
                <w:bottom w:val="none" w:sz="0" w:space="0" w:color="auto"/>
                <w:right w:val="none" w:sz="0" w:space="0" w:color="auto"/>
              </w:divBdr>
            </w:div>
          </w:divsChild>
        </w:div>
        <w:div w:id="943609337">
          <w:marLeft w:val="0"/>
          <w:marRight w:val="0"/>
          <w:marTop w:val="0"/>
          <w:marBottom w:val="0"/>
          <w:divBdr>
            <w:top w:val="none" w:sz="0" w:space="0" w:color="auto"/>
            <w:left w:val="none" w:sz="0" w:space="0" w:color="auto"/>
            <w:bottom w:val="none" w:sz="0" w:space="0" w:color="auto"/>
            <w:right w:val="none" w:sz="0" w:space="0" w:color="auto"/>
          </w:divBdr>
        </w:div>
        <w:div w:id="1438910102">
          <w:marLeft w:val="0"/>
          <w:marRight w:val="0"/>
          <w:marTop w:val="0"/>
          <w:marBottom w:val="0"/>
          <w:divBdr>
            <w:top w:val="none" w:sz="0" w:space="0" w:color="auto"/>
            <w:left w:val="none" w:sz="0" w:space="0" w:color="auto"/>
            <w:bottom w:val="none" w:sz="0" w:space="0" w:color="auto"/>
            <w:right w:val="none" w:sz="0" w:space="0" w:color="auto"/>
          </w:divBdr>
        </w:div>
        <w:div w:id="115568577">
          <w:marLeft w:val="0"/>
          <w:marRight w:val="0"/>
          <w:marTop w:val="0"/>
          <w:marBottom w:val="0"/>
          <w:divBdr>
            <w:top w:val="none" w:sz="0" w:space="0" w:color="auto"/>
            <w:left w:val="none" w:sz="0" w:space="0" w:color="auto"/>
            <w:bottom w:val="none" w:sz="0" w:space="0" w:color="auto"/>
            <w:right w:val="none" w:sz="0" w:space="0" w:color="auto"/>
          </w:divBdr>
          <w:divsChild>
            <w:div w:id="605117033">
              <w:marLeft w:val="0"/>
              <w:marRight w:val="0"/>
              <w:marTop w:val="0"/>
              <w:marBottom w:val="0"/>
              <w:divBdr>
                <w:top w:val="none" w:sz="0" w:space="0" w:color="auto"/>
                <w:left w:val="none" w:sz="0" w:space="0" w:color="auto"/>
                <w:bottom w:val="none" w:sz="0" w:space="0" w:color="auto"/>
                <w:right w:val="none" w:sz="0" w:space="0" w:color="auto"/>
              </w:divBdr>
            </w:div>
            <w:div w:id="254096713">
              <w:marLeft w:val="0"/>
              <w:marRight w:val="0"/>
              <w:marTop w:val="0"/>
              <w:marBottom w:val="0"/>
              <w:divBdr>
                <w:top w:val="none" w:sz="0" w:space="0" w:color="auto"/>
                <w:left w:val="none" w:sz="0" w:space="0" w:color="auto"/>
                <w:bottom w:val="none" w:sz="0" w:space="0" w:color="auto"/>
                <w:right w:val="none" w:sz="0" w:space="0" w:color="auto"/>
              </w:divBdr>
            </w:div>
            <w:div w:id="1475414297">
              <w:marLeft w:val="0"/>
              <w:marRight w:val="0"/>
              <w:marTop w:val="0"/>
              <w:marBottom w:val="0"/>
              <w:divBdr>
                <w:top w:val="none" w:sz="0" w:space="0" w:color="auto"/>
                <w:left w:val="none" w:sz="0" w:space="0" w:color="auto"/>
                <w:bottom w:val="none" w:sz="0" w:space="0" w:color="auto"/>
                <w:right w:val="none" w:sz="0" w:space="0" w:color="auto"/>
              </w:divBdr>
            </w:div>
            <w:div w:id="13046440">
              <w:marLeft w:val="0"/>
              <w:marRight w:val="0"/>
              <w:marTop w:val="0"/>
              <w:marBottom w:val="0"/>
              <w:divBdr>
                <w:top w:val="none" w:sz="0" w:space="0" w:color="auto"/>
                <w:left w:val="none" w:sz="0" w:space="0" w:color="auto"/>
                <w:bottom w:val="none" w:sz="0" w:space="0" w:color="auto"/>
                <w:right w:val="none" w:sz="0" w:space="0" w:color="auto"/>
              </w:divBdr>
            </w:div>
            <w:div w:id="1228229874">
              <w:marLeft w:val="0"/>
              <w:marRight w:val="0"/>
              <w:marTop w:val="0"/>
              <w:marBottom w:val="0"/>
              <w:divBdr>
                <w:top w:val="none" w:sz="0" w:space="0" w:color="auto"/>
                <w:left w:val="none" w:sz="0" w:space="0" w:color="auto"/>
                <w:bottom w:val="none" w:sz="0" w:space="0" w:color="auto"/>
                <w:right w:val="none" w:sz="0" w:space="0" w:color="auto"/>
              </w:divBdr>
            </w:div>
          </w:divsChild>
        </w:div>
        <w:div w:id="1808476109">
          <w:marLeft w:val="0"/>
          <w:marRight w:val="0"/>
          <w:marTop w:val="0"/>
          <w:marBottom w:val="0"/>
          <w:divBdr>
            <w:top w:val="none" w:sz="0" w:space="0" w:color="auto"/>
            <w:left w:val="none" w:sz="0" w:space="0" w:color="auto"/>
            <w:bottom w:val="none" w:sz="0" w:space="0" w:color="auto"/>
            <w:right w:val="none" w:sz="0" w:space="0" w:color="auto"/>
          </w:divBdr>
        </w:div>
        <w:div w:id="40518370">
          <w:marLeft w:val="0"/>
          <w:marRight w:val="0"/>
          <w:marTop w:val="0"/>
          <w:marBottom w:val="0"/>
          <w:divBdr>
            <w:top w:val="none" w:sz="0" w:space="0" w:color="auto"/>
            <w:left w:val="none" w:sz="0" w:space="0" w:color="auto"/>
            <w:bottom w:val="none" w:sz="0" w:space="0" w:color="auto"/>
            <w:right w:val="none" w:sz="0" w:space="0" w:color="auto"/>
          </w:divBdr>
        </w:div>
        <w:div w:id="113982523">
          <w:marLeft w:val="0"/>
          <w:marRight w:val="0"/>
          <w:marTop w:val="0"/>
          <w:marBottom w:val="0"/>
          <w:divBdr>
            <w:top w:val="none" w:sz="0" w:space="0" w:color="auto"/>
            <w:left w:val="none" w:sz="0" w:space="0" w:color="auto"/>
            <w:bottom w:val="none" w:sz="0" w:space="0" w:color="auto"/>
            <w:right w:val="none" w:sz="0" w:space="0" w:color="auto"/>
          </w:divBdr>
        </w:div>
        <w:div w:id="1250234833">
          <w:marLeft w:val="0"/>
          <w:marRight w:val="0"/>
          <w:marTop w:val="0"/>
          <w:marBottom w:val="0"/>
          <w:divBdr>
            <w:top w:val="none" w:sz="0" w:space="0" w:color="auto"/>
            <w:left w:val="none" w:sz="0" w:space="0" w:color="auto"/>
            <w:bottom w:val="none" w:sz="0" w:space="0" w:color="auto"/>
            <w:right w:val="none" w:sz="0" w:space="0" w:color="auto"/>
          </w:divBdr>
        </w:div>
        <w:div w:id="2079011101">
          <w:marLeft w:val="0"/>
          <w:marRight w:val="0"/>
          <w:marTop w:val="0"/>
          <w:marBottom w:val="0"/>
          <w:divBdr>
            <w:top w:val="none" w:sz="0" w:space="0" w:color="auto"/>
            <w:left w:val="none" w:sz="0" w:space="0" w:color="auto"/>
            <w:bottom w:val="none" w:sz="0" w:space="0" w:color="auto"/>
            <w:right w:val="none" w:sz="0" w:space="0" w:color="auto"/>
          </w:divBdr>
        </w:div>
        <w:div w:id="1003823501">
          <w:marLeft w:val="0"/>
          <w:marRight w:val="0"/>
          <w:marTop w:val="0"/>
          <w:marBottom w:val="0"/>
          <w:divBdr>
            <w:top w:val="none" w:sz="0" w:space="0" w:color="auto"/>
            <w:left w:val="none" w:sz="0" w:space="0" w:color="auto"/>
            <w:bottom w:val="none" w:sz="0" w:space="0" w:color="auto"/>
            <w:right w:val="none" w:sz="0" w:space="0" w:color="auto"/>
          </w:divBdr>
        </w:div>
        <w:div w:id="744692497">
          <w:marLeft w:val="0"/>
          <w:marRight w:val="0"/>
          <w:marTop w:val="0"/>
          <w:marBottom w:val="0"/>
          <w:divBdr>
            <w:top w:val="none" w:sz="0" w:space="0" w:color="auto"/>
            <w:left w:val="none" w:sz="0" w:space="0" w:color="auto"/>
            <w:bottom w:val="none" w:sz="0" w:space="0" w:color="auto"/>
            <w:right w:val="none" w:sz="0" w:space="0" w:color="auto"/>
          </w:divBdr>
        </w:div>
        <w:div w:id="1886671647">
          <w:marLeft w:val="0"/>
          <w:marRight w:val="0"/>
          <w:marTop w:val="0"/>
          <w:marBottom w:val="0"/>
          <w:divBdr>
            <w:top w:val="none" w:sz="0" w:space="0" w:color="auto"/>
            <w:left w:val="none" w:sz="0" w:space="0" w:color="auto"/>
            <w:bottom w:val="none" w:sz="0" w:space="0" w:color="auto"/>
            <w:right w:val="none" w:sz="0" w:space="0" w:color="auto"/>
          </w:divBdr>
        </w:div>
        <w:div w:id="1686589057">
          <w:marLeft w:val="0"/>
          <w:marRight w:val="0"/>
          <w:marTop w:val="0"/>
          <w:marBottom w:val="0"/>
          <w:divBdr>
            <w:top w:val="none" w:sz="0" w:space="0" w:color="auto"/>
            <w:left w:val="none" w:sz="0" w:space="0" w:color="auto"/>
            <w:bottom w:val="none" w:sz="0" w:space="0" w:color="auto"/>
            <w:right w:val="none" w:sz="0" w:space="0" w:color="auto"/>
          </w:divBdr>
        </w:div>
        <w:div w:id="1243300914">
          <w:marLeft w:val="0"/>
          <w:marRight w:val="0"/>
          <w:marTop w:val="0"/>
          <w:marBottom w:val="0"/>
          <w:divBdr>
            <w:top w:val="none" w:sz="0" w:space="0" w:color="auto"/>
            <w:left w:val="none" w:sz="0" w:space="0" w:color="auto"/>
            <w:bottom w:val="none" w:sz="0" w:space="0" w:color="auto"/>
            <w:right w:val="none" w:sz="0" w:space="0" w:color="auto"/>
          </w:divBdr>
        </w:div>
        <w:div w:id="1424302359">
          <w:marLeft w:val="0"/>
          <w:marRight w:val="0"/>
          <w:marTop w:val="0"/>
          <w:marBottom w:val="0"/>
          <w:divBdr>
            <w:top w:val="none" w:sz="0" w:space="0" w:color="auto"/>
            <w:left w:val="none" w:sz="0" w:space="0" w:color="auto"/>
            <w:bottom w:val="none" w:sz="0" w:space="0" w:color="auto"/>
            <w:right w:val="none" w:sz="0" w:space="0" w:color="auto"/>
          </w:divBdr>
        </w:div>
        <w:div w:id="244340673">
          <w:marLeft w:val="0"/>
          <w:marRight w:val="0"/>
          <w:marTop w:val="0"/>
          <w:marBottom w:val="0"/>
          <w:divBdr>
            <w:top w:val="none" w:sz="0" w:space="0" w:color="auto"/>
            <w:left w:val="none" w:sz="0" w:space="0" w:color="auto"/>
            <w:bottom w:val="none" w:sz="0" w:space="0" w:color="auto"/>
            <w:right w:val="none" w:sz="0" w:space="0" w:color="auto"/>
          </w:divBdr>
        </w:div>
        <w:div w:id="622347813">
          <w:marLeft w:val="0"/>
          <w:marRight w:val="0"/>
          <w:marTop w:val="0"/>
          <w:marBottom w:val="0"/>
          <w:divBdr>
            <w:top w:val="none" w:sz="0" w:space="0" w:color="auto"/>
            <w:left w:val="none" w:sz="0" w:space="0" w:color="auto"/>
            <w:bottom w:val="none" w:sz="0" w:space="0" w:color="auto"/>
            <w:right w:val="none" w:sz="0" w:space="0" w:color="auto"/>
          </w:divBdr>
        </w:div>
        <w:div w:id="417676450">
          <w:marLeft w:val="0"/>
          <w:marRight w:val="0"/>
          <w:marTop w:val="0"/>
          <w:marBottom w:val="0"/>
          <w:divBdr>
            <w:top w:val="none" w:sz="0" w:space="0" w:color="auto"/>
            <w:left w:val="none" w:sz="0" w:space="0" w:color="auto"/>
            <w:bottom w:val="none" w:sz="0" w:space="0" w:color="auto"/>
            <w:right w:val="none" w:sz="0" w:space="0" w:color="auto"/>
          </w:divBdr>
        </w:div>
        <w:div w:id="492574806">
          <w:marLeft w:val="0"/>
          <w:marRight w:val="0"/>
          <w:marTop w:val="0"/>
          <w:marBottom w:val="0"/>
          <w:divBdr>
            <w:top w:val="none" w:sz="0" w:space="0" w:color="auto"/>
            <w:left w:val="none" w:sz="0" w:space="0" w:color="auto"/>
            <w:bottom w:val="none" w:sz="0" w:space="0" w:color="auto"/>
            <w:right w:val="none" w:sz="0" w:space="0" w:color="auto"/>
          </w:divBdr>
        </w:div>
        <w:div w:id="444010019">
          <w:marLeft w:val="0"/>
          <w:marRight w:val="0"/>
          <w:marTop w:val="0"/>
          <w:marBottom w:val="0"/>
          <w:divBdr>
            <w:top w:val="none" w:sz="0" w:space="0" w:color="auto"/>
            <w:left w:val="none" w:sz="0" w:space="0" w:color="auto"/>
            <w:bottom w:val="none" w:sz="0" w:space="0" w:color="auto"/>
            <w:right w:val="none" w:sz="0" w:space="0" w:color="auto"/>
          </w:divBdr>
        </w:div>
        <w:div w:id="1476337371">
          <w:marLeft w:val="0"/>
          <w:marRight w:val="0"/>
          <w:marTop w:val="0"/>
          <w:marBottom w:val="0"/>
          <w:divBdr>
            <w:top w:val="none" w:sz="0" w:space="0" w:color="auto"/>
            <w:left w:val="none" w:sz="0" w:space="0" w:color="auto"/>
            <w:bottom w:val="none" w:sz="0" w:space="0" w:color="auto"/>
            <w:right w:val="none" w:sz="0" w:space="0" w:color="auto"/>
          </w:divBdr>
        </w:div>
        <w:div w:id="1088186666">
          <w:marLeft w:val="0"/>
          <w:marRight w:val="0"/>
          <w:marTop w:val="0"/>
          <w:marBottom w:val="0"/>
          <w:divBdr>
            <w:top w:val="none" w:sz="0" w:space="0" w:color="auto"/>
            <w:left w:val="none" w:sz="0" w:space="0" w:color="auto"/>
            <w:bottom w:val="none" w:sz="0" w:space="0" w:color="auto"/>
            <w:right w:val="none" w:sz="0" w:space="0" w:color="auto"/>
          </w:divBdr>
        </w:div>
        <w:div w:id="696273747">
          <w:marLeft w:val="0"/>
          <w:marRight w:val="0"/>
          <w:marTop w:val="0"/>
          <w:marBottom w:val="0"/>
          <w:divBdr>
            <w:top w:val="none" w:sz="0" w:space="0" w:color="auto"/>
            <w:left w:val="none" w:sz="0" w:space="0" w:color="auto"/>
            <w:bottom w:val="none" w:sz="0" w:space="0" w:color="auto"/>
            <w:right w:val="none" w:sz="0" w:space="0" w:color="auto"/>
          </w:divBdr>
        </w:div>
        <w:div w:id="1309556528">
          <w:marLeft w:val="0"/>
          <w:marRight w:val="0"/>
          <w:marTop w:val="0"/>
          <w:marBottom w:val="0"/>
          <w:divBdr>
            <w:top w:val="none" w:sz="0" w:space="0" w:color="auto"/>
            <w:left w:val="none" w:sz="0" w:space="0" w:color="auto"/>
            <w:bottom w:val="none" w:sz="0" w:space="0" w:color="auto"/>
            <w:right w:val="none" w:sz="0" w:space="0" w:color="auto"/>
          </w:divBdr>
        </w:div>
        <w:div w:id="889805701">
          <w:marLeft w:val="0"/>
          <w:marRight w:val="0"/>
          <w:marTop w:val="0"/>
          <w:marBottom w:val="0"/>
          <w:divBdr>
            <w:top w:val="none" w:sz="0" w:space="0" w:color="auto"/>
            <w:left w:val="none" w:sz="0" w:space="0" w:color="auto"/>
            <w:bottom w:val="none" w:sz="0" w:space="0" w:color="auto"/>
            <w:right w:val="none" w:sz="0" w:space="0" w:color="auto"/>
          </w:divBdr>
        </w:div>
        <w:div w:id="718280691">
          <w:marLeft w:val="0"/>
          <w:marRight w:val="0"/>
          <w:marTop w:val="0"/>
          <w:marBottom w:val="0"/>
          <w:divBdr>
            <w:top w:val="none" w:sz="0" w:space="0" w:color="auto"/>
            <w:left w:val="none" w:sz="0" w:space="0" w:color="auto"/>
            <w:bottom w:val="none" w:sz="0" w:space="0" w:color="auto"/>
            <w:right w:val="none" w:sz="0" w:space="0" w:color="auto"/>
          </w:divBdr>
        </w:div>
        <w:div w:id="1630893818">
          <w:marLeft w:val="0"/>
          <w:marRight w:val="0"/>
          <w:marTop w:val="0"/>
          <w:marBottom w:val="0"/>
          <w:divBdr>
            <w:top w:val="none" w:sz="0" w:space="0" w:color="auto"/>
            <w:left w:val="none" w:sz="0" w:space="0" w:color="auto"/>
            <w:bottom w:val="none" w:sz="0" w:space="0" w:color="auto"/>
            <w:right w:val="none" w:sz="0" w:space="0" w:color="auto"/>
          </w:divBdr>
        </w:div>
        <w:div w:id="2011370902">
          <w:marLeft w:val="0"/>
          <w:marRight w:val="0"/>
          <w:marTop w:val="0"/>
          <w:marBottom w:val="0"/>
          <w:divBdr>
            <w:top w:val="none" w:sz="0" w:space="0" w:color="auto"/>
            <w:left w:val="none" w:sz="0" w:space="0" w:color="auto"/>
            <w:bottom w:val="none" w:sz="0" w:space="0" w:color="auto"/>
            <w:right w:val="none" w:sz="0" w:space="0" w:color="auto"/>
          </w:divBdr>
        </w:div>
        <w:div w:id="891379293">
          <w:marLeft w:val="0"/>
          <w:marRight w:val="0"/>
          <w:marTop w:val="0"/>
          <w:marBottom w:val="0"/>
          <w:divBdr>
            <w:top w:val="none" w:sz="0" w:space="0" w:color="auto"/>
            <w:left w:val="none" w:sz="0" w:space="0" w:color="auto"/>
            <w:bottom w:val="none" w:sz="0" w:space="0" w:color="auto"/>
            <w:right w:val="none" w:sz="0" w:space="0" w:color="auto"/>
          </w:divBdr>
        </w:div>
        <w:div w:id="1101610285">
          <w:marLeft w:val="0"/>
          <w:marRight w:val="0"/>
          <w:marTop w:val="0"/>
          <w:marBottom w:val="0"/>
          <w:divBdr>
            <w:top w:val="none" w:sz="0" w:space="0" w:color="auto"/>
            <w:left w:val="none" w:sz="0" w:space="0" w:color="auto"/>
            <w:bottom w:val="none" w:sz="0" w:space="0" w:color="auto"/>
            <w:right w:val="none" w:sz="0" w:space="0" w:color="auto"/>
          </w:divBdr>
        </w:div>
        <w:div w:id="49034597">
          <w:marLeft w:val="0"/>
          <w:marRight w:val="0"/>
          <w:marTop w:val="0"/>
          <w:marBottom w:val="0"/>
          <w:divBdr>
            <w:top w:val="none" w:sz="0" w:space="0" w:color="auto"/>
            <w:left w:val="none" w:sz="0" w:space="0" w:color="auto"/>
            <w:bottom w:val="none" w:sz="0" w:space="0" w:color="auto"/>
            <w:right w:val="none" w:sz="0" w:space="0" w:color="auto"/>
          </w:divBdr>
        </w:div>
        <w:div w:id="1780179080">
          <w:marLeft w:val="0"/>
          <w:marRight w:val="0"/>
          <w:marTop w:val="0"/>
          <w:marBottom w:val="0"/>
          <w:divBdr>
            <w:top w:val="none" w:sz="0" w:space="0" w:color="auto"/>
            <w:left w:val="none" w:sz="0" w:space="0" w:color="auto"/>
            <w:bottom w:val="none" w:sz="0" w:space="0" w:color="auto"/>
            <w:right w:val="none" w:sz="0" w:space="0" w:color="auto"/>
          </w:divBdr>
        </w:div>
        <w:div w:id="1957298496">
          <w:marLeft w:val="0"/>
          <w:marRight w:val="0"/>
          <w:marTop w:val="0"/>
          <w:marBottom w:val="0"/>
          <w:divBdr>
            <w:top w:val="none" w:sz="0" w:space="0" w:color="auto"/>
            <w:left w:val="none" w:sz="0" w:space="0" w:color="auto"/>
            <w:bottom w:val="none" w:sz="0" w:space="0" w:color="auto"/>
            <w:right w:val="none" w:sz="0" w:space="0" w:color="auto"/>
          </w:divBdr>
        </w:div>
        <w:div w:id="1912305916">
          <w:marLeft w:val="0"/>
          <w:marRight w:val="0"/>
          <w:marTop w:val="0"/>
          <w:marBottom w:val="0"/>
          <w:divBdr>
            <w:top w:val="none" w:sz="0" w:space="0" w:color="auto"/>
            <w:left w:val="none" w:sz="0" w:space="0" w:color="auto"/>
            <w:bottom w:val="none" w:sz="0" w:space="0" w:color="auto"/>
            <w:right w:val="none" w:sz="0" w:space="0" w:color="auto"/>
          </w:divBdr>
        </w:div>
        <w:div w:id="2057508921">
          <w:marLeft w:val="0"/>
          <w:marRight w:val="0"/>
          <w:marTop w:val="0"/>
          <w:marBottom w:val="0"/>
          <w:divBdr>
            <w:top w:val="none" w:sz="0" w:space="0" w:color="auto"/>
            <w:left w:val="none" w:sz="0" w:space="0" w:color="auto"/>
            <w:bottom w:val="none" w:sz="0" w:space="0" w:color="auto"/>
            <w:right w:val="none" w:sz="0" w:space="0" w:color="auto"/>
          </w:divBdr>
        </w:div>
        <w:div w:id="1667241339">
          <w:marLeft w:val="0"/>
          <w:marRight w:val="0"/>
          <w:marTop w:val="0"/>
          <w:marBottom w:val="0"/>
          <w:divBdr>
            <w:top w:val="none" w:sz="0" w:space="0" w:color="auto"/>
            <w:left w:val="none" w:sz="0" w:space="0" w:color="auto"/>
            <w:bottom w:val="none" w:sz="0" w:space="0" w:color="auto"/>
            <w:right w:val="none" w:sz="0" w:space="0" w:color="auto"/>
          </w:divBdr>
        </w:div>
        <w:div w:id="824392226">
          <w:marLeft w:val="0"/>
          <w:marRight w:val="0"/>
          <w:marTop w:val="0"/>
          <w:marBottom w:val="0"/>
          <w:divBdr>
            <w:top w:val="none" w:sz="0" w:space="0" w:color="auto"/>
            <w:left w:val="none" w:sz="0" w:space="0" w:color="auto"/>
            <w:bottom w:val="none" w:sz="0" w:space="0" w:color="auto"/>
            <w:right w:val="none" w:sz="0" w:space="0" w:color="auto"/>
          </w:divBdr>
        </w:div>
        <w:div w:id="897402425">
          <w:marLeft w:val="0"/>
          <w:marRight w:val="0"/>
          <w:marTop w:val="0"/>
          <w:marBottom w:val="0"/>
          <w:divBdr>
            <w:top w:val="none" w:sz="0" w:space="0" w:color="auto"/>
            <w:left w:val="none" w:sz="0" w:space="0" w:color="auto"/>
            <w:bottom w:val="none" w:sz="0" w:space="0" w:color="auto"/>
            <w:right w:val="none" w:sz="0" w:space="0" w:color="auto"/>
          </w:divBdr>
        </w:div>
        <w:div w:id="147402541">
          <w:marLeft w:val="0"/>
          <w:marRight w:val="0"/>
          <w:marTop w:val="0"/>
          <w:marBottom w:val="0"/>
          <w:divBdr>
            <w:top w:val="none" w:sz="0" w:space="0" w:color="auto"/>
            <w:left w:val="none" w:sz="0" w:space="0" w:color="auto"/>
            <w:bottom w:val="none" w:sz="0" w:space="0" w:color="auto"/>
            <w:right w:val="none" w:sz="0" w:space="0" w:color="auto"/>
          </w:divBdr>
        </w:div>
        <w:div w:id="1557356096">
          <w:marLeft w:val="0"/>
          <w:marRight w:val="0"/>
          <w:marTop w:val="0"/>
          <w:marBottom w:val="0"/>
          <w:divBdr>
            <w:top w:val="none" w:sz="0" w:space="0" w:color="auto"/>
            <w:left w:val="none" w:sz="0" w:space="0" w:color="auto"/>
            <w:bottom w:val="none" w:sz="0" w:space="0" w:color="auto"/>
            <w:right w:val="none" w:sz="0" w:space="0" w:color="auto"/>
          </w:divBdr>
        </w:div>
        <w:div w:id="1058355312">
          <w:marLeft w:val="0"/>
          <w:marRight w:val="0"/>
          <w:marTop w:val="0"/>
          <w:marBottom w:val="0"/>
          <w:divBdr>
            <w:top w:val="none" w:sz="0" w:space="0" w:color="auto"/>
            <w:left w:val="none" w:sz="0" w:space="0" w:color="auto"/>
            <w:bottom w:val="none" w:sz="0" w:space="0" w:color="auto"/>
            <w:right w:val="none" w:sz="0" w:space="0" w:color="auto"/>
          </w:divBdr>
          <w:divsChild>
            <w:div w:id="1875270189">
              <w:marLeft w:val="0"/>
              <w:marRight w:val="0"/>
              <w:marTop w:val="0"/>
              <w:marBottom w:val="0"/>
              <w:divBdr>
                <w:top w:val="none" w:sz="0" w:space="0" w:color="auto"/>
                <w:left w:val="none" w:sz="0" w:space="0" w:color="auto"/>
                <w:bottom w:val="none" w:sz="0" w:space="0" w:color="auto"/>
                <w:right w:val="none" w:sz="0" w:space="0" w:color="auto"/>
              </w:divBdr>
            </w:div>
            <w:div w:id="171116870">
              <w:marLeft w:val="0"/>
              <w:marRight w:val="0"/>
              <w:marTop w:val="0"/>
              <w:marBottom w:val="0"/>
              <w:divBdr>
                <w:top w:val="none" w:sz="0" w:space="0" w:color="auto"/>
                <w:left w:val="none" w:sz="0" w:space="0" w:color="auto"/>
                <w:bottom w:val="none" w:sz="0" w:space="0" w:color="auto"/>
                <w:right w:val="none" w:sz="0" w:space="0" w:color="auto"/>
              </w:divBdr>
            </w:div>
          </w:divsChild>
        </w:div>
        <w:div w:id="760569559">
          <w:marLeft w:val="0"/>
          <w:marRight w:val="0"/>
          <w:marTop w:val="0"/>
          <w:marBottom w:val="0"/>
          <w:divBdr>
            <w:top w:val="none" w:sz="0" w:space="0" w:color="auto"/>
            <w:left w:val="none" w:sz="0" w:space="0" w:color="auto"/>
            <w:bottom w:val="none" w:sz="0" w:space="0" w:color="auto"/>
            <w:right w:val="none" w:sz="0" w:space="0" w:color="auto"/>
          </w:divBdr>
        </w:div>
        <w:div w:id="2044209991">
          <w:marLeft w:val="0"/>
          <w:marRight w:val="0"/>
          <w:marTop w:val="0"/>
          <w:marBottom w:val="0"/>
          <w:divBdr>
            <w:top w:val="none" w:sz="0" w:space="0" w:color="auto"/>
            <w:left w:val="none" w:sz="0" w:space="0" w:color="auto"/>
            <w:bottom w:val="none" w:sz="0" w:space="0" w:color="auto"/>
            <w:right w:val="none" w:sz="0" w:space="0" w:color="auto"/>
          </w:divBdr>
        </w:div>
        <w:div w:id="1480535670">
          <w:marLeft w:val="0"/>
          <w:marRight w:val="0"/>
          <w:marTop w:val="0"/>
          <w:marBottom w:val="0"/>
          <w:divBdr>
            <w:top w:val="none" w:sz="0" w:space="0" w:color="auto"/>
            <w:left w:val="none" w:sz="0" w:space="0" w:color="auto"/>
            <w:bottom w:val="none" w:sz="0" w:space="0" w:color="auto"/>
            <w:right w:val="none" w:sz="0" w:space="0" w:color="auto"/>
          </w:divBdr>
        </w:div>
        <w:div w:id="1857112649">
          <w:marLeft w:val="0"/>
          <w:marRight w:val="0"/>
          <w:marTop w:val="0"/>
          <w:marBottom w:val="0"/>
          <w:divBdr>
            <w:top w:val="none" w:sz="0" w:space="0" w:color="auto"/>
            <w:left w:val="none" w:sz="0" w:space="0" w:color="auto"/>
            <w:bottom w:val="none" w:sz="0" w:space="0" w:color="auto"/>
            <w:right w:val="none" w:sz="0" w:space="0" w:color="auto"/>
          </w:divBdr>
        </w:div>
        <w:div w:id="1973755337">
          <w:marLeft w:val="0"/>
          <w:marRight w:val="0"/>
          <w:marTop w:val="0"/>
          <w:marBottom w:val="0"/>
          <w:divBdr>
            <w:top w:val="none" w:sz="0" w:space="0" w:color="auto"/>
            <w:left w:val="none" w:sz="0" w:space="0" w:color="auto"/>
            <w:bottom w:val="none" w:sz="0" w:space="0" w:color="auto"/>
            <w:right w:val="none" w:sz="0" w:space="0" w:color="auto"/>
          </w:divBdr>
        </w:div>
        <w:div w:id="964695452">
          <w:marLeft w:val="0"/>
          <w:marRight w:val="0"/>
          <w:marTop w:val="0"/>
          <w:marBottom w:val="0"/>
          <w:divBdr>
            <w:top w:val="none" w:sz="0" w:space="0" w:color="auto"/>
            <w:left w:val="none" w:sz="0" w:space="0" w:color="auto"/>
            <w:bottom w:val="none" w:sz="0" w:space="0" w:color="auto"/>
            <w:right w:val="none" w:sz="0" w:space="0" w:color="auto"/>
          </w:divBdr>
        </w:div>
        <w:div w:id="329988350">
          <w:marLeft w:val="0"/>
          <w:marRight w:val="0"/>
          <w:marTop w:val="0"/>
          <w:marBottom w:val="0"/>
          <w:divBdr>
            <w:top w:val="none" w:sz="0" w:space="0" w:color="auto"/>
            <w:left w:val="none" w:sz="0" w:space="0" w:color="auto"/>
            <w:bottom w:val="none" w:sz="0" w:space="0" w:color="auto"/>
            <w:right w:val="none" w:sz="0" w:space="0" w:color="auto"/>
          </w:divBdr>
        </w:div>
        <w:div w:id="2005819614">
          <w:marLeft w:val="0"/>
          <w:marRight w:val="0"/>
          <w:marTop w:val="0"/>
          <w:marBottom w:val="0"/>
          <w:divBdr>
            <w:top w:val="none" w:sz="0" w:space="0" w:color="auto"/>
            <w:left w:val="none" w:sz="0" w:space="0" w:color="auto"/>
            <w:bottom w:val="none" w:sz="0" w:space="0" w:color="auto"/>
            <w:right w:val="none" w:sz="0" w:space="0" w:color="auto"/>
          </w:divBdr>
        </w:div>
        <w:div w:id="1076364354">
          <w:marLeft w:val="0"/>
          <w:marRight w:val="0"/>
          <w:marTop w:val="0"/>
          <w:marBottom w:val="0"/>
          <w:divBdr>
            <w:top w:val="none" w:sz="0" w:space="0" w:color="auto"/>
            <w:left w:val="none" w:sz="0" w:space="0" w:color="auto"/>
            <w:bottom w:val="none" w:sz="0" w:space="0" w:color="auto"/>
            <w:right w:val="none" w:sz="0" w:space="0" w:color="auto"/>
          </w:divBdr>
        </w:div>
        <w:div w:id="1448045178">
          <w:marLeft w:val="0"/>
          <w:marRight w:val="0"/>
          <w:marTop w:val="0"/>
          <w:marBottom w:val="0"/>
          <w:divBdr>
            <w:top w:val="none" w:sz="0" w:space="0" w:color="auto"/>
            <w:left w:val="none" w:sz="0" w:space="0" w:color="auto"/>
            <w:bottom w:val="none" w:sz="0" w:space="0" w:color="auto"/>
            <w:right w:val="none" w:sz="0" w:space="0" w:color="auto"/>
          </w:divBdr>
        </w:div>
        <w:div w:id="28339971">
          <w:marLeft w:val="0"/>
          <w:marRight w:val="0"/>
          <w:marTop w:val="0"/>
          <w:marBottom w:val="0"/>
          <w:divBdr>
            <w:top w:val="none" w:sz="0" w:space="0" w:color="auto"/>
            <w:left w:val="none" w:sz="0" w:space="0" w:color="auto"/>
            <w:bottom w:val="none" w:sz="0" w:space="0" w:color="auto"/>
            <w:right w:val="none" w:sz="0" w:space="0" w:color="auto"/>
          </w:divBdr>
        </w:div>
        <w:div w:id="20865123">
          <w:marLeft w:val="0"/>
          <w:marRight w:val="0"/>
          <w:marTop w:val="0"/>
          <w:marBottom w:val="0"/>
          <w:divBdr>
            <w:top w:val="none" w:sz="0" w:space="0" w:color="auto"/>
            <w:left w:val="none" w:sz="0" w:space="0" w:color="auto"/>
            <w:bottom w:val="none" w:sz="0" w:space="0" w:color="auto"/>
            <w:right w:val="none" w:sz="0" w:space="0" w:color="auto"/>
          </w:divBdr>
        </w:div>
        <w:div w:id="1283224381">
          <w:marLeft w:val="0"/>
          <w:marRight w:val="0"/>
          <w:marTop w:val="0"/>
          <w:marBottom w:val="0"/>
          <w:divBdr>
            <w:top w:val="none" w:sz="0" w:space="0" w:color="auto"/>
            <w:left w:val="none" w:sz="0" w:space="0" w:color="auto"/>
            <w:bottom w:val="none" w:sz="0" w:space="0" w:color="auto"/>
            <w:right w:val="none" w:sz="0" w:space="0" w:color="auto"/>
          </w:divBdr>
        </w:div>
        <w:div w:id="539362250">
          <w:marLeft w:val="0"/>
          <w:marRight w:val="0"/>
          <w:marTop w:val="0"/>
          <w:marBottom w:val="0"/>
          <w:divBdr>
            <w:top w:val="none" w:sz="0" w:space="0" w:color="auto"/>
            <w:left w:val="none" w:sz="0" w:space="0" w:color="auto"/>
            <w:bottom w:val="none" w:sz="0" w:space="0" w:color="auto"/>
            <w:right w:val="none" w:sz="0" w:space="0" w:color="auto"/>
          </w:divBdr>
        </w:div>
        <w:div w:id="1825119572">
          <w:marLeft w:val="0"/>
          <w:marRight w:val="0"/>
          <w:marTop w:val="0"/>
          <w:marBottom w:val="0"/>
          <w:divBdr>
            <w:top w:val="none" w:sz="0" w:space="0" w:color="auto"/>
            <w:left w:val="none" w:sz="0" w:space="0" w:color="auto"/>
            <w:bottom w:val="none" w:sz="0" w:space="0" w:color="auto"/>
            <w:right w:val="none" w:sz="0" w:space="0" w:color="auto"/>
          </w:divBdr>
        </w:div>
        <w:div w:id="844127789">
          <w:marLeft w:val="0"/>
          <w:marRight w:val="0"/>
          <w:marTop w:val="0"/>
          <w:marBottom w:val="0"/>
          <w:divBdr>
            <w:top w:val="none" w:sz="0" w:space="0" w:color="auto"/>
            <w:left w:val="none" w:sz="0" w:space="0" w:color="auto"/>
            <w:bottom w:val="none" w:sz="0" w:space="0" w:color="auto"/>
            <w:right w:val="none" w:sz="0" w:space="0" w:color="auto"/>
          </w:divBdr>
        </w:div>
        <w:div w:id="2059085975">
          <w:marLeft w:val="0"/>
          <w:marRight w:val="0"/>
          <w:marTop w:val="0"/>
          <w:marBottom w:val="0"/>
          <w:divBdr>
            <w:top w:val="none" w:sz="0" w:space="0" w:color="auto"/>
            <w:left w:val="none" w:sz="0" w:space="0" w:color="auto"/>
            <w:bottom w:val="none" w:sz="0" w:space="0" w:color="auto"/>
            <w:right w:val="none" w:sz="0" w:space="0" w:color="auto"/>
          </w:divBdr>
        </w:div>
        <w:div w:id="1149244831">
          <w:marLeft w:val="0"/>
          <w:marRight w:val="0"/>
          <w:marTop w:val="0"/>
          <w:marBottom w:val="0"/>
          <w:divBdr>
            <w:top w:val="none" w:sz="0" w:space="0" w:color="auto"/>
            <w:left w:val="none" w:sz="0" w:space="0" w:color="auto"/>
            <w:bottom w:val="none" w:sz="0" w:space="0" w:color="auto"/>
            <w:right w:val="none" w:sz="0" w:space="0" w:color="auto"/>
          </w:divBdr>
        </w:div>
        <w:div w:id="1884169349">
          <w:marLeft w:val="0"/>
          <w:marRight w:val="0"/>
          <w:marTop w:val="0"/>
          <w:marBottom w:val="0"/>
          <w:divBdr>
            <w:top w:val="none" w:sz="0" w:space="0" w:color="auto"/>
            <w:left w:val="none" w:sz="0" w:space="0" w:color="auto"/>
            <w:bottom w:val="none" w:sz="0" w:space="0" w:color="auto"/>
            <w:right w:val="none" w:sz="0" w:space="0" w:color="auto"/>
          </w:divBdr>
        </w:div>
        <w:div w:id="100491728">
          <w:marLeft w:val="0"/>
          <w:marRight w:val="0"/>
          <w:marTop w:val="0"/>
          <w:marBottom w:val="0"/>
          <w:divBdr>
            <w:top w:val="none" w:sz="0" w:space="0" w:color="auto"/>
            <w:left w:val="none" w:sz="0" w:space="0" w:color="auto"/>
            <w:bottom w:val="none" w:sz="0" w:space="0" w:color="auto"/>
            <w:right w:val="none" w:sz="0" w:space="0" w:color="auto"/>
          </w:divBdr>
        </w:div>
        <w:div w:id="486364287">
          <w:marLeft w:val="0"/>
          <w:marRight w:val="0"/>
          <w:marTop w:val="0"/>
          <w:marBottom w:val="0"/>
          <w:divBdr>
            <w:top w:val="none" w:sz="0" w:space="0" w:color="auto"/>
            <w:left w:val="none" w:sz="0" w:space="0" w:color="auto"/>
            <w:bottom w:val="none" w:sz="0" w:space="0" w:color="auto"/>
            <w:right w:val="none" w:sz="0" w:space="0" w:color="auto"/>
          </w:divBdr>
        </w:div>
        <w:div w:id="785196776">
          <w:marLeft w:val="0"/>
          <w:marRight w:val="0"/>
          <w:marTop w:val="0"/>
          <w:marBottom w:val="0"/>
          <w:divBdr>
            <w:top w:val="none" w:sz="0" w:space="0" w:color="auto"/>
            <w:left w:val="none" w:sz="0" w:space="0" w:color="auto"/>
            <w:bottom w:val="none" w:sz="0" w:space="0" w:color="auto"/>
            <w:right w:val="none" w:sz="0" w:space="0" w:color="auto"/>
          </w:divBdr>
        </w:div>
        <w:div w:id="326828683">
          <w:marLeft w:val="0"/>
          <w:marRight w:val="0"/>
          <w:marTop w:val="0"/>
          <w:marBottom w:val="0"/>
          <w:divBdr>
            <w:top w:val="none" w:sz="0" w:space="0" w:color="auto"/>
            <w:left w:val="none" w:sz="0" w:space="0" w:color="auto"/>
            <w:bottom w:val="none" w:sz="0" w:space="0" w:color="auto"/>
            <w:right w:val="none" w:sz="0" w:space="0" w:color="auto"/>
          </w:divBdr>
        </w:div>
        <w:div w:id="61296726">
          <w:marLeft w:val="0"/>
          <w:marRight w:val="0"/>
          <w:marTop w:val="0"/>
          <w:marBottom w:val="0"/>
          <w:divBdr>
            <w:top w:val="none" w:sz="0" w:space="0" w:color="auto"/>
            <w:left w:val="none" w:sz="0" w:space="0" w:color="auto"/>
            <w:bottom w:val="none" w:sz="0" w:space="0" w:color="auto"/>
            <w:right w:val="none" w:sz="0" w:space="0" w:color="auto"/>
          </w:divBdr>
          <w:divsChild>
            <w:div w:id="181360553">
              <w:marLeft w:val="0"/>
              <w:marRight w:val="0"/>
              <w:marTop w:val="0"/>
              <w:marBottom w:val="0"/>
              <w:divBdr>
                <w:top w:val="none" w:sz="0" w:space="0" w:color="auto"/>
                <w:left w:val="none" w:sz="0" w:space="0" w:color="auto"/>
                <w:bottom w:val="none" w:sz="0" w:space="0" w:color="auto"/>
                <w:right w:val="none" w:sz="0" w:space="0" w:color="auto"/>
              </w:divBdr>
            </w:div>
            <w:div w:id="162820564">
              <w:marLeft w:val="0"/>
              <w:marRight w:val="0"/>
              <w:marTop w:val="0"/>
              <w:marBottom w:val="0"/>
              <w:divBdr>
                <w:top w:val="none" w:sz="0" w:space="0" w:color="auto"/>
                <w:left w:val="none" w:sz="0" w:space="0" w:color="auto"/>
                <w:bottom w:val="none" w:sz="0" w:space="0" w:color="auto"/>
                <w:right w:val="none" w:sz="0" w:space="0" w:color="auto"/>
              </w:divBdr>
            </w:div>
            <w:div w:id="1904100434">
              <w:marLeft w:val="0"/>
              <w:marRight w:val="0"/>
              <w:marTop w:val="0"/>
              <w:marBottom w:val="0"/>
              <w:divBdr>
                <w:top w:val="none" w:sz="0" w:space="0" w:color="auto"/>
                <w:left w:val="none" w:sz="0" w:space="0" w:color="auto"/>
                <w:bottom w:val="none" w:sz="0" w:space="0" w:color="auto"/>
                <w:right w:val="none" w:sz="0" w:space="0" w:color="auto"/>
              </w:divBdr>
            </w:div>
            <w:div w:id="129712926">
              <w:marLeft w:val="0"/>
              <w:marRight w:val="0"/>
              <w:marTop w:val="0"/>
              <w:marBottom w:val="0"/>
              <w:divBdr>
                <w:top w:val="none" w:sz="0" w:space="0" w:color="auto"/>
                <w:left w:val="none" w:sz="0" w:space="0" w:color="auto"/>
                <w:bottom w:val="none" w:sz="0" w:space="0" w:color="auto"/>
                <w:right w:val="none" w:sz="0" w:space="0" w:color="auto"/>
              </w:divBdr>
            </w:div>
            <w:div w:id="1850873045">
              <w:marLeft w:val="0"/>
              <w:marRight w:val="0"/>
              <w:marTop w:val="0"/>
              <w:marBottom w:val="0"/>
              <w:divBdr>
                <w:top w:val="none" w:sz="0" w:space="0" w:color="auto"/>
                <w:left w:val="none" w:sz="0" w:space="0" w:color="auto"/>
                <w:bottom w:val="none" w:sz="0" w:space="0" w:color="auto"/>
                <w:right w:val="none" w:sz="0" w:space="0" w:color="auto"/>
              </w:divBdr>
            </w:div>
            <w:div w:id="1151285939">
              <w:marLeft w:val="0"/>
              <w:marRight w:val="0"/>
              <w:marTop w:val="0"/>
              <w:marBottom w:val="0"/>
              <w:divBdr>
                <w:top w:val="none" w:sz="0" w:space="0" w:color="auto"/>
                <w:left w:val="none" w:sz="0" w:space="0" w:color="auto"/>
                <w:bottom w:val="none" w:sz="0" w:space="0" w:color="auto"/>
                <w:right w:val="none" w:sz="0" w:space="0" w:color="auto"/>
              </w:divBdr>
            </w:div>
          </w:divsChild>
        </w:div>
        <w:div w:id="249197330">
          <w:marLeft w:val="0"/>
          <w:marRight w:val="0"/>
          <w:marTop w:val="0"/>
          <w:marBottom w:val="0"/>
          <w:divBdr>
            <w:top w:val="none" w:sz="0" w:space="0" w:color="auto"/>
            <w:left w:val="none" w:sz="0" w:space="0" w:color="auto"/>
            <w:bottom w:val="none" w:sz="0" w:space="0" w:color="auto"/>
            <w:right w:val="none" w:sz="0" w:space="0" w:color="auto"/>
          </w:divBdr>
        </w:div>
        <w:div w:id="518348063">
          <w:marLeft w:val="0"/>
          <w:marRight w:val="0"/>
          <w:marTop w:val="0"/>
          <w:marBottom w:val="0"/>
          <w:divBdr>
            <w:top w:val="none" w:sz="0" w:space="0" w:color="auto"/>
            <w:left w:val="none" w:sz="0" w:space="0" w:color="auto"/>
            <w:bottom w:val="none" w:sz="0" w:space="0" w:color="auto"/>
            <w:right w:val="none" w:sz="0" w:space="0" w:color="auto"/>
          </w:divBdr>
        </w:div>
        <w:div w:id="283662965">
          <w:marLeft w:val="0"/>
          <w:marRight w:val="0"/>
          <w:marTop w:val="0"/>
          <w:marBottom w:val="0"/>
          <w:divBdr>
            <w:top w:val="none" w:sz="0" w:space="0" w:color="auto"/>
            <w:left w:val="none" w:sz="0" w:space="0" w:color="auto"/>
            <w:bottom w:val="none" w:sz="0" w:space="0" w:color="auto"/>
            <w:right w:val="none" w:sz="0" w:space="0" w:color="auto"/>
          </w:divBdr>
        </w:div>
        <w:div w:id="1250499742">
          <w:marLeft w:val="0"/>
          <w:marRight w:val="0"/>
          <w:marTop w:val="0"/>
          <w:marBottom w:val="0"/>
          <w:divBdr>
            <w:top w:val="none" w:sz="0" w:space="0" w:color="auto"/>
            <w:left w:val="none" w:sz="0" w:space="0" w:color="auto"/>
            <w:bottom w:val="none" w:sz="0" w:space="0" w:color="auto"/>
            <w:right w:val="none" w:sz="0" w:space="0" w:color="auto"/>
          </w:divBdr>
        </w:div>
        <w:div w:id="1760565319">
          <w:marLeft w:val="0"/>
          <w:marRight w:val="0"/>
          <w:marTop w:val="0"/>
          <w:marBottom w:val="0"/>
          <w:divBdr>
            <w:top w:val="none" w:sz="0" w:space="0" w:color="auto"/>
            <w:left w:val="none" w:sz="0" w:space="0" w:color="auto"/>
            <w:bottom w:val="none" w:sz="0" w:space="0" w:color="auto"/>
            <w:right w:val="none" w:sz="0" w:space="0" w:color="auto"/>
          </w:divBdr>
        </w:div>
        <w:div w:id="1482186476">
          <w:marLeft w:val="0"/>
          <w:marRight w:val="0"/>
          <w:marTop w:val="0"/>
          <w:marBottom w:val="0"/>
          <w:divBdr>
            <w:top w:val="none" w:sz="0" w:space="0" w:color="auto"/>
            <w:left w:val="none" w:sz="0" w:space="0" w:color="auto"/>
            <w:bottom w:val="none" w:sz="0" w:space="0" w:color="auto"/>
            <w:right w:val="none" w:sz="0" w:space="0" w:color="auto"/>
          </w:divBdr>
        </w:div>
        <w:div w:id="872958421">
          <w:marLeft w:val="0"/>
          <w:marRight w:val="0"/>
          <w:marTop w:val="0"/>
          <w:marBottom w:val="0"/>
          <w:divBdr>
            <w:top w:val="none" w:sz="0" w:space="0" w:color="auto"/>
            <w:left w:val="none" w:sz="0" w:space="0" w:color="auto"/>
            <w:bottom w:val="none" w:sz="0" w:space="0" w:color="auto"/>
            <w:right w:val="none" w:sz="0" w:space="0" w:color="auto"/>
          </w:divBdr>
        </w:div>
        <w:div w:id="336690211">
          <w:marLeft w:val="0"/>
          <w:marRight w:val="0"/>
          <w:marTop w:val="0"/>
          <w:marBottom w:val="0"/>
          <w:divBdr>
            <w:top w:val="none" w:sz="0" w:space="0" w:color="auto"/>
            <w:left w:val="none" w:sz="0" w:space="0" w:color="auto"/>
            <w:bottom w:val="none" w:sz="0" w:space="0" w:color="auto"/>
            <w:right w:val="none" w:sz="0" w:space="0" w:color="auto"/>
          </w:divBdr>
        </w:div>
        <w:div w:id="75594931">
          <w:marLeft w:val="0"/>
          <w:marRight w:val="0"/>
          <w:marTop w:val="0"/>
          <w:marBottom w:val="0"/>
          <w:divBdr>
            <w:top w:val="none" w:sz="0" w:space="0" w:color="auto"/>
            <w:left w:val="none" w:sz="0" w:space="0" w:color="auto"/>
            <w:bottom w:val="none" w:sz="0" w:space="0" w:color="auto"/>
            <w:right w:val="none" w:sz="0" w:space="0" w:color="auto"/>
          </w:divBdr>
        </w:div>
        <w:div w:id="232468597">
          <w:marLeft w:val="0"/>
          <w:marRight w:val="0"/>
          <w:marTop w:val="0"/>
          <w:marBottom w:val="0"/>
          <w:divBdr>
            <w:top w:val="none" w:sz="0" w:space="0" w:color="auto"/>
            <w:left w:val="none" w:sz="0" w:space="0" w:color="auto"/>
            <w:bottom w:val="none" w:sz="0" w:space="0" w:color="auto"/>
            <w:right w:val="none" w:sz="0" w:space="0" w:color="auto"/>
          </w:divBdr>
        </w:div>
        <w:div w:id="351304480">
          <w:marLeft w:val="0"/>
          <w:marRight w:val="0"/>
          <w:marTop w:val="0"/>
          <w:marBottom w:val="0"/>
          <w:divBdr>
            <w:top w:val="none" w:sz="0" w:space="0" w:color="auto"/>
            <w:left w:val="none" w:sz="0" w:space="0" w:color="auto"/>
            <w:bottom w:val="none" w:sz="0" w:space="0" w:color="auto"/>
            <w:right w:val="none" w:sz="0" w:space="0" w:color="auto"/>
          </w:divBdr>
        </w:div>
        <w:div w:id="412514807">
          <w:marLeft w:val="0"/>
          <w:marRight w:val="0"/>
          <w:marTop w:val="0"/>
          <w:marBottom w:val="0"/>
          <w:divBdr>
            <w:top w:val="none" w:sz="0" w:space="0" w:color="auto"/>
            <w:left w:val="none" w:sz="0" w:space="0" w:color="auto"/>
            <w:bottom w:val="none" w:sz="0" w:space="0" w:color="auto"/>
            <w:right w:val="none" w:sz="0" w:space="0" w:color="auto"/>
          </w:divBdr>
        </w:div>
        <w:div w:id="732655129">
          <w:marLeft w:val="0"/>
          <w:marRight w:val="0"/>
          <w:marTop w:val="0"/>
          <w:marBottom w:val="0"/>
          <w:divBdr>
            <w:top w:val="none" w:sz="0" w:space="0" w:color="auto"/>
            <w:left w:val="none" w:sz="0" w:space="0" w:color="auto"/>
            <w:bottom w:val="none" w:sz="0" w:space="0" w:color="auto"/>
            <w:right w:val="none" w:sz="0" w:space="0" w:color="auto"/>
          </w:divBdr>
        </w:div>
        <w:div w:id="1267540552">
          <w:marLeft w:val="0"/>
          <w:marRight w:val="0"/>
          <w:marTop w:val="0"/>
          <w:marBottom w:val="0"/>
          <w:divBdr>
            <w:top w:val="none" w:sz="0" w:space="0" w:color="auto"/>
            <w:left w:val="none" w:sz="0" w:space="0" w:color="auto"/>
            <w:bottom w:val="none" w:sz="0" w:space="0" w:color="auto"/>
            <w:right w:val="none" w:sz="0" w:space="0" w:color="auto"/>
          </w:divBdr>
        </w:div>
        <w:div w:id="787547113">
          <w:marLeft w:val="0"/>
          <w:marRight w:val="0"/>
          <w:marTop w:val="0"/>
          <w:marBottom w:val="0"/>
          <w:divBdr>
            <w:top w:val="none" w:sz="0" w:space="0" w:color="auto"/>
            <w:left w:val="none" w:sz="0" w:space="0" w:color="auto"/>
            <w:bottom w:val="none" w:sz="0" w:space="0" w:color="auto"/>
            <w:right w:val="none" w:sz="0" w:space="0" w:color="auto"/>
          </w:divBdr>
        </w:div>
        <w:div w:id="46221777">
          <w:marLeft w:val="0"/>
          <w:marRight w:val="0"/>
          <w:marTop w:val="0"/>
          <w:marBottom w:val="0"/>
          <w:divBdr>
            <w:top w:val="none" w:sz="0" w:space="0" w:color="auto"/>
            <w:left w:val="none" w:sz="0" w:space="0" w:color="auto"/>
            <w:bottom w:val="none" w:sz="0" w:space="0" w:color="auto"/>
            <w:right w:val="none" w:sz="0" w:space="0" w:color="auto"/>
          </w:divBdr>
        </w:div>
        <w:div w:id="1869367636">
          <w:marLeft w:val="0"/>
          <w:marRight w:val="0"/>
          <w:marTop w:val="0"/>
          <w:marBottom w:val="0"/>
          <w:divBdr>
            <w:top w:val="none" w:sz="0" w:space="0" w:color="auto"/>
            <w:left w:val="none" w:sz="0" w:space="0" w:color="auto"/>
            <w:bottom w:val="none" w:sz="0" w:space="0" w:color="auto"/>
            <w:right w:val="none" w:sz="0" w:space="0" w:color="auto"/>
          </w:divBdr>
        </w:div>
        <w:div w:id="688408095">
          <w:marLeft w:val="0"/>
          <w:marRight w:val="0"/>
          <w:marTop w:val="0"/>
          <w:marBottom w:val="0"/>
          <w:divBdr>
            <w:top w:val="none" w:sz="0" w:space="0" w:color="auto"/>
            <w:left w:val="none" w:sz="0" w:space="0" w:color="auto"/>
            <w:bottom w:val="none" w:sz="0" w:space="0" w:color="auto"/>
            <w:right w:val="none" w:sz="0" w:space="0" w:color="auto"/>
          </w:divBdr>
        </w:div>
        <w:div w:id="985742698">
          <w:marLeft w:val="0"/>
          <w:marRight w:val="0"/>
          <w:marTop w:val="0"/>
          <w:marBottom w:val="0"/>
          <w:divBdr>
            <w:top w:val="none" w:sz="0" w:space="0" w:color="auto"/>
            <w:left w:val="none" w:sz="0" w:space="0" w:color="auto"/>
            <w:bottom w:val="none" w:sz="0" w:space="0" w:color="auto"/>
            <w:right w:val="none" w:sz="0" w:space="0" w:color="auto"/>
          </w:divBdr>
        </w:div>
        <w:div w:id="928004449">
          <w:marLeft w:val="0"/>
          <w:marRight w:val="0"/>
          <w:marTop w:val="0"/>
          <w:marBottom w:val="0"/>
          <w:divBdr>
            <w:top w:val="none" w:sz="0" w:space="0" w:color="auto"/>
            <w:left w:val="none" w:sz="0" w:space="0" w:color="auto"/>
            <w:bottom w:val="none" w:sz="0" w:space="0" w:color="auto"/>
            <w:right w:val="none" w:sz="0" w:space="0" w:color="auto"/>
          </w:divBdr>
        </w:div>
        <w:div w:id="1238897887">
          <w:marLeft w:val="0"/>
          <w:marRight w:val="0"/>
          <w:marTop w:val="0"/>
          <w:marBottom w:val="0"/>
          <w:divBdr>
            <w:top w:val="none" w:sz="0" w:space="0" w:color="auto"/>
            <w:left w:val="none" w:sz="0" w:space="0" w:color="auto"/>
            <w:bottom w:val="none" w:sz="0" w:space="0" w:color="auto"/>
            <w:right w:val="none" w:sz="0" w:space="0" w:color="auto"/>
          </w:divBdr>
        </w:div>
        <w:div w:id="883911337">
          <w:marLeft w:val="0"/>
          <w:marRight w:val="0"/>
          <w:marTop w:val="0"/>
          <w:marBottom w:val="0"/>
          <w:divBdr>
            <w:top w:val="none" w:sz="0" w:space="0" w:color="auto"/>
            <w:left w:val="none" w:sz="0" w:space="0" w:color="auto"/>
            <w:bottom w:val="none" w:sz="0" w:space="0" w:color="auto"/>
            <w:right w:val="none" w:sz="0" w:space="0" w:color="auto"/>
          </w:divBdr>
        </w:div>
        <w:div w:id="211428796">
          <w:marLeft w:val="0"/>
          <w:marRight w:val="0"/>
          <w:marTop w:val="0"/>
          <w:marBottom w:val="0"/>
          <w:divBdr>
            <w:top w:val="none" w:sz="0" w:space="0" w:color="auto"/>
            <w:left w:val="none" w:sz="0" w:space="0" w:color="auto"/>
            <w:bottom w:val="none" w:sz="0" w:space="0" w:color="auto"/>
            <w:right w:val="none" w:sz="0" w:space="0" w:color="auto"/>
          </w:divBdr>
        </w:div>
        <w:div w:id="1064764020">
          <w:marLeft w:val="0"/>
          <w:marRight w:val="0"/>
          <w:marTop w:val="0"/>
          <w:marBottom w:val="0"/>
          <w:divBdr>
            <w:top w:val="none" w:sz="0" w:space="0" w:color="auto"/>
            <w:left w:val="none" w:sz="0" w:space="0" w:color="auto"/>
            <w:bottom w:val="none" w:sz="0" w:space="0" w:color="auto"/>
            <w:right w:val="none" w:sz="0" w:space="0" w:color="auto"/>
          </w:divBdr>
        </w:div>
        <w:div w:id="428550420">
          <w:marLeft w:val="0"/>
          <w:marRight w:val="0"/>
          <w:marTop w:val="0"/>
          <w:marBottom w:val="0"/>
          <w:divBdr>
            <w:top w:val="none" w:sz="0" w:space="0" w:color="auto"/>
            <w:left w:val="none" w:sz="0" w:space="0" w:color="auto"/>
            <w:bottom w:val="none" w:sz="0" w:space="0" w:color="auto"/>
            <w:right w:val="none" w:sz="0" w:space="0" w:color="auto"/>
          </w:divBdr>
        </w:div>
        <w:div w:id="1829511835">
          <w:marLeft w:val="0"/>
          <w:marRight w:val="0"/>
          <w:marTop w:val="0"/>
          <w:marBottom w:val="0"/>
          <w:divBdr>
            <w:top w:val="none" w:sz="0" w:space="0" w:color="auto"/>
            <w:left w:val="none" w:sz="0" w:space="0" w:color="auto"/>
            <w:bottom w:val="none" w:sz="0" w:space="0" w:color="auto"/>
            <w:right w:val="none" w:sz="0" w:space="0" w:color="auto"/>
          </w:divBdr>
        </w:div>
        <w:div w:id="910040592">
          <w:marLeft w:val="0"/>
          <w:marRight w:val="0"/>
          <w:marTop w:val="0"/>
          <w:marBottom w:val="0"/>
          <w:divBdr>
            <w:top w:val="none" w:sz="0" w:space="0" w:color="auto"/>
            <w:left w:val="none" w:sz="0" w:space="0" w:color="auto"/>
            <w:bottom w:val="none" w:sz="0" w:space="0" w:color="auto"/>
            <w:right w:val="none" w:sz="0" w:space="0" w:color="auto"/>
          </w:divBdr>
        </w:div>
        <w:div w:id="1382946810">
          <w:marLeft w:val="0"/>
          <w:marRight w:val="0"/>
          <w:marTop w:val="0"/>
          <w:marBottom w:val="0"/>
          <w:divBdr>
            <w:top w:val="none" w:sz="0" w:space="0" w:color="auto"/>
            <w:left w:val="none" w:sz="0" w:space="0" w:color="auto"/>
            <w:bottom w:val="none" w:sz="0" w:space="0" w:color="auto"/>
            <w:right w:val="none" w:sz="0" w:space="0" w:color="auto"/>
          </w:divBdr>
        </w:div>
        <w:div w:id="1711608258">
          <w:marLeft w:val="0"/>
          <w:marRight w:val="0"/>
          <w:marTop w:val="0"/>
          <w:marBottom w:val="0"/>
          <w:divBdr>
            <w:top w:val="none" w:sz="0" w:space="0" w:color="auto"/>
            <w:left w:val="none" w:sz="0" w:space="0" w:color="auto"/>
            <w:bottom w:val="none" w:sz="0" w:space="0" w:color="auto"/>
            <w:right w:val="none" w:sz="0" w:space="0" w:color="auto"/>
          </w:divBdr>
        </w:div>
        <w:div w:id="1466584730">
          <w:marLeft w:val="0"/>
          <w:marRight w:val="0"/>
          <w:marTop w:val="0"/>
          <w:marBottom w:val="0"/>
          <w:divBdr>
            <w:top w:val="none" w:sz="0" w:space="0" w:color="auto"/>
            <w:left w:val="none" w:sz="0" w:space="0" w:color="auto"/>
            <w:bottom w:val="none" w:sz="0" w:space="0" w:color="auto"/>
            <w:right w:val="none" w:sz="0" w:space="0" w:color="auto"/>
          </w:divBdr>
        </w:div>
        <w:div w:id="276647864">
          <w:marLeft w:val="0"/>
          <w:marRight w:val="0"/>
          <w:marTop w:val="0"/>
          <w:marBottom w:val="0"/>
          <w:divBdr>
            <w:top w:val="none" w:sz="0" w:space="0" w:color="auto"/>
            <w:left w:val="none" w:sz="0" w:space="0" w:color="auto"/>
            <w:bottom w:val="none" w:sz="0" w:space="0" w:color="auto"/>
            <w:right w:val="none" w:sz="0" w:space="0" w:color="auto"/>
          </w:divBdr>
        </w:div>
        <w:div w:id="1708216317">
          <w:marLeft w:val="0"/>
          <w:marRight w:val="0"/>
          <w:marTop w:val="0"/>
          <w:marBottom w:val="0"/>
          <w:divBdr>
            <w:top w:val="none" w:sz="0" w:space="0" w:color="auto"/>
            <w:left w:val="none" w:sz="0" w:space="0" w:color="auto"/>
            <w:bottom w:val="none" w:sz="0" w:space="0" w:color="auto"/>
            <w:right w:val="none" w:sz="0" w:space="0" w:color="auto"/>
          </w:divBdr>
        </w:div>
        <w:div w:id="1330523926">
          <w:marLeft w:val="0"/>
          <w:marRight w:val="0"/>
          <w:marTop w:val="0"/>
          <w:marBottom w:val="0"/>
          <w:divBdr>
            <w:top w:val="none" w:sz="0" w:space="0" w:color="auto"/>
            <w:left w:val="none" w:sz="0" w:space="0" w:color="auto"/>
            <w:bottom w:val="none" w:sz="0" w:space="0" w:color="auto"/>
            <w:right w:val="none" w:sz="0" w:space="0" w:color="auto"/>
          </w:divBdr>
        </w:div>
        <w:div w:id="1805392423">
          <w:marLeft w:val="0"/>
          <w:marRight w:val="0"/>
          <w:marTop w:val="0"/>
          <w:marBottom w:val="0"/>
          <w:divBdr>
            <w:top w:val="none" w:sz="0" w:space="0" w:color="auto"/>
            <w:left w:val="none" w:sz="0" w:space="0" w:color="auto"/>
            <w:bottom w:val="none" w:sz="0" w:space="0" w:color="auto"/>
            <w:right w:val="none" w:sz="0" w:space="0" w:color="auto"/>
          </w:divBdr>
        </w:div>
        <w:div w:id="1577012871">
          <w:marLeft w:val="0"/>
          <w:marRight w:val="0"/>
          <w:marTop w:val="0"/>
          <w:marBottom w:val="0"/>
          <w:divBdr>
            <w:top w:val="none" w:sz="0" w:space="0" w:color="auto"/>
            <w:left w:val="none" w:sz="0" w:space="0" w:color="auto"/>
            <w:bottom w:val="none" w:sz="0" w:space="0" w:color="auto"/>
            <w:right w:val="none" w:sz="0" w:space="0" w:color="auto"/>
          </w:divBdr>
        </w:div>
        <w:div w:id="511846650">
          <w:marLeft w:val="0"/>
          <w:marRight w:val="0"/>
          <w:marTop w:val="0"/>
          <w:marBottom w:val="0"/>
          <w:divBdr>
            <w:top w:val="none" w:sz="0" w:space="0" w:color="auto"/>
            <w:left w:val="none" w:sz="0" w:space="0" w:color="auto"/>
            <w:bottom w:val="none" w:sz="0" w:space="0" w:color="auto"/>
            <w:right w:val="none" w:sz="0" w:space="0" w:color="auto"/>
          </w:divBdr>
        </w:div>
        <w:div w:id="24450195">
          <w:marLeft w:val="0"/>
          <w:marRight w:val="0"/>
          <w:marTop w:val="0"/>
          <w:marBottom w:val="0"/>
          <w:divBdr>
            <w:top w:val="none" w:sz="0" w:space="0" w:color="auto"/>
            <w:left w:val="none" w:sz="0" w:space="0" w:color="auto"/>
            <w:bottom w:val="none" w:sz="0" w:space="0" w:color="auto"/>
            <w:right w:val="none" w:sz="0" w:space="0" w:color="auto"/>
          </w:divBdr>
        </w:div>
        <w:div w:id="1514764641">
          <w:marLeft w:val="0"/>
          <w:marRight w:val="0"/>
          <w:marTop w:val="0"/>
          <w:marBottom w:val="0"/>
          <w:divBdr>
            <w:top w:val="none" w:sz="0" w:space="0" w:color="auto"/>
            <w:left w:val="none" w:sz="0" w:space="0" w:color="auto"/>
            <w:bottom w:val="none" w:sz="0" w:space="0" w:color="auto"/>
            <w:right w:val="none" w:sz="0" w:space="0" w:color="auto"/>
          </w:divBdr>
        </w:div>
        <w:div w:id="869802677">
          <w:marLeft w:val="0"/>
          <w:marRight w:val="0"/>
          <w:marTop w:val="0"/>
          <w:marBottom w:val="0"/>
          <w:divBdr>
            <w:top w:val="none" w:sz="0" w:space="0" w:color="auto"/>
            <w:left w:val="none" w:sz="0" w:space="0" w:color="auto"/>
            <w:bottom w:val="none" w:sz="0" w:space="0" w:color="auto"/>
            <w:right w:val="none" w:sz="0" w:space="0" w:color="auto"/>
          </w:divBdr>
        </w:div>
        <w:div w:id="2100173127">
          <w:marLeft w:val="0"/>
          <w:marRight w:val="0"/>
          <w:marTop w:val="0"/>
          <w:marBottom w:val="0"/>
          <w:divBdr>
            <w:top w:val="none" w:sz="0" w:space="0" w:color="auto"/>
            <w:left w:val="none" w:sz="0" w:space="0" w:color="auto"/>
            <w:bottom w:val="none" w:sz="0" w:space="0" w:color="auto"/>
            <w:right w:val="none" w:sz="0" w:space="0" w:color="auto"/>
          </w:divBdr>
        </w:div>
        <w:div w:id="1004284778">
          <w:marLeft w:val="0"/>
          <w:marRight w:val="0"/>
          <w:marTop w:val="0"/>
          <w:marBottom w:val="0"/>
          <w:divBdr>
            <w:top w:val="none" w:sz="0" w:space="0" w:color="auto"/>
            <w:left w:val="none" w:sz="0" w:space="0" w:color="auto"/>
            <w:bottom w:val="none" w:sz="0" w:space="0" w:color="auto"/>
            <w:right w:val="none" w:sz="0" w:space="0" w:color="auto"/>
          </w:divBdr>
        </w:div>
        <w:div w:id="1568951344">
          <w:marLeft w:val="0"/>
          <w:marRight w:val="0"/>
          <w:marTop w:val="0"/>
          <w:marBottom w:val="0"/>
          <w:divBdr>
            <w:top w:val="none" w:sz="0" w:space="0" w:color="auto"/>
            <w:left w:val="none" w:sz="0" w:space="0" w:color="auto"/>
            <w:bottom w:val="none" w:sz="0" w:space="0" w:color="auto"/>
            <w:right w:val="none" w:sz="0" w:space="0" w:color="auto"/>
          </w:divBdr>
          <w:divsChild>
            <w:div w:id="549654348">
              <w:marLeft w:val="0"/>
              <w:marRight w:val="0"/>
              <w:marTop w:val="0"/>
              <w:marBottom w:val="0"/>
              <w:divBdr>
                <w:top w:val="none" w:sz="0" w:space="0" w:color="auto"/>
                <w:left w:val="none" w:sz="0" w:space="0" w:color="auto"/>
                <w:bottom w:val="none" w:sz="0" w:space="0" w:color="auto"/>
                <w:right w:val="none" w:sz="0" w:space="0" w:color="auto"/>
              </w:divBdr>
            </w:div>
            <w:div w:id="1719477257">
              <w:marLeft w:val="0"/>
              <w:marRight w:val="0"/>
              <w:marTop w:val="0"/>
              <w:marBottom w:val="0"/>
              <w:divBdr>
                <w:top w:val="none" w:sz="0" w:space="0" w:color="auto"/>
                <w:left w:val="none" w:sz="0" w:space="0" w:color="auto"/>
                <w:bottom w:val="none" w:sz="0" w:space="0" w:color="auto"/>
                <w:right w:val="none" w:sz="0" w:space="0" w:color="auto"/>
              </w:divBdr>
            </w:div>
            <w:div w:id="1868249318">
              <w:marLeft w:val="0"/>
              <w:marRight w:val="0"/>
              <w:marTop w:val="0"/>
              <w:marBottom w:val="0"/>
              <w:divBdr>
                <w:top w:val="none" w:sz="0" w:space="0" w:color="auto"/>
                <w:left w:val="none" w:sz="0" w:space="0" w:color="auto"/>
                <w:bottom w:val="none" w:sz="0" w:space="0" w:color="auto"/>
                <w:right w:val="none" w:sz="0" w:space="0" w:color="auto"/>
              </w:divBdr>
            </w:div>
          </w:divsChild>
        </w:div>
        <w:div w:id="2058775168">
          <w:marLeft w:val="0"/>
          <w:marRight w:val="0"/>
          <w:marTop w:val="0"/>
          <w:marBottom w:val="0"/>
          <w:divBdr>
            <w:top w:val="none" w:sz="0" w:space="0" w:color="auto"/>
            <w:left w:val="none" w:sz="0" w:space="0" w:color="auto"/>
            <w:bottom w:val="none" w:sz="0" w:space="0" w:color="auto"/>
            <w:right w:val="none" w:sz="0" w:space="0" w:color="auto"/>
          </w:divBdr>
        </w:div>
        <w:div w:id="1656958941">
          <w:marLeft w:val="0"/>
          <w:marRight w:val="0"/>
          <w:marTop w:val="0"/>
          <w:marBottom w:val="0"/>
          <w:divBdr>
            <w:top w:val="none" w:sz="0" w:space="0" w:color="auto"/>
            <w:left w:val="none" w:sz="0" w:space="0" w:color="auto"/>
            <w:bottom w:val="none" w:sz="0" w:space="0" w:color="auto"/>
            <w:right w:val="none" w:sz="0" w:space="0" w:color="auto"/>
          </w:divBdr>
        </w:div>
        <w:div w:id="1139422266">
          <w:marLeft w:val="0"/>
          <w:marRight w:val="0"/>
          <w:marTop w:val="0"/>
          <w:marBottom w:val="0"/>
          <w:divBdr>
            <w:top w:val="none" w:sz="0" w:space="0" w:color="auto"/>
            <w:left w:val="none" w:sz="0" w:space="0" w:color="auto"/>
            <w:bottom w:val="none" w:sz="0" w:space="0" w:color="auto"/>
            <w:right w:val="none" w:sz="0" w:space="0" w:color="auto"/>
          </w:divBdr>
        </w:div>
        <w:div w:id="1062562042">
          <w:marLeft w:val="0"/>
          <w:marRight w:val="0"/>
          <w:marTop w:val="0"/>
          <w:marBottom w:val="0"/>
          <w:divBdr>
            <w:top w:val="none" w:sz="0" w:space="0" w:color="auto"/>
            <w:left w:val="none" w:sz="0" w:space="0" w:color="auto"/>
            <w:bottom w:val="none" w:sz="0" w:space="0" w:color="auto"/>
            <w:right w:val="none" w:sz="0" w:space="0" w:color="auto"/>
          </w:divBdr>
        </w:div>
        <w:div w:id="42288616">
          <w:marLeft w:val="0"/>
          <w:marRight w:val="0"/>
          <w:marTop w:val="0"/>
          <w:marBottom w:val="0"/>
          <w:divBdr>
            <w:top w:val="none" w:sz="0" w:space="0" w:color="auto"/>
            <w:left w:val="none" w:sz="0" w:space="0" w:color="auto"/>
            <w:bottom w:val="none" w:sz="0" w:space="0" w:color="auto"/>
            <w:right w:val="none" w:sz="0" w:space="0" w:color="auto"/>
          </w:divBdr>
          <w:divsChild>
            <w:div w:id="1517622770">
              <w:marLeft w:val="0"/>
              <w:marRight w:val="0"/>
              <w:marTop w:val="0"/>
              <w:marBottom w:val="0"/>
              <w:divBdr>
                <w:top w:val="none" w:sz="0" w:space="0" w:color="auto"/>
                <w:left w:val="none" w:sz="0" w:space="0" w:color="auto"/>
                <w:bottom w:val="none" w:sz="0" w:space="0" w:color="auto"/>
                <w:right w:val="none" w:sz="0" w:space="0" w:color="auto"/>
              </w:divBdr>
            </w:div>
          </w:divsChild>
        </w:div>
        <w:div w:id="1690057840">
          <w:marLeft w:val="0"/>
          <w:marRight w:val="0"/>
          <w:marTop w:val="0"/>
          <w:marBottom w:val="0"/>
          <w:divBdr>
            <w:top w:val="none" w:sz="0" w:space="0" w:color="auto"/>
            <w:left w:val="none" w:sz="0" w:space="0" w:color="auto"/>
            <w:bottom w:val="none" w:sz="0" w:space="0" w:color="auto"/>
            <w:right w:val="none" w:sz="0" w:space="0" w:color="auto"/>
          </w:divBdr>
        </w:div>
        <w:div w:id="1086653616">
          <w:marLeft w:val="0"/>
          <w:marRight w:val="0"/>
          <w:marTop w:val="0"/>
          <w:marBottom w:val="0"/>
          <w:divBdr>
            <w:top w:val="none" w:sz="0" w:space="0" w:color="auto"/>
            <w:left w:val="none" w:sz="0" w:space="0" w:color="auto"/>
            <w:bottom w:val="none" w:sz="0" w:space="0" w:color="auto"/>
            <w:right w:val="none" w:sz="0" w:space="0" w:color="auto"/>
          </w:divBdr>
        </w:div>
        <w:div w:id="1395809753">
          <w:marLeft w:val="0"/>
          <w:marRight w:val="0"/>
          <w:marTop w:val="0"/>
          <w:marBottom w:val="0"/>
          <w:divBdr>
            <w:top w:val="none" w:sz="0" w:space="0" w:color="auto"/>
            <w:left w:val="none" w:sz="0" w:space="0" w:color="auto"/>
            <w:bottom w:val="none" w:sz="0" w:space="0" w:color="auto"/>
            <w:right w:val="none" w:sz="0" w:space="0" w:color="auto"/>
          </w:divBdr>
        </w:div>
        <w:div w:id="1831215150">
          <w:marLeft w:val="0"/>
          <w:marRight w:val="0"/>
          <w:marTop w:val="0"/>
          <w:marBottom w:val="0"/>
          <w:divBdr>
            <w:top w:val="none" w:sz="0" w:space="0" w:color="auto"/>
            <w:left w:val="none" w:sz="0" w:space="0" w:color="auto"/>
            <w:bottom w:val="none" w:sz="0" w:space="0" w:color="auto"/>
            <w:right w:val="none" w:sz="0" w:space="0" w:color="auto"/>
          </w:divBdr>
        </w:div>
        <w:div w:id="99759923">
          <w:marLeft w:val="0"/>
          <w:marRight w:val="0"/>
          <w:marTop w:val="0"/>
          <w:marBottom w:val="0"/>
          <w:divBdr>
            <w:top w:val="none" w:sz="0" w:space="0" w:color="auto"/>
            <w:left w:val="none" w:sz="0" w:space="0" w:color="auto"/>
            <w:bottom w:val="none" w:sz="0" w:space="0" w:color="auto"/>
            <w:right w:val="none" w:sz="0" w:space="0" w:color="auto"/>
          </w:divBdr>
        </w:div>
        <w:div w:id="1073088906">
          <w:marLeft w:val="0"/>
          <w:marRight w:val="0"/>
          <w:marTop w:val="0"/>
          <w:marBottom w:val="0"/>
          <w:divBdr>
            <w:top w:val="none" w:sz="0" w:space="0" w:color="auto"/>
            <w:left w:val="none" w:sz="0" w:space="0" w:color="auto"/>
            <w:bottom w:val="none" w:sz="0" w:space="0" w:color="auto"/>
            <w:right w:val="none" w:sz="0" w:space="0" w:color="auto"/>
          </w:divBdr>
        </w:div>
        <w:div w:id="2138450247">
          <w:marLeft w:val="0"/>
          <w:marRight w:val="0"/>
          <w:marTop w:val="0"/>
          <w:marBottom w:val="0"/>
          <w:divBdr>
            <w:top w:val="none" w:sz="0" w:space="0" w:color="auto"/>
            <w:left w:val="none" w:sz="0" w:space="0" w:color="auto"/>
            <w:bottom w:val="none" w:sz="0" w:space="0" w:color="auto"/>
            <w:right w:val="none" w:sz="0" w:space="0" w:color="auto"/>
          </w:divBdr>
        </w:div>
        <w:div w:id="230428622">
          <w:marLeft w:val="0"/>
          <w:marRight w:val="0"/>
          <w:marTop w:val="0"/>
          <w:marBottom w:val="0"/>
          <w:divBdr>
            <w:top w:val="none" w:sz="0" w:space="0" w:color="auto"/>
            <w:left w:val="none" w:sz="0" w:space="0" w:color="auto"/>
            <w:bottom w:val="none" w:sz="0" w:space="0" w:color="auto"/>
            <w:right w:val="none" w:sz="0" w:space="0" w:color="auto"/>
          </w:divBdr>
        </w:div>
        <w:div w:id="1859540988">
          <w:marLeft w:val="0"/>
          <w:marRight w:val="0"/>
          <w:marTop w:val="0"/>
          <w:marBottom w:val="0"/>
          <w:divBdr>
            <w:top w:val="none" w:sz="0" w:space="0" w:color="auto"/>
            <w:left w:val="none" w:sz="0" w:space="0" w:color="auto"/>
            <w:bottom w:val="none" w:sz="0" w:space="0" w:color="auto"/>
            <w:right w:val="none" w:sz="0" w:space="0" w:color="auto"/>
          </w:divBdr>
        </w:div>
        <w:div w:id="1845707443">
          <w:marLeft w:val="0"/>
          <w:marRight w:val="0"/>
          <w:marTop w:val="0"/>
          <w:marBottom w:val="0"/>
          <w:divBdr>
            <w:top w:val="none" w:sz="0" w:space="0" w:color="auto"/>
            <w:left w:val="none" w:sz="0" w:space="0" w:color="auto"/>
            <w:bottom w:val="none" w:sz="0" w:space="0" w:color="auto"/>
            <w:right w:val="none" w:sz="0" w:space="0" w:color="auto"/>
          </w:divBdr>
        </w:div>
      </w:divsChild>
    </w:div>
    <w:div w:id="1497720570">
      <w:bodyDiv w:val="1"/>
      <w:marLeft w:val="0"/>
      <w:marRight w:val="0"/>
      <w:marTop w:val="0"/>
      <w:marBottom w:val="0"/>
      <w:divBdr>
        <w:top w:val="none" w:sz="0" w:space="0" w:color="auto"/>
        <w:left w:val="none" w:sz="0" w:space="0" w:color="auto"/>
        <w:bottom w:val="none" w:sz="0" w:space="0" w:color="auto"/>
        <w:right w:val="none" w:sz="0" w:space="0" w:color="auto"/>
      </w:divBdr>
      <w:divsChild>
        <w:div w:id="427696860">
          <w:marLeft w:val="0"/>
          <w:marRight w:val="0"/>
          <w:marTop w:val="0"/>
          <w:marBottom w:val="0"/>
          <w:divBdr>
            <w:top w:val="none" w:sz="0" w:space="0" w:color="auto"/>
            <w:left w:val="none" w:sz="0" w:space="0" w:color="auto"/>
            <w:bottom w:val="none" w:sz="0" w:space="0" w:color="auto"/>
            <w:right w:val="none" w:sz="0" w:space="0" w:color="auto"/>
          </w:divBdr>
        </w:div>
        <w:div w:id="1583951901">
          <w:marLeft w:val="0"/>
          <w:marRight w:val="0"/>
          <w:marTop w:val="0"/>
          <w:marBottom w:val="0"/>
          <w:divBdr>
            <w:top w:val="none" w:sz="0" w:space="0" w:color="auto"/>
            <w:left w:val="none" w:sz="0" w:space="0" w:color="auto"/>
            <w:bottom w:val="none" w:sz="0" w:space="0" w:color="auto"/>
            <w:right w:val="none" w:sz="0" w:space="0" w:color="auto"/>
          </w:divBdr>
        </w:div>
        <w:div w:id="1723864327">
          <w:marLeft w:val="0"/>
          <w:marRight w:val="0"/>
          <w:marTop w:val="0"/>
          <w:marBottom w:val="0"/>
          <w:divBdr>
            <w:top w:val="none" w:sz="0" w:space="0" w:color="auto"/>
            <w:left w:val="none" w:sz="0" w:space="0" w:color="auto"/>
            <w:bottom w:val="none" w:sz="0" w:space="0" w:color="auto"/>
            <w:right w:val="none" w:sz="0" w:space="0" w:color="auto"/>
          </w:divBdr>
        </w:div>
        <w:div w:id="1112896916">
          <w:marLeft w:val="0"/>
          <w:marRight w:val="0"/>
          <w:marTop w:val="0"/>
          <w:marBottom w:val="0"/>
          <w:divBdr>
            <w:top w:val="none" w:sz="0" w:space="0" w:color="auto"/>
            <w:left w:val="none" w:sz="0" w:space="0" w:color="auto"/>
            <w:bottom w:val="none" w:sz="0" w:space="0" w:color="auto"/>
            <w:right w:val="none" w:sz="0" w:space="0" w:color="auto"/>
          </w:divBdr>
        </w:div>
        <w:div w:id="1407075575">
          <w:marLeft w:val="0"/>
          <w:marRight w:val="0"/>
          <w:marTop w:val="0"/>
          <w:marBottom w:val="0"/>
          <w:divBdr>
            <w:top w:val="none" w:sz="0" w:space="0" w:color="auto"/>
            <w:left w:val="none" w:sz="0" w:space="0" w:color="auto"/>
            <w:bottom w:val="none" w:sz="0" w:space="0" w:color="auto"/>
            <w:right w:val="none" w:sz="0" w:space="0" w:color="auto"/>
          </w:divBdr>
          <w:divsChild>
            <w:div w:id="1579099459">
              <w:marLeft w:val="0"/>
              <w:marRight w:val="0"/>
              <w:marTop w:val="0"/>
              <w:marBottom w:val="0"/>
              <w:divBdr>
                <w:top w:val="none" w:sz="0" w:space="0" w:color="auto"/>
                <w:left w:val="none" w:sz="0" w:space="0" w:color="auto"/>
                <w:bottom w:val="none" w:sz="0" w:space="0" w:color="auto"/>
                <w:right w:val="none" w:sz="0" w:space="0" w:color="auto"/>
              </w:divBdr>
            </w:div>
            <w:div w:id="90787099">
              <w:marLeft w:val="0"/>
              <w:marRight w:val="0"/>
              <w:marTop w:val="0"/>
              <w:marBottom w:val="0"/>
              <w:divBdr>
                <w:top w:val="none" w:sz="0" w:space="0" w:color="auto"/>
                <w:left w:val="none" w:sz="0" w:space="0" w:color="auto"/>
                <w:bottom w:val="none" w:sz="0" w:space="0" w:color="auto"/>
                <w:right w:val="none" w:sz="0" w:space="0" w:color="auto"/>
              </w:divBdr>
            </w:div>
            <w:div w:id="842665318">
              <w:marLeft w:val="0"/>
              <w:marRight w:val="0"/>
              <w:marTop w:val="0"/>
              <w:marBottom w:val="0"/>
              <w:divBdr>
                <w:top w:val="none" w:sz="0" w:space="0" w:color="auto"/>
                <w:left w:val="none" w:sz="0" w:space="0" w:color="auto"/>
                <w:bottom w:val="none" w:sz="0" w:space="0" w:color="auto"/>
                <w:right w:val="none" w:sz="0" w:space="0" w:color="auto"/>
              </w:divBdr>
            </w:div>
            <w:div w:id="44716674">
              <w:marLeft w:val="0"/>
              <w:marRight w:val="0"/>
              <w:marTop w:val="0"/>
              <w:marBottom w:val="0"/>
              <w:divBdr>
                <w:top w:val="none" w:sz="0" w:space="0" w:color="auto"/>
                <w:left w:val="none" w:sz="0" w:space="0" w:color="auto"/>
                <w:bottom w:val="none" w:sz="0" w:space="0" w:color="auto"/>
                <w:right w:val="none" w:sz="0" w:space="0" w:color="auto"/>
              </w:divBdr>
            </w:div>
            <w:div w:id="1508212700">
              <w:marLeft w:val="0"/>
              <w:marRight w:val="0"/>
              <w:marTop w:val="0"/>
              <w:marBottom w:val="0"/>
              <w:divBdr>
                <w:top w:val="none" w:sz="0" w:space="0" w:color="auto"/>
                <w:left w:val="none" w:sz="0" w:space="0" w:color="auto"/>
                <w:bottom w:val="none" w:sz="0" w:space="0" w:color="auto"/>
                <w:right w:val="none" w:sz="0" w:space="0" w:color="auto"/>
              </w:divBdr>
            </w:div>
            <w:div w:id="929267204">
              <w:marLeft w:val="0"/>
              <w:marRight w:val="0"/>
              <w:marTop w:val="0"/>
              <w:marBottom w:val="0"/>
              <w:divBdr>
                <w:top w:val="none" w:sz="0" w:space="0" w:color="auto"/>
                <w:left w:val="none" w:sz="0" w:space="0" w:color="auto"/>
                <w:bottom w:val="none" w:sz="0" w:space="0" w:color="auto"/>
                <w:right w:val="none" w:sz="0" w:space="0" w:color="auto"/>
              </w:divBdr>
            </w:div>
            <w:div w:id="385950686">
              <w:marLeft w:val="0"/>
              <w:marRight w:val="0"/>
              <w:marTop w:val="0"/>
              <w:marBottom w:val="0"/>
              <w:divBdr>
                <w:top w:val="none" w:sz="0" w:space="0" w:color="auto"/>
                <w:left w:val="none" w:sz="0" w:space="0" w:color="auto"/>
                <w:bottom w:val="none" w:sz="0" w:space="0" w:color="auto"/>
                <w:right w:val="none" w:sz="0" w:space="0" w:color="auto"/>
              </w:divBdr>
            </w:div>
            <w:div w:id="2071807051">
              <w:marLeft w:val="0"/>
              <w:marRight w:val="0"/>
              <w:marTop w:val="0"/>
              <w:marBottom w:val="0"/>
              <w:divBdr>
                <w:top w:val="none" w:sz="0" w:space="0" w:color="auto"/>
                <w:left w:val="none" w:sz="0" w:space="0" w:color="auto"/>
                <w:bottom w:val="none" w:sz="0" w:space="0" w:color="auto"/>
                <w:right w:val="none" w:sz="0" w:space="0" w:color="auto"/>
              </w:divBdr>
            </w:div>
            <w:div w:id="9645125">
              <w:marLeft w:val="0"/>
              <w:marRight w:val="0"/>
              <w:marTop w:val="0"/>
              <w:marBottom w:val="0"/>
              <w:divBdr>
                <w:top w:val="none" w:sz="0" w:space="0" w:color="auto"/>
                <w:left w:val="none" w:sz="0" w:space="0" w:color="auto"/>
                <w:bottom w:val="none" w:sz="0" w:space="0" w:color="auto"/>
                <w:right w:val="none" w:sz="0" w:space="0" w:color="auto"/>
              </w:divBdr>
            </w:div>
            <w:div w:id="1933053100">
              <w:marLeft w:val="0"/>
              <w:marRight w:val="0"/>
              <w:marTop w:val="0"/>
              <w:marBottom w:val="0"/>
              <w:divBdr>
                <w:top w:val="none" w:sz="0" w:space="0" w:color="auto"/>
                <w:left w:val="none" w:sz="0" w:space="0" w:color="auto"/>
                <w:bottom w:val="none" w:sz="0" w:space="0" w:color="auto"/>
                <w:right w:val="none" w:sz="0" w:space="0" w:color="auto"/>
              </w:divBdr>
            </w:div>
            <w:div w:id="611589272">
              <w:marLeft w:val="0"/>
              <w:marRight w:val="0"/>
              <w:marTop w:val="0"/>
              <w:marBottom w:val="0"/>
              <w:divBdr>
                <w:top w:val="none" w:sz="0" w:space="0" w:color="auto"/>
                <w:left w:val="none" w:sz="0" w:space="0" w:color="auto"/>
                <w:bottom w:val="none" w:sz="0" w:space="0" w:color="auto"/>
                <w:right w:val="none" w:sz="0" w:space="0" w:color="auto"/>
              </w:divBdr>
            </w:div>
            <w:div w:id="217398302">
              <w:marLeft w:val="0"/>
              <w:marRight w:val="0"/>
              <w:marTop w:val="0"/>
              <w:marBottom w:val="0"/>
              <w:divBdr>
                <w:top w:val="none" w:sz="0" w:space="0" w:color="auto"/>
                <w:left w:val="none" w:sz="0" w:space="0" w:color="auto"/>
                <w:bottom w:val="none" w:sz="0" w:space="0" w:color="auto"/>
                <w:right w:val="none" w:sz="0" w:space="0" w:color="auto"/>
              </w:divBdr>
            </w:div>
            <w:div w:id="1655446094">
              <w:marLeft w:val="0"/>
              <w:marRight w:val="0"/>
              <w:marTop w:val="0"/>
              <w:marBottom w:val="0"/>
              <w:divBdr>
                <w:top w:val="none" w:sz="0" w:space="0" w:color="auto"/>
                <w:left w:val="none" w:sz="0" w:space="0" w:color="auto"/>
                <w:bottom w:val="none" w:sz="0" w:space="0" w:color="auto"/>
                <w:right w:val="none" w:sz="0" w:space="0" w:color="auto"/>
              </w:divBdr>
            </w:div>
            <w:div w:id="1086849175">
              <w:marLeft w:val="0"/>
              <w:marRight w:val="0"/>
              <w:marTop w:val="0"/>
              <w:marBottom w:val="0"/>
              <w:divBdr>
                <w:top w:val="none" w:sz="0" w:space="0" w:color="auto"/>
                <w:left w:val="none" w:sz="0" w:space="0" w:color="auto"/>
                <w:bottom w:val="none" w:sz="0" w:space="0" w:color="auto"/>
                <w:right w:val="none" w:sz="0" w:space="0" w:color="auto"/>
              </w:divBdr>
            </w:div>
            <w:div w:id="492600784">
              <w:marLeft w:val="0"/>
              <w:marRight w:val="0"/>
              <w:marTop w:val="0"/>
              <w:marBottom w:val="0"/>
              <w:divBdr>
                <w:top w:val="none" w:sz="0" w:space="0" w:color="auto"/>
                <w:left w:val="none" w:sz="0" w:space="0" w:color="auto"/>
                <w:bottom w:val="none" w:sz="0" w:space="0" w:color="auto"/>
                <w:right w:val="none" w:sz="0" w:space="0" w:color="auto"/>
              </w:divBdr>
            </w:div>
            <w:div w:id="1063333139">
              <w:marLeft w:val="0"/>
              <w:marRight w:val="0"/>
              <w:marTop w:val="0"/>
              <w:marBottom w:val="0"/>
              <w:divBdr>
                <w:top w:val="none" w:sz="0" w:space="0" w:color="auto"/>
                <w:left w:val="none" w:sz="0" w:space="0" w:color="auto"/>
                <w:bottom w:val="none" w:sz="0" w:space="0" w:color="auto"/>
                <w:right w:val="none" w:sz="0" w:space="0" w:color="auto"/>
              </w:divBdr>
            </w:div>
            <w:div w:id="1361006281">
              <w:marLeft w:val="0"/>
              <w:marRight w:val="0"/>
              <w:marTop w:val="0"/>
              <w:marBottom w:val="0"/>
              <w:divBdr>
                <w:top w:val="none" w:sz="0" w:space="0" w:color="auto"/>
                <w:left w:val="none" w:sz="0" w:space="0" w:color="auto"/>
                <w:bottom w:val="none" w:sz="0" w:space="0" w:color="auto"/>
                <w:right w:val="none" w:sz="0" w:space="0" w:color="auto"/>
              </w:divBdr>
            </w:div>
            <w:div w:id="330649021">
              <w:marLeft w:val="0"/>
              <w:marRight w:val="0"/>
              <w:marTop w:val="0"/>
              <w:marBottom w:val="0"/>
              <w:divBdr>
                <w:top w:val="none" w:sz="0" w:space="0" w:color="auto"/>
                <w:left w:val="none" w:sz="0" w:space="0" w:color="auto"/>
                <w:bottom w:val="none" w:sz="0" w:space="0" w:color="auto"/>
                <w:right w:val="none" w:sz="0" w:space="0" w:color="auto"/>
              </w:divBdr>
            </w:div>
            <w:div w:id="1793673001">
              <w:marLeft w:val="0"/>
              <w:marRight w:val="0"/>
              <w:marTop w:val="0"/>
              <w:marBottom w:val="0"/>
              <w:divBdr>
                <w:top w:val="none" w:sz="0" w:space="0" w:color="auto"/>
                <w:left w:val="none" w:sz="0" w:space="0" w:color="auto"/>
                <w:bottom w:val="none" w:sz="0" w:space="0" w:color="auto"/>
                <w:right w:val="none" w:sz="0" w:space="0" w:color="auto"/>
              </w:divBdr>
            </w:div>
            <w:div w:id="465201842">
              <w:marLeft w:val="0"/>
              <w:marRight w:val="0"/>
              <w:marTop w:val="0"/>
              <w:marBottom w:val="0"/>
              <w:divBdr>
                <w:top w:val="none" w:sz="0" w:space="0" w:color="auto"/>
                <w:left w:val="none" w:sz="0" w:space="0" w:color="auto"/>
                <w:bottom w:val="none" w:sz="0" w:space="0" w:color="auto"/>
                <w:right w:val="none" w:sz="0" w:space="0" w:color="auto"/>
              </w:divBdr>
            </w:div>
            <w:div w:id="1236012138">
              <w:marLeft w:val="0"/>
              <w:marRight w:val="0"/>
              <w:marTop w:val="0"/>
              <w:marBottom w:val="0"/>
              <w:divBdr>
                <w:top w:val="none" w:sz="0" w:space="0" w:color="auto"/>
                <w:left w:val="none" w:sz="0" w:space="0" w:color="auto"/>
                <w:bottom w:val="none" w:sz="0" w:space="0" w:color="auto"/>
                <w:right w:val="none" w:sz="0" w:space="0" w:color="auto"/>
              </w:divBdr>
            </w:div>
            <w:div w:id="1112938295">
              <w:marLeft w:val="0"/>
              <w:marRight w:val="0"/>
              <w:marTop w:val="0"/>
              <w:marBottom w:val="0"/>
              <w:divBdr>
                <w:top w:val="none" w:sz="0" w:space="0" w:color="auto"/>
                <w:left w:val="none" w:sz="0" w:space="0" w:color="auto"/>
                <w:bottom w:val="none" w:sz="0" w:space="0" w:color="auto"/>
                <w:right w:val="none" w:sz="0" w:space="0" w:color="auto"/>
              </w:divBdr>
            </w:div>
            <w:div w:id="560092416">
              <w:marLeft w:val="0"/>
              <w:marRight w:val="0"/>
              <w:marTop w:val="0"/>
              <w:marBottom w:val="0"/>
              <w:divBdr>
                <w:top w:val="none" w:sz="0" w:space="0" w:color="auto"/>
                <w:left w:val="none" w:sz="0" w:space="0" w:color="auto"/>
                <w:bottom w:val="none" w:sz="0" w:space="0" w:color="auto"/>
                <w:right w:val="none" w:sz="0" w:space="0" w:color="auto"/>
              </w:divBdr>
            </w:div>
            <w:div w:id="2025787938">
              <w:marLeft w:val="0"/>
              <w:marRight w:val="0"/>
              <w:marTop w:val="0"/>
              <w:marBottom w:val="0"/>
              <w:divBdr>
                <w:top w:val="none" w:sz="0" w:space="0" w:color="auto"/>
                <w:left w:val="none" w:sz="0" w:space="0" w:color="auto"/>
                <w:bottom w:val="none" w:sz="0" w:space="0" w:color="auto"/>
                <w:right w:val="none" w:sz="0" w:space="0" w:color="auto"/>
              </w:divBdr>
            </w:div>
            <w:div w:id="830171082">
              <w:marLeft w:val="0"/>
              <w:marRight w:val="0"/>
              <w:marTop w:val="0"/>
              <w:marBottom w:val="0"/>
              <w:divBdr>
                <w:top w:val="none" w:sz="0" w:space="0" w:color="auto"/>
                <w:left w:val="none" w:sz="0" w:space="0" w:color="auto"/>
                <w:bottom w:val="none" w:sz="0" w:space="0" w:color="auto"/>
                <w:right w:val="none" w:sz="0" w:space="0" w:color="auto"/>
              </w:divBdr>
            </w:div>
            <w:div w:id="1319112103">
              <w:marLeft w:val="0"/>
              <w:marRight w:val="0"/>
              <w:marTop w:val="0"/>
              <w:marBottom w:val="0"/>
              <w:divBdr>
                <w:top w:val="none" w:sz="0" w:space="0" w:color="auto"/>
                <w:left w:val="none" w:sz="0" w:space="0" w:color="auto"/>
                <w:bottom w:val="none" w:sz="0" w:space="0" w:color="auto"/>
                <w:right w:val="none" w:sz="0" w:space="0" w:color="auto"/>
              </w:divBdr>
            </w:div>
            <w:div w:id="990139541">
              <w:marLeft w:val="0"/>
              <w:marRight w:val="0"/>
              <w:marTop w:val="0"/>
              <w:marBottom w:val="0"/>
              <w:divBdr>
                <w:top w:val="none" w:sz="0" w:space="0" w:color="auto"/>
                <w:left w:val="none" w:sz="0" w:space="0" w:color="auto"/>
                <w:bottom w:val="none" w:sz="0" w:space="0" w:color="auto"/>
                <w:right w:val="none" w:sz="0" w:space="0" w:color="auto"/>
              </w:divBdr>
            </w:div>
            <w:div w:id="159932719">
              <w:marLeft w:val="0"/>
              <w:marRight w:val="0"/>
              <w:marTop w:val="0"/>
              <w:marBottom w:val="0"/>
              <w:divBdr>
                <w:top w:val="none" w:sz="0" w:space="0" w:color="auto"/>
                <w:left w:val="none" w:sz="0" w:space="0" w:color="auto"/>
                <w:bottom w:val="none" w:sz="0" w:space="0" w:color="auto"/>
                <w:right w:val="none" w:sz="0" w:space="0" w:color="auto"/>
              </w:divBdr>
            </w:div>
            <w:div w:id="152805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36956">
      <w:bodyDiv w:val="1"/>
      <w:marLeft w:val="0"/>
      <w:marRight w:val="0"/>
      <w:marTop w:val="0"/>
      <w:marBottom w:val="0"/>
      <w:divBdr>
        <w:top w:val="none" w:sz="0" w:space="0" w:color="auto"/>
        <w:left w:val="none" w:sz="0" w:space="0" w:color="auto"/>
        <w:bottom w:val="none" w:sz="0" w:space="0" w:color="auto"/>
        <w:right w:val="none" w:sz="0" w:space="0" w:color="auto"/>
      </w:divBdr>
      <w:divsChild>
        <w:div w:id="1611164581">
          <w:marLeft w:val="0"/>
          <w:marRight w:val="0"/>
          <w:marTop w:val="0"/>
          <w:marBottom w:val="0"/>
          <w:divBdr>
            <w:top w:val="none" w:sz="0" w:space="0" w:color="auto"/>
            <w:left w:val="none" w:sz="0" w:space="0" w:color="auto"/>
            <w:bottom w:val="none" w:sz="0" w:space="0" w:color="auto"/>
            <w:right w:val="none" w:sz="0" w:space="0" w:color="auto"/>
          </w:divBdr>
        </w:div>
        <w:div w:id="911427921">
          <w:marLeft w:val="0"/>
          <w:marRight w:val="0"/>
          <w:marTop w:val="0"/>
          <w:marBottom w:val="0"/>
          <w:divBdr>
            <w:top w:val="none" w:sz="0" w:space="0" w:color="auto"/>
            <w:left w:val="none" w:sz="0" w:space="0" w:color="auto"/>
            <w:bottom w:val="none" w:sz="0" w:space="0" w:color="auto"/>
            <w:right w:val="none" w:sz="0" w:space="0" w:color="auto"/>
          </w:divBdr>
          <w:divsChild>
            <w:div w:id="1323239416">
              <w:marLeft w:val="0"/>
              <w:marRight w:val="0"/>
              <w:marTop w:val="0"/>
              <w:marBottom w:val="0"/>
              <w:divBdr>
                <w:top w:val="none" w:sz="0" w:space="0" w:color="auto"/>
                <w:left w:val="none" w:sz="0" w:space="0" w:color="auto"/>
                <w:bottom w:val="none" w:sz="0" w:space="0" w:color="auto"/>
                <w:right w:val="none" w:sz="0" w:space="0" w:color="auto"/>
              </w:divBdr>
              <w:divsChild>
                <w:div w:id="127050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694832">
          <w:marLeft w:val="0"/>
          <w:marRight w:val="0"/>
          <w:marTop w:val="0"/>
          <w:marBottom w:val="0"/>
          <w:divBdr>
            <w:top w:val="none" w:sz="0" w:space="0" w:color="auto"/>
            <w:left w:val="none" w:sz="0" w:space="0" w:color="auto"/>
            <w:bottom w:val="none" w:sz="0" w:space="0" w:color="auto"/>
            <w:right w:val="none" w:sz="0" w:space="0" w:color="auto"/>
          </w:divBdr>
        </w:div>
        <w:div w:id="1424376897">
          <w:marLeft w:val="0"/>
          <w:marRight w:val="0"/>
          <w:marTop w:val="0"/>
          <w:marBottom w:val="0"/>
          <w:divBdr>
            <w:top w:val="none" w:sz="0" w:space="0" w:color="auto"/>
            <w:left w:val="none" w:sz="0" w:space="0" w:color="auto"/>
            <w:bottom w:val="none" w:sz="0" w:space="0" w:color="auto"/>
            <w:right w:val="none" w:sz="0" w:space="0" w:color="auto"/>
          </w:divBdr>
        </w:div>
        <w:div w:id="2062754126">
          <w:marLeft w:val="0"/>
          <w:marRight w:val="0"/>
          <w:marTop w:val="0"/>
          <w:marBottom w:val="0"/>
          <w:divBdr>
            <w:top w:val="none" w:sz="0" w:space="0" w:color="auto"/>
            <w:left w:val="none" w:sz="0" w:space="0" w:color="auto"/>
            <w:bottom w:val="none" w:sz="0" w:space="0" w:color="auto"/>
            <w:right w:val="none" w:sz="0" w:space="0" w:color="auto"/>
          </w:divBdr>
        </w:div>
        <w:div w:id="1084648878">
          <w:marLeft w:val="0"/>
          <w:marRight w:val="0"/>
          <w:marTop w:val="0"/>
          <w:marBottom w:val="0"/>
          <w:divBdr>
            <w:top w:val="none" w:sz="0" w:space="0" w:color="auto"/>
            <w:left w:val="none" w:sz="0" w:space="0" w:color="auto"/>
            <w:bottom w:val="none" w:sz="0" w:space="0" w:color="auto"/>
            <w:right w:val="none" w:sz="0" w:space="0" w:color="auto"/>
          </w:divBdr>
        </w:div>
        <w:div w:id="1385643698">
          <w:marLeft w:val="0"/>
          <w:marRight w:val="0"/>
          <w:marTop w:val="0"/>
          <w:marBottom w:val="0"/>
          <w:divBdr>
            <w:top w:val="none" w:sz="0" w:space="0" w:color="auto"/>
            <w:left w:val="none" w:sz="0" w:space="0" w:color="auto"/>
            <w:bottom w:val="none" w:sz="0" w:space="0" w:color="auto"/>
            <w:right w:val="none" w:sz="0" w:space="0" w:color="auto"/>
          </w:divBdr>
        </w:div>
        <w:div w:id="1414350741">
          <w:marLeft w:val="0"/>
          <w:marRight w:val="0"/>
          <w:marTop w:val="0"/>
          <w:marBottom w:val="0"/>
          <w:divBdr>
            <w:top w:val="none" w:sz="0" w:space="0" w:color="auto"/>
            <w:left w:val="none" w:sz="0" w:space="0" w:color="auto"/>
            <w:bottom w:val="none" w:sz="0" w:space="0" w:color="auto"/>
            <w:right w:val="none" w:sz="0" w:space="0" w:color="auto"/>
          </w:divBdr>
        </w:div>
        <w:div w:id="869805577">
          <w:marLeft w:val="0"/>
          <w:marRight w:val="0"/>
          <w:marTop w:val="0"/>
          <w:marBottom w:val="0"/>
          <w:divBdr>
            <w:top w:val="none" w:sz="0" w:space="0" w:color="auto"/>
            <w:left w:val="none" w:sz="0" w:space="0" w:color="auto"/>
            <w:bottom w:val="none" w:sz="0" w:space="0" w:color="auto"/>
            <w:right w:val="none" w:sz="0" w:space="0" w:color="auto"/>
          </w:divBdr>
        </w:div>
        <w:div w:id="391122135">
          <w:marLeft w:val="0"/>
          <w:marRight w:val="0"/>
          <w:marTop w:val="0"/>
          <w:marBottom w:val="0"/>
          <w:divBdr>
            <w:top w:val="none" w:sz="0" w:space="0" w:color="auto"/>
            <w:left w:val="none" w:sz="0" w:space="0" w:color="auto"/>
            <w:bottom w:val="none" w:sz="0" w:space="0" w:color="auto"/>
            <w:right w:val="none" w:sz="0" w:space="0" w:color="auto"/>
          </w:divBdr>
        </w:div>
        <w:div w:id="323705493">
          <w:marLeft w:val="0"/>
          <w:marRight w:val="0"/>
          <w:marTop w:val="0"/>
          <w:marBottom w:val="0"/>
          <w:divBdr>
            <w:top w:val="none" w:sz="0" w:space="0" w:color="auto"/>
            <w:left w:val="none" w:sz="0" w:space="0" w:color="auto"/>
            <w:bottom w:val="none" w:sz="0" w:space="0" w:color="auto"/>
            <w:right w:val="none" w:sz="0" w:space="0" w:color="auto"/>
          </w:divBdr>
        </w:div>
        <w:div w:id="418216431">
          <w:marLeft w:val="0"/>
          <w:marRight w:val="0"/>
          <w:marTop w:val="0"/>
          <w:marBottom w:val="0"/>
          <w:divBdr>
            <w:top w:val="none" w:sz="0" w:space="0" w:color="auto"/>
            <w:left w:val="none" w:sz="0" w:space="0" w:color="auto"/>
            <w:bottom w:val="none" w:sz="0" w:space="0" w:color="auto"/>
            <w:right w:val="none" w:sz="0" w:space="0" w:color="auto"/>
          </w:divBdr>
        </w:div>
        <w:div w:id="2076313912">
          <w:marLeft w:val="0"/>
          <w:marRight w:val="0"/>
          <w:marTop w:val="0"/>
          <w:marBottom w:val="0"/>
          <w:divBdr>
            <w:top w:val="none" w:sz="0" w:space="0" w:color="auto"/>
            <w:left w:val="none" w:sz="0" w:space="0" w:color="auto"/>
            <w:bottom w:val="none" w:sz="0" w:space="0" w:color="auto"/>
            <w:right w:val="none" w:sz="0" w:space="0" w:color="auto"/>
          </w:divBdr>
        </w:div>
        <w:div w:id="939870273">
          <w:marLeft w:val="0"/>
          <w:marRight w:val="0"/>
          <w:marTop w:val="0"/>
          <w:marBottom w:val="0"/>
          <w:divBdr>
            <w:top w:val="none" w:sz="0" w:space="0" w:color="auto"/>
            <w:left w:val="none" w:sz="0" w:space="0" w:color="auto"/>
            <w:bottom w:val="none" w:sz="0" w:space="0" w:color="auto"/>
            <w:right w:val="none" w:sz="0" w:space="0" w:color="auto"/>
          </w:divBdr>
        </w:div>
        <w:div w:id="1903634272">
          <w:marLeft w:val="0"/>
          <w:marRight w:val="0"/>
          <w:marTop w:val="0"/>
          <w:marBottom w:val="0"/>
          <w:divBdr>
            <w:top w:val="none" w:sz="0" w:space="0" w:color="auto"/>
            <w:left w:val="none" w:sz="0" w:space="0" w:color="auto"/>
            <w:bottom w:val="none" w:sz="0" w:space="0" w:color="auto"/>
            <w:right w:val="none" w:sz="0" w:space="0" w:color="auto"/>
          </w:divBdr>
        </w:div>
        <w:div w:id="246965291">
          <w:marLeft w:val="0"/>
          <w:marRight w:val="0"/>
          <w:marTop w:val="0"/>
          <w:marBottom w:val="0"/>
          <w:divBdr>
            <w:top w:val="none" w:sz="0" w:space="0" w:color="auto"/>
            <w:left w:val="none" w:sz="0" w:space="0" w:color="auto"/>
            <w:bottom w:val="none" w:sz="0" w:space="0" w:color="auto"/>
            <w:right w:val="none" w:sz="0" w:space="0" w:color="auto"/>
          </w:divBdr>
        </w:div>
        <w:div w:id="1855722927">
          <w:marLeft w:val="0"/>
          <w:marRight w:val="0"/>
          <w:marTop w:val="0"/>
          <w:marBottom w:val="0"/>
          <w:divBdr>
            <w:top w:val="none" w:sz="0" w:space="0" w:color="auto"/>
            <w:left w:val="none" w:sz="0" w:space="0" w:color="auto"/>
            <w:bottom w:val="none" w:sz="0" w:space="0" w:color="auto"/>
            <w:right w:val="none" w:sz="0" w:space="0" w:color="auto"/>
          </w:divBdr>
        </w:div>
        <w:div w:id="1904945405">
          <w:marLeft w:val="0"/>
          <w:marRight w:val="0"/>
          <w:marTop w:val="0"/>
          <w:marBottom w:val="0"/>
          <w:divBdr>
            <w:top w:val="none" w:sz="0" w:space="0" w:color="auto"/>
            <w:left w:val="none" w:sz="0" w:space="0" w:color="auto"/>
            <w:bottom w:val="none" w:sz="0" w:space="0" w:color="auto"/>
            <w:right w:val="none" w:sz="0" w:space="0" w:color="auto"/>
          </w:divBdr>
        </w:div>
        <w:div w:id="396637229">
          <w:marLeft w:val="0"/>
          <w:marRight w:val="0"/>
          <w:marTop w:val="0"/>
          <w:marBottom w:val="0"/>
          <w:divBdr>
            <w:top w:val="none" w:sz="0" w:space="0" w:color="auto"/>
            <w:left w:val="none" w:sz="0" w:space="0" w:color="auto"/>
            <w:bottom w:val="none" w:sz="0" w:space="0" w:color="auto"/>
            <w:right w:val="none" w:sz="0" w:space="0" w:color="auto"/>
          </w:divBdr>
        </w:div>
        <w:div w:id="1240821578">
          <w:marLeft w:val="0"/>
          <w:marRight w:val="0"/>
          <w:marTop w:val="0"/>
          <w:marBottom w:val="0"/>
          <w:divBdr>
            <w:top w:val="none" w:sz="0" w:space="0" w:color="auto"/>
            <w:left w:val="none" w:sz="0" w:space="0" w:color="auto"/>
            <w:bottom w:val="none" w:sz="0" w:space="0" w:color="auto"/>
            <w:right w:val="none" w:sz="0" w:space="0" w:color="auto"/>
          </w:divBdr>
        </w:div>
        <w:div w:id="531655775">
          <w:marLeft w:val="0"/>
          <w:marRight w:val="0"/>
          <w:marTop w:val="0"/>
          <w:marBottom w:val="0"/>
          <w:divBdr>
            <w:top w:val="none" w:sz="0" w:space="0" w:color="auto"/>
            <w:left w:val="none" w:sz="0" w:space="0" w:color="auto"/>
            <w:bottom w:val="none" w:sz="0" w:space="0" w:color="auto"/>
            <w:right w:val="none" w:sz="0" w:space="0" w:color="auto"/>
          </w:divBdr>
        </w:div>
        <w:div w:id="446891720">
          <w:marLeft w:val="0"/>
          <w:marRight w:val="0"/>
          <w:marTop w:val="0"/>
          <w:marBottom w:val="0"/>
          <w:divBdr>
            <w:top w:val="none" w:sz="0" w:space="0" w:color="auto"/>
            <w:left w:val="none" w:sz="0" w:space="0" w:color="auto"/>
            <w:bottom w:val="none" w:sz="0" w:space="0" w:color="auto"/>
            <w:right w:val="none" w:sz="0" w:space="0" w:color="auto"/>
          </w:divBdr>
        </w:div>
        <w:div w:id="714888018">
          <w:marLeft w:val="0"/>
          <w:marRight w:val="0"/>
          <w:marTop w:val="0"/>
          <w:marBottom w:val="0"/>
          <w:divBdr>
            <w:top w:val="none" w:sz="0" w:space="0" w:color="auto"/>
            <w:left w:val="none" w:sz="0" w:space="0" w:color="auto"/>
            <w:bottom w:val="none" w:sz="0" w:space="0" w:color="auto"/>
            <w:right w:val="none" w:sz="0" w:space="0" w:color="auto"/>
          </w:divBdr>
        </w:div>
        <w:div w:id="1861552046">
          <w:marLeft w:val="0"/>
          <w:marRight w:val="0"/>
          <w:marTop w:val="0"/>
          <w:marBottom w:val="0"/>
          <w:divBdr>
            <w:top w:val="none" w:sz="0" w:space="0" w:color="auto"/>
            <w:left w:val="none" w:sz="0" w:space="0" w:color="auto"/>
            <w:bottom w:val="none" w:sz="0" w:space="0" w:color="auto"/>
            <w:right w:val="none" w:sz="0" w:space="0" w:color="auto"/>
          </w:divBdr>
          <w:divsChild>
            <w:div w:id="247882946">
              <w:marLeft w:val="0"/>
              <w:marRight w:val="0"/>
              <w:marTop w:val="0"/>
              <w:marBottom w:val="0"/>
              <w:divBdr>
                <w:top w:val="none" w:sz="0" w:space="0" w:color="auto"/>
                <w:left w:val="none" w:sz="0" w:space="0" w:color="auto"/>
                <w:bottom w:val="none" w:sz="0" w:space="0" w:color="auto"/>
                <w:right w:val="none" w:sz="0" w:space="0" w:color="auto"/>
              </w:divBdr>
            </w:div>
            <w:div w:id="292952819">
              <w:marLeft w:val="0"/>
              <w:marRight w:val="0"/>
              <w:marTop w:val="0"/>
              <w:marBottom w:val="0"/>
              <w:divBdr>
                <w:top w:val="none" w:sz="0" w:space="0" w:color="auto"/>
                <w:left w:val="none" w:sz="0" w:space="0" w:color="auto"/>
                <w:bottom w:val="none" w:sz="0" w:space="0" w:color="auto"/>
                <w:right w:val="none" w:sz="0" w:space="0" w:color="auto"/>
              </w:divBdr>
            </w:div>
          </w:divsChild>
        </w:div>
        <w:div w:id="596016373">
          <w:marLeft w:val="0"/>
          <w:marRight w:val="0"/>
          <w:marTop w:val="0"/>
          <w:marBottom w:val="0"/>
          <w:divBdr>
            <w:top w:val="none" w:sz="0" w:space="0" w:color="auto"/>
            <w:left w:val="none" w:sz="0" w:space="0" w:color="auto"/>
            <w:bottom w:val="none" w:sz="0" w:space="0" w:color="auto"/>
            <w:right w:val="none" w:sz="0" w:space="0" w:color="auto"/>
          </w:divBdr>
        </w:div>
        <w:div w:id="1756051159">
          <w:marLeft w:val="0"/>
          <w:marRight w:val="0"/>
          <w:marTop w:val="0"/>
          <w:marBottom w:val="0"/>
          <w:divBdr>
            <w:top w:val="none" w:sz="0" w:space="0" w:color="auto"/>
            <w:left w:val="none" w:sz="0" w:space="0" w:color="auto"/>
            <w:bottom w:val="none" w:sz="0" w:space="0" w:color="auto"/>
            <w:right w:val="none" w:sz="0" w:space="0" w:color="auto"/>
          </w:divBdr>
        </w:div>
        <w:div w:id="1904369899">
          <w:marLeft w:val="0"/>
          <w:marRight w:val="0"/>
          <w:marTop w:val="0"/>
          <w:marBottom w:val="0"/>
          <w:divBdr>
            <w:top w:val="none" w:sz="0" w:space="0" w:color="auto"/>
            <w:left w:val="none" w:sz="0" w:space="0" w:color="auto"/>
            <w:bottom w:val="none" w:sz="0" w:space="0" w:color="auto"/>
            <w:right w:val="none" w:sz="0" w:space="0" w:color="auto"/>
          </w:divBdr>
        </w:div>
        <w:div w:id="765466944">
          <w:marLeft w:val="0"/>
          <w:marRight w:val="0"/>
          <w:marTop w:val="0"/>
          <w:marBottom w:val="0"/>
          <w:divBdr>
            <w:top w:val="none" w:sz="0" w:space="0" w:color="auto"/>
            <w:left w:val="none" w:sz="0" w:space="0" w:color="auto"/>
            <w:bottom w:val="none" w:sz="0" w:space="0" w:color="auto"/>
            <w:right w:val="none" w:sz="0" w:space="0" w:color="auto"/>
          </w:divBdr>
        </w:div>
        <w:div w:id="679551251">
          <w:marLeft w:val="0"/>
          <w:marRight w:val="0"/>
          <w:marTop w:val="0"/>
          <w:marBottom w:val="0"/>
          <w:divBdr>
            <w:top w:val="none" w:sz="0" w:space="0" w:color="auto"/>
            <w:left w:val="none" w:sz="0" w:space="0" w:color="auto"/>
            <w:bottom w:val="none" w:sz="0" w:space="0" w:color="auto"/>
            <w:right w:val="none" w:sz="0" w:space="0" w:color="auto"/>
          </w:divBdr>
        </w:div>
        <w:div w:id="2061055038">
          <w:marLeft w:val="0"/>
          <w:marRight w:val="0"/>
          <w:marTop w:val="0"/>
          <w:marBottom w:val="0"/>
          <w:divBdr>
            <w:top w:val="none" w:sz="0" w:space="0" w:color="auto"/>
            <w:left w:val="none" w:sz="0" w:space="0" w:color="auto"/>
            <w:bottom w:val="none" w:sz="0" w:space="0" w:color="auto"/>
            <w:right w:val="none" w:sz="0" w:space="0" w:color="auto"/>
          </w:divBdr>
        </w:div>
        <w:div w:id="1350912018">
          <w:marLeft w:val="0"/>
          <w:marRight w:val="0"/>
          <w:marTop w:val="0"/>
          <w:marBottom w:val="0"/>
          <w:divBdr>
            <w:top w:val="none" w:sz="0" w:space="0" w:color="auto"/>
            <w:left w:val="none" w:sz="0" w:space="0" w:color="auto"/>
            <w:bottom w:val="none" w:sz="0" w:space="0" w:color="auto"/>
            <w:right w:val="none" w:sz="0" w:space="0" w:color="auto"/>
          </w:divBdr>
        </w:div>
        <w:div w:id="1774520704">
          <w:marLeft w:val="0"/>
          <w:marRight w:val="0"/>
          <w:marTop w:val="0"/>
          <w:marBottom w:val="0"/>
          <w:divBdr>
            <w:top w:val="none" w:sz="0" w:space="0" w:color="auto"/>
            <w:left w:val="none" w:sz="0" w:space="0" w:color="auto"/>
            <w:bottom w:val="none" w:sz="0" w:space="0" w:color="auto"/>
            <w:right w:val="none" w:sz="0" w:space="0" w:color="auto"/>
          </w:divBdr>
        </w:div>
        <w:div w:id="1857840766">
          <w:marLeft w:val="0"/>
          <w:marRight w:val="0"/>
          <w:marTop w:val="0"/>
          <w:marBottom w:val="0"/>
          <w:divBdr>
            <w:top w:val="none" w:sz="0" w:space="0" w:color="auto"/>
            <w:left w:val="none" w:sz="0" w:space="0" w:color="auto"/>
            <w:bottom w:val="none" w:sz="0" w:space="0" w:color="auto"/>
            <w:right w:val="none" w:sz="0" w:space="0" w:color="auto"/>
          </w:divBdr>
        </w:div>
        <w:div w:id="499201455">
          <w:marLeft w:val="0"/>
          <w:marRight w:val="0"/>
          <w:marTop w:val="0"/>
          <w:marBottom w:val="0"/>
          <w:divBdr>
            <w:top w:val="none" w:sz="0" w:space="0" w:color="auto"/>
            <w:left w:val="none" w:sz="0" w:space="0" w:color="auto"/>
            <w:bottom w:val="none" w:sz="0" w:space="0" w:color="auto"/>
            <w:right w:val="none" w:sz="0" w:space="0" w:color="auto"/>
          </w:divBdr>
        </w:div>
        <w:div w:id="202908223">
          <w:marLeft w:val="0"/>
          <w:marRight w:val="0"/>
          <w:marTop w:val="0"/>
          <w:marBottom w:val="0"/>
          <w:divBdr>
            <w:top w:val="none" w:sz="0" w:space="0" w:color="auto"/>
            <w:left w:val="none" w:sz="0" w:space="0" w:color="auto"/>
            <w:bottom w:val="none" w:sz="0" w:space="0" w:color="auto"/>
            <w:right w:val="none" w:sz="0" w:space="0" w:color="auto"/>
          </w:divBdr>
        </w:div>
        <w:div w:id="1684549372">
          <w:marLeft w:val="0"/>
          <w:marRight w:val="0"/>
          <w:marTop w:val="0"/>
          <w:marBottom w:val="0"/>
          <w:divBdr>
            <w:top w:val="none" w:sz="0" w:space="0" w:color="auto"/>
            <w:left w:val="none" w:sz="0" w:space="0" w:color="auto"/>
            <w:bottom w:val="none" w:sz="0" w:space="0" w:color="auto"/>
            <w:right w:val="none" w:sz="0" w:space="0" w:color="auto"/>
          </w:divBdr>
        </w:div>
        <w:div w:id="221066047">
          <w:marLeft w:val="0"/>
          <w:marRight w:val="0"/>
          <w:marTop w:val="0"/>
          <w:marBottom w:val="0"/>
          <w:divBdr>
            <w:top w:val="none" w:sz="0" w:space="0" w:color="auto"/>
            <w:left w:val="none" w:sz="0" w:space="0" w:color="auto"/>
            <w:bottom w:val="none" w:sz="0" w:space="0" w:color="auto"/>
            <w:right w:val="none" w:sz="0" w:space="0" w:color="auto"/>
          </w:divBdr>
        </w:div>
        <w:div w:id="173619446">
          <w:marLeft w:val="0"/>
          <w:marRight w:val="0"/>
          <w:marTop w:val="0"/>
          <w:marBottom w:val="0"/>
          <w:divBdr>
            <w:top w:val="none" w:sz="0" w:space="0" w:color="auto"/>
            <w:left w:val="none" w:sz="0" w:space="0" w:color="auto"/>
            <w:bottom w:val="none" w:sz="0" w:space="0" w:color="auto"/>
            <w:right w:val="none" w:sz="0" w:space="0" w:color="auto"/>
          </w:divBdr>
        </w:div>
        <w:div w:id="1597445494">
          <w:marLeft w:val="0"/>
          <w:marRight w:val="0"/>
          <w:marTop w:val="0"/>
          <w:marBottom w:val="0"/>
          <w:divBdr>
            <w:top w:val="none" w:sz="0" w:space="0" w:color="auto"/>
            <w:left w:val="none" w:sz="0" w:space="0" w:color="auto"/>
            <w:bottom w:val="none" w:sz="0" w:space="0" w:color="auto"/>
            <w:right w:val="none" w:sz="0" w:space="0" w:color="auto"/>
          </w:divBdr>
        </w:div>
        <w:div w:id="1606377534">
          <w:marLeft w:val="0"/>
          <w:marRight w:val="0"/>
          <w:marTop w:val="0"/>
          <w:marBottom w:val="0"/>
          <w:divBdr>
            <w:top w:val="none" w:sz="0" w:space="0" w:color="auto"/>
            <w:left w:val="none" w:sz="0" w:space="0" w:color="auto"/>
            <w:bottom w:val="none" w:sz="0" w:space="0" w:color="auto"/>
            <w:right w:val="none" w:sz="0" w:space="0" w:color="auto"/>
          </w:divBdr>
        </w:div>
        <w:div w:id="1098720629">
          <w:marLeft w:val="0"/>
          <w:marRight w:val="0"/>
          <w:marTop w:val="0"/>
          <w:marBottom w:val="0"/>
          <w:divBdr>
            <w:top w:val="none" w:sz="0" w:space="0" w:color="auto"/>
            <w:left w:val="none" w:sz="0" w:space="0" w:color="auto"/>
            <w:bottom w:val="none" w:sz="0" w:space="0" w:color="auto"/>
            <w:right w:val="none" w:sz="0" w:space="0" w:color="auto"/>
          </w:divBdr>
        </w:div>
        <w:div w:id="347829979">
          <w:marLeft w:val="0"/>
          <w:marRight w:val="0"/>
          <w:marTop w:val="0"/>
          <w:marBottom w:val="0"/>
          <w:divBdr>
            <w:top w:val="none" w:sz="0" w:space="0" w:color="auto"/>
            <w:left w:val="none" w:sz="0" w:space="0" w:color="auto"/>
            <w:bottom w:val="none" w:sz="0" w:space="0" w:color="auto"/>
            <w:right w:val="none" w:sz="0" w:space="0" w:color="auto"/>
          </w:divBdr>
        </w:div>
        <w:div w:id="1341129074">
          <w:marLeft w:val="0"/>
          <w:marRight w:val="0"/>
          <w:marTop w:val="0"/>
          <w:marBottom w:val="0"/>
          <w:divBdr>
            <w:top w:val="none" w:sz="0" w:space="0" w:color="auto"/>
            <w:left w:val="none" w:sz="0" w:space="0" w:color="auto"/>
            <w:bottom w:val="none" w:sz="0" w:space="0" w:color="auto"/>
            <w:right w:val="none" w:sz="0" w:space="0" w:color="auto"/>
          </w:divBdr>
        </w:div>
        <w:div w:id="1985156317">
          <w:marLeft w:val="0"/>
          <w:marRight w:val="0"/>
          <w:marTop w:val="0"/>
          <w:marBottom w:val="0"/>
          <w:divBdr>
            <w:top w:val="none" w:sz="0" w:space="0" w:color="auto"/>
            <w:left w:val="none" w:sz="0" w:space="0" w:color="auto"/>
            <w:bottom w:val="none" w:sz="0" w:space="0" w:color="auto"/>
            <w:right w:val="none" w:sz="0" w:space="0" w:color="auto"/>
          </w:divBdr>
        </w:div>
        <w:div w:id="1665012123">
          <w:marLeft w:val="0"/>
          <w:marRight w:val="0"/>
          <w:marTop w:val="0"/>
          <w:marBottom w:val="0"/>
          <w:divBdr>
            <w:top w:val="none" w:sz="0" w:space="0" w:color="auto"/>
            <w:left w:val="none" w:sz="0" w:space="0" w:color="auto"/>
            <w:bottom w:val="none" w:sz="0" w:space="0" w:color="auto"/>
            <w:right w:val="none" w:sz="0" w:space="0" w:color="auto"/>
          </w:divBdr>
        </w:div>
        <w:div w:id="120459481">
          <w:marLeft w:val="0"/>
          <w:marRight w:val="0"/>
          <w:marTop w:val="0"/>
          <w:marBottom w:val="0"/>
          <w:divBdr>
            <w:top w:val="none" w:sz="0" w:space="0" w:color="auto"/>
            <w:left w:val="none" w:sz="0" w:space="0" w:color="auto"/>
            <w:bottom w:val="none" w:sz="0" w:space="0" w:color="auto"/>
            <w:right w:val="none" w:sz="0" w:space="0" w:color="auto"/>
          </w:divBdr>
        </w:div>
        <w:div w:id="1530099592">
          <w:marLeft w:val="0"/>
          <w:marRight w:val="0"/>
          <w:marTop w:val="0"/>
          <w:marBottom w:val="0"/>
          <w:divBdr>
            <w:top w:val="none" w:sz="0" w:space="0" w:color="auto"/>
            <w:left w:val="none" w:sz="0" w:space="0" w:color="auto"/>
            <w:bottom w:val="none" w:sz="0" w:space="0" w:color="auto"/>
            <w:right w:val="none" w:sz="0" w:space="0" w:color="auto"/>
          </w:divBdr>
        </w:div>
        <w:div w:id="1328551955">
          <w:marLeft w:val="0"/>
          <w:marRight w:val="0"/>
          <w:marTop w:val="0"/>
          <w:marBottom w:val="0"/>
          <w:divBdr>
            <w:top w:val="none" w:sz="0" w:space="0" w:color="auto"/>
            <w:left w:val="none" w:sz="0" w:space="0" w:color="auto"/>
            <w:bottom w:val="none" w:sz="0" w:space="0" w:color="auto"/>
            <w:right w:val="none" w:sz="0" w:space="0" w:color="auto"/>
          </w:divBdr>
          <w:divsChild>
            <w:div w:id="1358627315">
              <w:marLeft w:val="0"/>
              <w:marRight w:val="0"/>
              <w:marTop w:val="0"/>
              <w:marBottom w:val="0"/>
              <w:divBdr>
                <w:top w:val="none" w:sz="0" w:space="0" w:color="auto"/>
                <w:left w:val="none" w:sz="0" w:space="0" w:color="auto"/>
                <w:bottom w:val="none" w:sz="0" w:space="0" w:color="auto"/>
                <w:right w:val="none" w:sz="0" w:space="0" w:color="auto"/>
              </w:divBdr>
            </w:div>
            <w:div w:id="1561554331">
              <w:marLeft w:val="0"/>
              <w:marRight w:val="0"/>
              <w:marTop w:val="0"/>
              <w:marBottom w:val="0"/>
              <w:divBdr>
                <w:top w:val="none" w:sz="0" w:space="0" w:color="auto"/>
                <w:left w:val="none" w:sz="0" w:space="0" w:color="auto"/>
                <w:bottom w:val="none" w:sz="0" w:space="0" w:color="auto"/>
                <w:right w:val="none" w:sz="0" w:space="0" w:color="auto"/>
              </w:divBdr>
            </w:div>
            <w:div w:id="33965721">
              <w:marLeft w:val="0"/>
              <w:marRight w:val="0"/>
              <w:marTop w:val="0"/>
              <w:marBottom w:val="0"/>
              <w:divBdr>
                <w:top w:val="none" w:sz="0" w:space="0" w:color="auto"/>
                <w:left w:val="none" w:sz="0" w:space="0" w:color="auto"/>
                <w:bottom w:val="none" w:sz="0" w:space="0" w:color="auto"/>
                <w:right w:val="none" w:sz="0" w:space="0" w:color="auto"/>
              </w:divBdr>
            </w:div>
            <w:div w:id="126824203">
              <w:marLeft w:val="0"/>
              <w:marRight w:val="0"/>
              <w:marTop w:val="0"/>
              <w:marBottom w:val="0"/>
              <w:divBdr>
                <w:top w:val="none" w:sz="0" w:space="0" w:color="auto"/>
                <w:left w:val="none" w:sz="0" w:space="0" w:color="auto"/>
                <w:bottom w:val="none" w:sz="0" w:space="0" w:color="auto"/>
                <w:right w:val="none" w:sz="0" w:space="0" w:color="auto"/>
              </w:divBdr>
            </w:div>
          </w:divsChild>
        </w:div>
        <w:div w:id="508907177">
          <w:marLeft w:val="0"/>
          <w:marRight w:val="0"/>
          <w:marTop w:val="0"/>
          <w:marBottom w:val="0"/>
          <w:divBdr>
            <w:top w:val="none" w:sz="0" w:space="0" w:color="auto"/>
            <w:left w:val="none" w:sz="0" w:space="0" w:color="auto"/>
            <w:bottom w:val="none" w:sz="0" w:space="0" w:color="auto"/>
            <w:right w:val="none" w:sz="0" w:space="0" w:color="auto"/>
          </w:divBdr>
        </w:div>
        <w:div w:id="1248540433">
          <w:marLeft w:val="0"/>
          <w:marRight w:val="0"/>
          <w:marTop w:val="0"/>
          <w:marBottom w:val="0"/>
          <w:divBdr>
            <w:top w:val="none" w:sz="0" w:space="0" w:color="auto"/>
            <w:left w:val="none" w:sz="0" w:space="0" w:color="auto"/>
            <w:bottom w:val="none" w:sz="0" w:space="0" w:color="auto"/>
            <w:right w:val="none" w:sz="0" w:space="0" w:color="auto"/>
          </w:divBdr>
        </w:div>
        <w:div w:id="480922126">
          <w:marLeft w:val="0"/>
          <w:marRight w:val="0"/>
          <w:marTop w:val="0"/>
          <w:marBottom w:val="0"/>
          <w:divBdr>
            <w:top w:val="none" w:sz="0" w:space="0" w:color="auto"/>
            <w:left w:val="none" w:sz="0" w:space="0" w:color="auto"/>
            <w:bottom w:val="none" w:sz="0" w:space="0" w:color="auto"/>
            <w:right w:val="none" w:sz="0" w:space="0" w:color="auto"/>
          </w:divBdr>
        </w:div>
        <w:div w:id="541403437">
          <w:marLeft w:val="0"/>
          <w:marRight w:val="0"/>
          <w:marTop w:val="0"/>
          <w:marBottom w:val="0"/>
          <w:divBdr>
            <w:top w:val="none" w:sz="0" w:space="0" w:color="auto"/>
            <w:left w:val="none" w:sz="0" w:space="0" w:color="auto"/>
            <w:bottom w:val="none" w:sz="0" w:space="0" w:color="auto"/>
            <w:right w:val="none" w:sz="0" w:space="0" w:color="auto"/>
          </w:divBdr>
        </w:div>
        <w:div w:id="624431069">
          <w:marLeft w:val="0"/>
          <w:marRight w:val="0"/>
          <w:marTop w:val="0"/>
          <w:marBottom w:val="0"/>
          <w:divBdr>
            <w:top w:val="none" w:sz="0" w:space="0" w:color="auto"/>
            <w:left w:val="none" w:sz="0" w:space="0" w:color="auto"/>
            <w:bottom w:val="none" w:sz="0" w:space="0" w:color="auto"/>
            <w:right w:val="none" w:sz="0" w:space="0" w:color="auto"/>
          </w:divBdr>
        </w:div>
        <w:div w:id="559022855">
          <w:marLeft w:val="0"/>
          <w:marRight w:val="0"/>
          <w:marTop w:val="0"/>
          <w:marBottom w:val="0"/>
          <w:divBdr>
            <w:top w:val="none" w:sz="0" w:space="0" w:color="auto"/>
            <w:left w:val="none" w:sz="0" w:space="0" w:color="auto"/>
            <w:bottom w:val="none" w:sz="0" w:space="0" w:color="auto"/>
            <w:right w:val="none" w:sz="0" w:space="0" w:color="auto"/>
          </w:divBdr>
        </w:div>
        <w:div w:id="1002853630">
          <w:marLeft w:val="0"/>
          <w:marRight w:val="0"/>
          <w:marTop w:val="0"/>
          <w:marBottom w:val="0"/>
          <w:divBdr>
            <w:top w:val="none" w:sz="0" w:space="0" w:color="auto"/>
            <w:left w:val="none" w:sz="0" w:space="0" w:color="auto"/>
            <w:bottom w:val="none" w:sz="0" w:space="0" w:color="auto"/>
            <w:right w:val="none" w:sz="0" w:space="0" w:color="auto"/>
          </w:divBdr>
        </w:div>
        <w:div w:id="1203397740">
          <w:marLeft w:val="0"/>
          <w:marRight w:val="0"/>
          <w:marTop w:val="0"/>
          <w:marBottom w:val="0"/>
          <w:divBdr>
            <w:top w:val="none" w:sz="0" w:space="0" w:color="auto"/>
            <w:left w:val="none" w:sz="0" w:space="0" w:color="auto"/>
            <w:bottom w:val="none" w:sz="0" w:space="0" w:color="auto"/>
            <w:right w:val="none" w:sz="0" w:space="0" w:color="auto"/>
          </w:divBdr>
        </w:div>
        <w:div w:id="868030510">
          <w:marLeft w:val="0"/>
          <w:marRight w:val="0"/>
          <w:marTop w:val="0"/>
          <w:marBottom w:val="0"/>
          <w:divBdr>
            <w:top w:val="none" w:sz="0" w:space="0" w:color="auto"/>
            <w:left w:val="none" w:sz="0" w:space="0" w:color="auto"/>
            <w:bottom w:val="none" w:sz="0" w:space="0" w:color="auto"/>
            <w:right w:val="none" w:sz="0" w:space="0" w:color="auto"/>
          </w:divBdr>
        </w:div>
        <w:div w:id="1316565087">
          <w:marLeft w:val="0"/>
          <w:marRight w:val="0"/>
          <w:marTop w:val="0"/>
          <w:marBottom w:val="0"/>
          <w:divBdr>
            <w:top w:val="none" w:sz="0" w:space="0" w:color="auto"/>
            <w:left w:val="none" w:sz="0" w:space="0" w:color="auto"/>
            <w:bottom w:val="none" w:sz="0" w:space="0" w:color="auto"/>
            <w:right w:val="none" w:sz="0" w:space="0" w:color="auto"/>
          </w:divBdr>
          <w:divsChild>
            <w:div w:id="437332226">
              <w:marLeft w:val="0"/>
              <w:marRight w:val="0"/>
              <w:marTop w:val="0"/>
              <w:marBottom w:val="0"/>
              <w:divBdr>
                <w:top w:val="none" w:sz="0" w:space="0" w:color="auto"/>
                <w:left w:val="none" w:sz="0" w:space="0" w:color="auto"/>
                <w:bottom w:val="none" w:sz="0" w:space="0" w:color="auto"/>
                <w:right w:val="none" w:sz="0" w:space="0" w:color="auto"/>
              </w:divBdr>
            </w:div>
          </w:divsChild>
        </w:div>
        <w:div w:id="1255167258">
          <w:marLeft w:val="0"/>
          <w:marRight w:val="0"/>
          <w:marTop w:val="0"/>
          <w:marBottom w:val="0"/>
          <w:divBdr>
            <w:top w:val="none" w:sz="0" w:space="0" w:color="auto"/>
            <w:left w:val="none" w:sz="0" w:space="0" w:color="auto"/>
            <w:bottom w:val="none" w:sz="0" w:space="0" w:color="auto"/>
            <w:right w:val="none" w:sz="0" w:space="0" w:color="auto"/>
          </w:divBdr>
        </w:div>
        <w:div w:id="1769621350">
          <w:marLeft w:val="0"/>
          <w:marRight w:val="0"/>
          <w:marTop w:val="0"/>
          <w:marBottom w:val="0"/>
          <w:divBdr>
            <w:top w:val="none" w:sz="0" w:space="0" w:color="auto"/>
            <w:left w:val="none" w:sz="0" w:space="0" w:color="auto"/>
            <w:bottom w:val="none" w:sz="0" w:space="0" w:color="auto"/>
            <w:right w:val="none" w:sz="0" w:space="0" w:color="auto"/>
          </w:divBdr>
        </w:div>
        <w:div w:id="754060261">
          <w:marLeft w:val="0"/>
          <w:marRight w:val="0"/>
          <w:marTop w:val="0"/>
          <w:marBottom w:val="0"/>
          <w:divBdr>
            <w:top w:val="none" w:sz="0" w:space="0" w:color="auto"/>
            <w:left w:val="none" w:sz="0" w:space="0" w:color="auto"/>
            <w:bottom w:val="none" w:sz="0" w:space="0" w:color="auto"/>
            <w:right w:val="none" w:sz="0" w:space="0" w:color="auto"/>
          </w:divBdr>
        </w:div>
        <w:div w:id="1806847497">
          <w:marLeft w:val="0"/>
          <w:marRight w:val="0"/>
          <w:marTop w:val="0"/>
          <w:marBottom w:val="0"/>
          <w:divBdr>
            <w:top w:val="none" w:sz="0" w:space="0" w:color="auto"/>
            <w:left w:val="none" w:sz="0" w:space="0" w:color="auto"/>
            <w:bottom w:val="none" w:sz="0" w:space="0" w:color="auto"/>
            <w:right w:val="none" w:sz="0" w:space="0" w:color="auto"/>
          </w:divBdr>
        </w:div>
        <w:div w:id="1570799556">
          <w:marLeft w:val="0"/>
          <w:marRight w:val="0"/>
          <w:marTop w:val="0"/>
          <w:marBottom w:val="0"/>
          <w:divBdr>
            <w:top w:val="none" w:sz="0" w:space="0" w:color="auto"/>
            <w:left w:val="none" w:sz="0" w:space="0" w:color="auto"/>
            <w:bottom w:val="none" w:sz="0" w:space="0" w:color="auto"/>
            <w:right w:val="none" w:sz="0" w:space="0" w:color="auto"/>
          </w:divBdr>
        </w:div>
        <w:div w:id="962343426">
          <w:marLeft w:val="0"/>
          <w:marRight w:val="0"/>
          <w:marTop w:val="0"/>
          <w:marBottom w:val="0"/>
          <w:divBdr>
            <w:top w:val="none" w:sz="0" w:space="0" w:color="auto"/>
            <w:left w:val="none" w:sz="0" w:space="0" w:color="auto"/>
            <w:bottom w:val="none" w:sz="0" w:space="0" w:color="auto"/>
            <w:right w:val="none" w:sz="0" w:space="0" w:color="auto"/>
          </w:divBdr>
        </w:div>
        <w:div w:id="441731580">
          <w:marLeft w:val="0"/>
          <w:marRight w:val="0"/>
          <w:marTop w:val="0"/>
          <w:marBottom w:val="0"/>
          <w:divBdr>
            <w:top w:val="none" w:sz="0" w:space="0" w:color="auto"/>
            <w:left w:val="none" w:sz="0" w:space="0" w:color="auto"/>
            <w:bottom w:val="none" w:sz="0" w:space="0" w:color="auto"/>
            <w:right w:val="none" w:sz="0" w:space="0" w:color="auto"/>
          </w:divBdr>
        </w:div>
        <w:div w:id="1706783411">
          <w:marLeft w:val="0"/>
          <w:marRight w:val="0"/>
          <w:marTop w:val="0"/>
          <w:marBottom w:val="0"/>
          <w:divBdr>
            <w:top w:val="none" w:sz="0" w:space="0" w:color="auto"/>
            <w:left w:val="none" w:sz="0" w:space="0" w:color="auto"/>
            <w:bottom w:val="none" w:sz="0" w:space="0" w:color="auto"/>
            <w:right w:val="none" w:sz="0" w:space="0" w:color="auto"/>
          </w:divBdr>
        </w:div>
        <w:div w:id="2039156870">
          <w:marLeft w:val="0"/>
          <w:marRight w:val="0"/>
          <w:marTop w:val="0"/>
          <w:marBottom w:val="0"/>
          <w:divBdr>
            <w:top w:val="none" w:sz="0" w:space="0" w:color="auto"/>
            <w:left w:val="none" w:sz="0" w:space="0" w:color="auto"/>
            <w:bottom w:val="none" w:sz="0" w:space="0" w:color="auto"/>
            <w:right w:val="none" w:sz="0" w:space="0" w:color="auto"/>
          </w:divBdr>
        </w:div>
        <w:div w:id="2083331998">
          <w:marLeft w:val="0"/>
          <w:marRight w:val="0"/>
          <w:marTop w:val="0"/>
          <w:marBottom w:val="0"/>
          <w:divBdr>
            <w:top w:val="none" w:sz="0" w:space="0" w:color="auto"/>
            <w:left w:val="none" w:sz="0" w:space="0" w:color="auto"/>
            <w:bottom w:val="none" w:sz="0" w:space="0" w:color="auto"/>
            <w:right w:val="none" w:sz="0" w:space="0" w:color="auto"/>
          </w:divBdr>
        </w:div>
        <w:div w:id="288165852">
          <w:marLeft w:val="0"/>
          <w:marRight w:val="0"/>
          <w:marTop w:val="0"/>
          <w:marBottom w:val="0"/>
          <w:divBdr>
            <w:top w:val="none" w:sz="0" w:space="0" w:color="auto"/>
            <w:left w:val="none" w:sz="0" w:space="0" w:color="auto"/>
            <w:bottom w:val="none" w:sz="0" w:space="0" w:color="auto"/>
            <w:right w:val="none" w:sz="0" w:space="0" w:color="auto"/>
          </w:divBdr>
        </w:div>
        <w:div w:id="21782277">
          <w:marLeft w:val="0"/>
          <w:marRight w:val="0"/>
          <w:marTop w:val="0"/>
          <w:marBottom w:val="0"/>
          <w:divBdr>
            <w:top w:val="none" w:sz="0" w:space="0" w:color="auto"/>
            <w:left w:val="none" w:sz="0" w:space="0" w:color="auto"/>
            <w:bottom w:val="none" w:sz="0" w:space="0" w:color="auto"/>
            <w:right w:val="none" w:sz="0" w:space="0" w:color="auto"/>
          </w:divBdr>
        </w:div>
        <w:div w:id="1721589654">
          <w:marLeft w:val="0"/>
          <w:marRight w:val="0"/>
          <w:marTop w:val="0"/>
          <w:marBottom w:val="0"/>
          <w:divBdr>
            <w:top w:val="none" w:sz="0" w:space="0" w:color="auto"/>
            <w:left w:val="none" w:sz="0" w:space="0" w:color="auto"/>
            <w:bottom w:val="none" w:sz="0" w:space="0" w:color="auto"/>
            <w:right w:val="none" w:sz="0" w:space="0" w:color="auto"/>
          </w:divBdr>
        </w:div>
        <w:div w:id="744493470">
          <w:marLeft w:val="0"/>
          <w:marRight w:val="0"/>
          <w:marTop w:val="0"/>
          <w:marBottom w:val="0"/>
          <w:divBdr>
            <w:top w:val="none" w:sz="0" w:space="0" w:color="auto"/>
            <w:left w:val="none" w:sz="0" w:space="0" w:color="auto"/>
            <w:bottom w:val="none" w:sz="0" w:space="0" w:color="auto"/>
            <w:right w:val="none" w:sz="0" w:space="0" w:color="auto"/>
          </w:divBdr>
        </w:div>
        <w:div w:id="1515923094">
          <w:marLeft w:val="0"/>
          <w:marRight w:val="0"/>
          <w:marTop w:val="0"/>
          <w:marBottom w:val="0"/>
          <w:divBdr>
            <w:top w:val="none" w:sz="0" w:space="0" w:color="auto"/>
            <w:left w:val="none" w:sz="0" w:space="0" w:color="auto"/>
            <w:bottom w:val="none" w:sz="0" w:space="0" w:color="auto"/>
            <w:right w:val="none" w:sz="0" w:space="0" w:color="auto"/>
          </w:divBdr>
        </w:div>
        <w:div w:id="1696035009">
          <w:marLeft w:val="0"/>
          <w:marRight w:val="0"/>
          <w:marTop w:val="0"/>
          <w:marBottom w:val="0"/>
          <w:divBdr>
            <w:top w:val="none" w:sz="0" w:space="0" w:color="auto"/>
            <w:left w:val="none" w:sz="0" w:space="0" w:color="auto"/>
            <w:bottom w:val="none" w:sz="0" w:space="0" w:color="auto"/>
            <w:right w:val="none" w:sz="0" w:space="0" w:color="auto"/>
          </w:divBdr>
        </w:div>
        <w:div w:id="911693725">
          <w:marLeft w:val="0"/>
          <w:marRight w:val="0"/>
          <w:marTop w:val="0"/>
          <w:marBottom w:val="0"/>
          <w:divBdr>
            <w:top w:val="none" w:sz="0" w:space="0" w:color="auto"/>
            <w:left w:val="none" w:sz="0" w:space="0" w:color="auto"/>
            <w:bottom w:val="none" w:sz="0" w:space="0" w:color="auto"/>
            <w:right w:val="none" w:sz="0" w:space="0" w:color="auto"/>
          </w:divBdr>
        </w:div>
        <w:div w:id="851070811">
          <w:marLeft w:val="0"/>
          <w:marRight w:val="0"/>
          <w:marTop w:val="0"/>
          <w:marBottom w:val="0"/>
          <w:divBdr>
            <w:top w:val="none" w:sz="0" w:space="0" w:color="auto"/>
            <w:left w:val="none" w:sz="0" w:space="0" w:color="auto"/>
            <w:bottom w:val="none" w:sz="0" w:space="0" w:color="auto"/>
            <w:right w:val="none" w:sz="0" w:space="0" w:color="auto"/>
          </w:divBdr>
        </w:div>
        <w:div w:id="1675455631">
          <w:marLeft w:val="0"/>
          <w:marRight w:val="0"/>
          <w:marTop w:val="0"/>
          <w:marBottom w:val="0"/>
          <w:divBdr>
            <w:top w:val="none" w:sz="0" w:space="0" w:color="auto"/>
            <w:left w:val="none" w:sz="0" w:space="0" w:color="auto"/>
            <w:bottom w:val="none" w:sz="0" w:space="0" w:color="auto"/>
            <w:right w:val="none" w:sz="0" w:space="0" w:color="auto"/>
          </w:divBdr>
        </w:div>
        <w:div w:id="1240290048">
          <w:marLeft w:val="0"/>
          <w:marRight w:val="0"/>
          <w:marTop w:val="0"/>
          <w:marBottom w:val="0"/>
          <w:divBdr>
            <w:top w:val="none" w:sz="0" w:space="0" w:color="auto"/>
            <w:left w:val="none" w:sz="0" w:space="0" w:color="auto"/>
            <w:bottom w:val="none" w:sz="0" w:space="0" w:color="auto"/>
            <w:right w:val="none" w:sz="0" w:space="0" w:color="auto"/>
          </w:divBdr>
        </w:div>
        <w:div w:id="1204976563">
          <w:marLeft w:val="0"/>
          <w:marRight w:val="0"/>
          <w:marTop w:val="0"/>
          <w:marBottom w:val="0"/>
          <w:divBdr>
            <w:top w:val="none" w:sz="0" w:space="0" w:color="auto"/>
            <w:left w:val="none" w:sz="0" w:space="0" w:color="auto"/>
            <w:bottom w:val="none" w:sz="0" w:space="0" w:color="auto"/>
            <w:right w:val="none" w:sz="0" w:space="0" w:color="auto"/>
          </w:divBdr>
        </w:div>
        <w:div w:id="888030389">
          <w:marLeft w:val="0"/>
          <w:marRight w:val="0"/>
          <w:marTop w:val="0"/>
          <w:marBottom w:val="0"/>
          <w:divBdr>
            <w:top w:val="none" w:sz="0" w:space="0" w:color="auto"/>
            <w:left w:val="none" w:sz="0" w:space="0" w:color="auto"/>
            <w:bottom w:val="none" w:sz="0" w:space="0" w:color="auto"/>
            <w:right w:val="none" w:sz="0" w:space="0" w:color="auto"/>
          </w:divBdr>
        </w:div>
        <w:div w:id="1754006744">
          <w:marLeft w:val="0"/>
          <w:marRight w:val="0"/>
          <w:marTop w:val="0"/>
          <w:marBottom w:val="0"/>
          <w:divBdr>
            <w:top w:val="none" w:sz="0" w:space="0" w:color="auto"/>
            <w:left w:val="none" w:sz="0" w:space="0" w:color="auto"/>
            <w:bottom w:val="none" w:sz="0" w:space="0" w:color="auto"/>
            <w:right w:val="none" w:sz="0" w:space="0" w:color="auto"/>
          </w:divBdr>
        </w:div>
        <w:div w:id="1857117430">
          <w:marLeft w:val="0"/>
          <w:marRight w:val="0"/>
          <w:marTop w:val="0"/>
          <w:marBottom w:val="0"/>
          <w:divBdr>
            <w:top w:val="none" w:sz="0" w:space="0" w:color="auto"/>
            <w:left w:val="none" w:sz="0" w:space="0" w:color="auto"/>
            <w:bottom w:val="none" w:sz="0" w:space="0" w:color="auto"/>
            <w:right w:val="none" w:sz="0" w:space="0" w:color="auto"/>
          </w:divBdr>
        </w:div>
        <w:div w:id="2043435117">
          <w:marLeft w:val="0"/>
          <w:marRight w:val="0"/>
          <w:marTop w:val="0"/>
          <w:marBottom w:val="0"/>
          <w:divBdr>
            <w:top w:val="none" w:sz="0" w:space="0" w:color="auto"/>
            <w:left w:val="none" w:sz="0" w:space="0" w:color="auto"/>
            <w:bottom w:val="none" w:sz="0" w:space="0" w:color="auto"/>
            <w:right w:val="none" w:sz="0" w:space="0" w:color="auto"/>
          </w:divBdr>
        </w:div>
        <w:div w:id="1948080289">
          <w:marLeft w:val="0"/>
          <w:marRight w:val="0"/>
          <w:marTop w:val="0"/>
          <w:marBottom w:val="0"/>
          <w:divBdr>
            <w:top w:val="none" w:sz="0" w:space="0" w:color="auto"/>
            <w:left w:val="none" w:sz="0" w:space="0" w:color="auto"/>
            <w:bottom w:val="none" w:sz="0" w:space="0" w:color="auto"/>
            <w:right w:val="none" w:sz="0" w:space="0" w:color="auto"/>
          </w:divBdr>
        </w:div>
        <w:div w:id="794060369">
          <w:marLeft w:val="0"/>
          <w:marRight w:val="0"/>
          <w:marTop w:val="0"/>
          <w:marBottom w:val="0"/>
          <w:divBdr>
            <w:top w:val="none" w:sz="0" w:space="0" w:color="auto"/>
            <w:left w:val="none" w:sz="0" w:space="0" w:color="auto"/>
            <w:bottom w:val="none" w:sz="0" w:space="0" w:color="auto"/>
            <w:right w:val="none" w:sz="0" w:space="0" w:color="auto"/>
          </w:divBdr>
        </w:div>
        <w:div w:id="1422944228">
          <w:marLeft w:val="0"/>
          <w:marRight w:val="0"/>
          <w:marTop w:val="0"/>
          <w:marBottom w:val="0"/>
          <w:divBdr>
            <w:top w:val="none" w:sz="0" w:space="0" w:color="auto"/>
            <w:left w:val="none" w:sz="0" w:space="0" w:color="auto"/>
            <w:bottom w:val="none" w:sz="0" w:space="0" w:color="auto"/>
            <w:right w:val="none" w:sz="0" w:space="0" w:color="auto"/>
          </w:divBdr>
        </w:div>
        <w:div w:id="994838505">
          <w:marLeft w:val="0"/>
          <w:marRight w:val="0"/>
          <w:marTop w:val="0"/>
          <w:marBottom w:val="0"/>
          <w:divBdr>
            <w:top w:val="none" w:sz="0" w:space="0" w:color="auto"/>
            <w:left w:val="none" w:sz="0" w:space="0" w:color="auto"/>
            <w:bottom w:val="none" w:sz="0" w:space="0" w:color="auto"/>
            <w:right w:val="none" w:sz="0" w:space="0" w:color="auto"/>
          </w:divBdr>
        </w:div>
        <w:div w:id="1914267558">
          <w:marLeft w:val="0"/>
          <w:marRight w:val="0"/>
          <w:marTop w:val="0"/>
          <w:marBottom w:val="0"/>
          <w:divBdr>
            <w:top w:val="none" w:sz="0" w:space="0" w:color="auto"/>
            <w:left w:val="none" w:sz="0" w:space="0" w:color="auto"/>
            <w:bottom w:val="none" w:sz="0" w:space="0" w:color="auto"/>
            <w:right w:val="none" w:sz="0" w:space="0" w:color="auto"/>
          </w:divBdr>
        </w:div>
        <w:div w:id="2030136343">
          <w:marLeft w:val="0"/>
          <w:marRight w:val="0"/>
          <w:marTop w:val="0"/>
          <w:marBottom w:val="0"/>
          <w:divBdr>
            <w:top w:val="none" w:sz="0" w:space="0" w:color="auto"/>
            <w:left w:val="none" w:sz="0" w:space="0" w:color="auto"/>
            <w:bottom w:val="none" w:sz="0" w:space="0" w:color="auto"/>
            <w:right w:val="none" w:sz="0" w:space="0" w:color="auto"/>
          </w:divBdr>
        </w:div>
        <w:div w:id="1743913492">
          <w:marLeft w:val="0"/>
          <w:marRight w:val="0"/>
          <w:marTop w:val="0"/>
          <w:marBottom w:val="0"/>
          <w:divBdr>
            <w:top w:val="none" w:sz="0" w:space="0" w:color="auto"/>
            <w:left w:val="none" w:sz="0" w:space="0" w:color="auto"/>
            <w:bottom w:val="none" w:sz="0" w:space="0" w:color="auto"/>
            <w:right w:val="none" w:sz="0" w:space="0" w:color="auto"/>
          </w:divBdr>
        </w:div>
        <w:div w:id="936593103">
          <w:marLeft w:val="0"/>
          <w:marRight w:val="0"/>
          <w:marTop w:val="0"/>
          <w:marBottom w:val="0"/>
          <w:divBdr>
            <w:top w:val="none" w:sz="0" w:space="0" w:color="auto"/>
            <w:left w:val="none" w:sz="0" w:space="0" w:color="auto"/>
            <w:bottom w:val="none" w:sz="0" w:space="0" w:color="auto"/>
            <w:right w:val="none" w:sz="0" w:space="0" w:color="auto"/>
          </w:divBdr>
        </w:div>
        <w:div w:id="453445002">
          <w:marLeft w:val="0"/>
          <w:marRight w:val="0"/>
          <w:marTop w:val="0"/>
          <w:marBottom w:val="0"/>
          <w:divBdr>
            <w:top w:val="none" w:sz="0" w:space="0" w:color="auto"/>
            <w:left w:val="none" w:sz="0" w:space="0" w:color="auto"/>
            <w:bottom w:val="none" w:sz="0" w:space="0" w:color="auto"/>
            <w:right w:val="none" w:sz="0" w:space="0" w:color="auto"/>
          </w:divBdr>
        </w:div>
        <w:div w:id="252516108">
          <w:marLeft w:val="0"/>
          <w:marRight w:val="0"/>
          <w:marTop w:val="0"/>
          <w:marBottom w:val="0"/>
          <w:divBdr>
            <w:top w:val="none" w:sz="0" w:space="0" w:color="auto"/>
            <w:left w:val="none" w:sz="0" w:space="0" w:color="auto"/>
            <w:bottom w:val="none" w:sz="0" w:space="0" w:color="auto"/>
            <w:right w:val="none" w:sz="0" w:space="0" w:color="auto"/>
          </w:divBdr>
        </w:div>
        <w:div w:id="1080327155">
          <w:marLeft w:val="0"/>
          <w:marRight w:val="0"/>
          <w:marTop w:val="0"/>
          <w:marBottom w:val="0"/>
          <w:divBdr>
            <w:top w:val="none" w:sz="0" w:space="0" w:color="auto"/>
            <w:left w:val="none" w:sz="0" w:space="0" w:color="auto"/>
            <w:bottom w:val="none" w:sz="0" w:space="0" w:color="auto"/>
            <w:right w:val="none" w:sz="0" w:space="0" w:color="auto"/>
          </w:divBdr>
        </w:div>
        <w:div w:id="1075514089">
          <w:marLeft w:val="0"/>
          <w:marRight w:val="0"/>
          <w:marTop w:val="0"/>
          <w:marBottom w:val="0"/>
          <w:divBdr>
            <w:top w:val="none" w:sz="0" w:space="0" w:color="auto"/>
            <w:left w:val="none" w:sz="0" w:space="0" w:color="auto"/>
            <w:bottom w:val="none" w:sz="0" w:space="0" w:color="auto"/>
            <w:right w:val="none" w:sz="0" w:space="0" w:color="auto"/>
          </w:divBdr>
        </w:div>
        <w:div w:id="579293702">
          <w:marLeft w:val="0"/>
          <w:marRight w:val="0"/>
          <w:marTop w:val="0"/>
          <w:marBottom w:val="0"/>
          <w:divBdr>
            <w:top w:val="none" w:sz="0" w:space="0" w:color="auto"/>
            <w:left w:val="none" w:sz="0" w:space="0" w:color="auto"/>
            <w:bottom w:val="none" w:sz="0" w:space="0" w:color="auto"/>
            <w:right w:val="none" w:sz="0" w:space="0" w:color="auto"/>
          </w:divBdr>
        </w:div>
        <w:div w:id="1553729479">
          <w:marLeft w:val="0"/>
          <w:marRight w:val="0"/>
          <w:marTop w:val="0"/>
          <w:marBottom w:val="0"/>
          <w:divBdr>
            <w:top w:val="none" w:sz="0" w:space="0" w:color="auto"/>
            <w:left w:val="none" w:sz="0" w:space="0" w:color="auto"/>
            <w:bottom w:val="none" w:sz="0" w:space="0" w:color="auto"/>
            <w:right w:val="none" w:sz="0" w:space="0" w:color="auto"/>
          </w:divBdr>
        </w:div>
        <w:div w:id="1917663712">
          <w:marLeft w:val="0"/>
          <w:marRight w:val="0"/>
          <w:marTop w:val="0"/>
          <w:marBottom w:val="0"/>
          <w:divBdr>
            <w:top w:val="none" w:sz="0" w:space="0" w:color="auto"/>
            <w:left w:val="none" w:sz="0" w:space="0" w:color="auto"/>
            <w:bottom w:val="none" w:sz="0" w:space="0" w:color="auto"/>
            <w:right w:val="none" w:sz="0" w:space="0" w:color="auto"/>
          </w:divBdr>
        </w:div>
        <w:div w:id="1746880344">
          <w:marLeft w:val="0"/>
          <w:marRight w:val="0"/>
          <w:marTop w:val="0"/>
          <w:marBottom w:val="0"/>
          <w:divBdr>
            <w:top w:val="none" w:sz="0" w:space="0" w:color="auto"/>
            <w:left w:val="none" w:sz="0" w:space="0" w:color="auto"/>
            <w:bottom w:val="none" w:sz="0" w:space="0" w:color="auto"/>
            <w:right w:val="none" w:sz="0" w:space="0" w:color="auto"/>
          </w:divBdr>
        </w:div>
        <w:div w:id="640383823">
          <w:marLeft w:val="0"/>
          <w:marRight w:val="0"/>
          <w:marTop w:val="0"/>
          <w:marBottom w:val="0"/>
          <w:divBdr>
            <w:top w:val="none" w:sz="0" w:space="0" w:color="auto"/>
            <w:left w:val="none" w:sz="0" w:space="0" w:color="auto"/>
            <w:bottom w:val="none" w:sz="0" w:space="0" w:color="auto"/>
            <w:right w:val="none" w:sz="0" w:space="0" w:color="auto"/>
          </w:divBdr>
        </w:div>
        <w:div w:id="954754496">
          <w:marLeft w:val="0"/>
          <w:marRight w:val="0"/>
          <w:marTop w:val="0"/>
          <w:marBottom w:val="0"/>
          <w:divBdr>
            <w:top w:val="none" w:sz="0" w:space="0" w:color="auto"/>
            <w:left w:val="none" w:sz="0" w:space="0" w:color="auto"/>
            <w:bottom w:val="none" w:sz="0" w:space="0" w:color="auto"/>
            <w:right w:val="none" w:sz="0" w:space="0" w:color="auto"/>
          </w:divBdr>
        </w:div>
        <w:div w:id="600916650">
          <w:marLeft w:val="0"/>
          <w:marRight w:val="0"/>
          <w:marTop w:val="0"/>
          <w:marBottom w:val="0"/>
          <w:divBdr>
            <w:top w:val="none" w:sz="0" w:space="0" w:color="auto"/>
            <w:left w:val="none" w:sz="0" w:space="0" w:color="auto"/>
            <w:bottom w:val="none" w:sz="0" w:space="0" w:color="auto"/>
            <w:right w:val="none" w:sz="0" w:space="0" w:color="auto"/>
          </w:divBdr>
        </w:div>
        <w:div w:id="2117096286">
          <w:marLeft w:val="0"/>
          <w:marRight w:val="0"/>
          <w:marTop w:val="0"/>
          <w:marBottom w:val="0"/>
          <w:divBdr>
            <w:top w:val="none" w:sz="0" w:space="0" w:color="auto"/>
            <w:left w:val="none" w:sz="0" w:space="0" w:color="auto"/>
            <w:bottom w:val="none" w:sz="0" w:space="0" w:color="auto"/>
            <w:right w:val="none" w:sz="0" w:space="0" w:color="auto"/>
          </w:divBdr>
        </w:div>
        <w:div w:id="1594892432">
          <w:marLeft w:val="0"/>
          <w:marRight w:val="0"/>
          <w:marTop w:val="0"/>
          <w:marBottom w:val="0"/>
          <w:divBdr>
            <w:top w:val="none" w:sz="0" w:space="0" w:color="auto"/>
            <w:left w:val="none" w:sz="0" w:space="0" w:color="auto"/>
            <w:bottom w:val="none" w:sz="0" w:space="0" w:color="auto"/>
            <w:right w:val="none" w:sz="0" w:space="0" w:color="auto"/>
          </w:divBdr>
        </w:div>
        <w:div w:id="1169248378">
          <w:marLeft w:val="0"/>
          <w:marRight w:val="0"/>
          <w:marTop w:val="0"/>
          <w:marBottom w:val="0"/>
          <w:divBdr>
            <w:top w:val="none" w:sz="0" w:space="0" w:color="auto"/>
            <w:left w:val="none" w:sz="0" w:space="0" w:color="auto"/>
            <w:bottom w:val="none" w:sz="0" w:space="0" w:color="auto"/>
            <w:right w:val="none" w:sz="0" w:space="0" w:color="auto"/>
          </w:divBdr>
        </w:div>
        <w:div w:id="156187532">
          <w:marLeft w:val="0"/>
          <w:marRight w:val="0"/>
          <w:marTop w:val="0"/>
          <w:marBottom w:val="0"/>
          <w:divBdr>
            <w:top w:val="none" w:sz="0" w:space="0" w:color="auto"/>
            <w:left w:val="none" w:sz="0" w:space="0" w:color="auto"/>
            <w:bottom w:val="none" w:sz="0" w:space="0" w:color="auto"/>
            <w:right w:val="none" w:sz="0" w:space="0" w:color="auto"/>
          </w:divBdr>
        </w:div>
        <w:div w:id="2041472325">
          <w:marLeft w:val="0"/>
          <w:marRight w:val="0"/>
          <w:marTop w:val="0"/>
          <w:marBottom w:val="0"/>
          <w:divBdr>
            <w:top w:val="none" w:sz="0" w:space="0" w:color="auto"/>
            <w:left w:val="none" w:sz="0" w:space="0" w:color="auto"/>
            <w:bottom w:val="none" w:sz="0" w:space="0" w:color="auto"/>
            <w:right w:val="none" w:sz="0" w:space="0" w:color="auto"/>
          </w:divBdr>
        </w:div>
        <w:div w:id="672605330">
          <w:marLeft w:val="0"/>
          <w:marRight w:val="0"/>
          <w:marTop w:val="0"/>
          <w:marBottom w:val="0"/>
          <w:divBdr>
            <w:top w:val="none" w:sz="0" w:space="0" w:color="auto"/>
            <w:left w:val="none" w:sz="0" w:space="0" w:color="auto"/>
            <w:bottom w:val="none" w:sz="0" w:space="0" w:color="auto"/>
            <w:right w:val="none" w:sz="0" w:space="0" w:color="auto"/>
          </w:divBdr>
        </w:div>
        <w:div w:id="101727553">
          <w:marLeft w:val="0"/>
          <w:marRight w:val="0"/>
          <w:marTop w:val="0"/>
          <w:marBottom w:val="0"/>
          <w:divBdr>
            <w:top w:val="none" w:sz="0" w:space="0" w:color="auto"/>
            <w:left w:val="none" w:sz="0" w:space="0" w:color="auto"/>
            <w:bottom w:val="none" w:sz="0" w:space="0" w:color="auto"/>
            <w:right w:val="none" w:sz="0" w:space="0" w:color="auto"/>
          </w:divBdr>
        </w:div>
        <w:div w:id="250166105">
          <w:marLeft w:val="0"/>
          <w:marRight w:val="0"/>
          <w:marTop w:val="0"/>
          <w:marBottom w:val="0"/>
          <w:divBdr>
            <w:top w:val="none" w:sz="0" w:space="0" w:color="auto"/>
            <w:left w:val="none" w:sz="0" w:space="0" w:color="auto"/>
            <w:bottom w:val="none" w:sz="0" w:space="0" w:color="auto"/>
            <w:right w:val="none" w:sz="0" w:space="0" w:color="auto"/>
          </w:divBdr>
        </w:div>
        <w:div w:id="1513182671">
          <w:marLeft w:val="0"/>
          <w:marRight w:val="0"/>
          <w:marTop w:val="0"/>
          <w:marBottom w:val="0"/>
          <w:divBdr>
            <w:top w:val="none" w:sz="0" w:space="0" w:color="auto"/>
            <w:left w:val="none" w:sz="0" w:space="0" w:color="auto"/>
            <w:bottom w:val="none" w:sz="0" w:space="0" w:color="auto"/>
            <w:right w:val="none" w:sz="0" w:space="0" w:color="auto"/>
          </w:divBdr>
        </w:div>
        <w:div w:id="254443066">
          <w:marLeft w:val="0"/>
          <w:marRight w:val="0"/>
          <w:marTop w:val="0"/>
          <w:marBottom w:val="0"/>
          <w:divBdr>
            <w:top w:val="none" w:sz="0" w:space="0" w:color="auto"/>
            <w:left w:val="none" w:sz="0" w:space="0" w:color="auto"/>
            <w:bottom w:val="none" w:sz="0" w:space="0" w:color="auto"/>
            <w:right w:val="none" w:sz="0" w:space="0" w:color="auto"/>
          </w:divBdr>
        </w:div>
        <w:div w:id="919563389">
          <w:marLeft w:val="0"/>
          <w:marRight w:val="0"/>
          <w:marTop w:val="0"/>
          <w:marBottom w:val="0"/>
          <w:divBdr>
            <w:top w:val="none" w:sz="0" w:space="0" w:color="auto"/>
            <w:left w:val="none" w:sz="0" w:space="0" w:color="auto"/>
            <w:bottom w:val="none" w:sz="0" w:space="0" w:color="auto"/>
            <w:right w:val="none" w:sz="0" w:space="0" w:color="auto"/>
          </w:divBdr>
        </w:div>
        <w:div w:id="782577895">
          <w:marLeft w:val="0"/>
          <w:marRight w:val="0"/>
          <w:marTop w:val="0"/>
          <w:marBottom w:val="0"/>
          <w:divBdr>
            <w:top w:val="none" w:sz="0" w:space="0" w:color="auto"/>
            <w:left w:val="none" w:sz="0" w:space="0" w:color="auto"/>
            <w:bottom w:val="none" w:sz="0" w:space="0" w:color="auto"/>
            <w:right w:val="none" w:sz="0" w:space="0" w:color="auto"/>
          </w:divBdr>
        </w:div>
        <w:div w:id="511064952">
          <w:marLeft w:val="0"/>
          <w:marRight w:val="0"/>
          <w:marTop w:val="0"/>
          <w:marBottom w:val="0"/>
          <w:divBdr>
            <w:top w:val="none" w:sz="0" w:space="0" w:color="auto"/>
            <w:left w:val="none" w:sz="0" w:space="0" w:color="auto"/>
            <w:bottom w:val="none" w:sz="0" w:space="0" w:color="auto"/>
            <w:right w:val="none" w:sz="0" w:space="0" w:color="auto"/>
          </w:divBdr>
        </w:div>
        <w:div w:id="2014064048">
          <w:marLeft w:val="0"/>
          <w:marRight w:val="0"/>
          <w:marTop w:val="0"/>
          <w:marBottom w:val="0"/>
          <w:divBdr>
            <w:top w:val="none" w:sz="0" w:space="0" w:color="auto"/>
            <w:left w:val="none" w:sz="0" w:space="0" w:color="auto"/>
            <w:bottom w:val="none" w:sz="0" w:space="0" w:color="auto"/>
            <w:right w:val="none" w:sz="0" w:space="0" w:color="auto"/>
          </w:divBdr>
        </w:div>
        <w:div w:id="1470513115">
          <w:marLeft w:val="0"/>
          <w:marRight w:val="0"/>
          <w:marTop w:val="0"/>
          <w:marBottom w:val="0"/>
          <w:divBdr>
            <w:top w:val="none" w:sz="0" w:space="0" w:color="auto"/>
            <w:left w:val="none" w:sz="0" w:space="0" w:color="auto"/>
            <w:bottom w:val="none" w:sz="0" w:space="0" w:color="auto"/>
            <w:right w:val="none" w:sz="0" w:space="0" w:color="auto"/>
          </w:divBdr>
        </w:div>
        <w:div w:id="1649672727">
          <w:marLeft w:val="0"/>
          <w:marRight w:val="0"/>
          <w:marTop w:val="0"/>
          <w:marBottom w:val="0"/>
          <w:divBdr>
            <w:top w:val="none" w:sz="0" w:space="0" w:color="auto"/>
            <w:left w:val="none" w:sz="0" w:space="0" w:color="auto"/>
            <w:bottom w:val="none" w:sz="0" w:space="0" w:color="auto"/>
            <w:right w:val="none" w:sz="0" w:space="0" w:color="auto"/>
          </w:divBdr>
        </w:div>
        <w:div w:id="1159535989">
          <w:marLeft w:val="0"/>
          <w:marRight w:val="0"/>
          <w:marTop w:val="0"/>
          <w:marBottom w:val="0"/>
          <w:divBdr>
            <w:top w:val="none" w:sz="0" w:space="0" w:color="auto"/>
            <w:left w:val="none" w:sz="0" w:space="0" w:color="auto"/>
            <w:bottom w:val="none" w:sz="0" w:space="0" w:color="auto"/>
            <w:right w:val="none" w:sz="0" w:space="0" w:color="auto"/>
          </w:divBdr>
        </w:div>
        <w:div w:id="846022352">
          <w:marLeft w:val="0"/>
          <w:marRight w:val="0"/>
          <w:marTop w:val="0"/>
          <w:marBottom w:val="0"/>
          <w:divBdr>
            <w:top w:val="none" w:sz="0" w:space="0" w:color="auto"/>
            <w:left w:val="none" w:sz="0" w:space="0" w:color="auto"/>
            <w:bottom w:val="none" w:sz="0" w:space="0" w:color="auto"/>
            <w:right w:val="none" w:sz="0" w:space="0" w:color="auto"/>
          </w:divBdr>
        </w:div>
        <w:div w:id="1094978774">
          <w:marLeft w:val="0"/>
          <w:marRight w:val="0"/>
          <w:marTop w:val="0"/>
          <w:marBottom w:val="0"/>
          <w:divBdr>
            <w:top w:val="none" w:sz="0" w:space="0" w:color="auto"/>
            <w:left w:val="none" w:sz="0" w:space="0" w:color="auto"/>
            <w:bottom w:val="none" w:sz="0" w:space="0" w:color="auto"/>
            <w:right w:val="none" w:sz="0" w:space="0" w:color="auto"/>
          </w:divBdr>
        </w:div>
        <w:div w:id="1725904242">
          <w:marLeft w:val="0"/>
          <w:marRight w:val="0"/>
          <w:marTop w:val="0"/>
          <w:marBottom w:val="0"/>
          <w:divBdr>
            <w:top w:val="none" w:sz="0" w:space="0" w:color="auto"/>
            <w:left w:val="none" w:sz="0" w:space="0" w:color="auto"/>
            <w:bottom w:val="none" w:sz="0" w:space="0" w:color="auto"/>
            <w:right w:val="none" w:sz="0" w:space="0" w:color="auto"/>
          </w:divBdr>
        </w:div>
        <w:div w:id="1922374308">
          <w:marLeft w:val="0"/>
          <w:marRight w:val="0"/>
          <w:marTop w:val="0"/>
          <w:marBottom w:val="0"/>
          <w:divBdr>
            <w:top w:val="none" w:sz="0" w:space="0" w:color="auto"/>
            <w:left w:val="none" w:sz="0" w:space="0" w:color="auto"/>
            <w:bottom w:val="none" w:sz="0" w:space="0" w:color="auto"/>
            <w:right w:val="none" w:sz="0" w:space="0" w:color="auto"/>
          </w:divBdr>
        </w:div>
        <w:div w:id="649166130">
          <w:marLeft w:val="0"/>
          <w:marRight w:val="0"/>
          <w:marTop w:val="0"/>
          <w:marBottom w:val="0"/>
          <w:divBdr>
            <w:top w:val="none" w:sz="0" w:space="0" w:color="auto"/>
            <w:left w:val="none" w:sz="0" w:space="0" w:color="auto"/>
            <w:bottom w:val="none" w:sz="0" w:space="0" w:color="auto"/>
            <w:right w:val="none" w:sz="0" w:space="0" w:color="auto"/>
          </w:divBdr>
        </w:div>
        <w:div w:id="34156788">
          <w:marLeft w:val="0"/>
          <w:marRight w:val="0"/>
          <w:marTop w:val="0"/>
          <w:marBottom w:val="0"/>
          <w:divBdr>
            <w:top w:val="none" w:sz="0" w:space="0" w:color="auto"/>
            <w:left w:val="none" w:sz="0" w:space="0" w:color="auto"/>
            <w:bottom w:val="none" w:sz="0" w:space="0" w:color="auto"/>
            <w:right w:val="none" w:sz="0" w:space="0" w:color="auto"/>
          </w:divBdr>
        </w:div>
        <w:div w:id="72358222">
          <w:marLeft w:val="0"/>
          <w:marRight w:val="0"/>
          <w:marTop w:val="0"/>
          <w:marBottom w:val="0"/>
          <w:divBdr>
            <w:top w:val="none" w:sz="0" w:space="0" w:color="auto"/>
            <w:left w:val="none" w:sz="0" w:space="0" w:color="auto"/>
            <w:bottom w:val="none" w:sz="0" w:space="0" w:color="auto"/>
            <w:right w:val="none" w:sz="0" w:space="0" w:color="auto"/>
          </w:divBdr>
        </w:div>
        <w:div w:id="1498770184">
          <w:marLeft w:val="0"/>
          <w:marRight w:val="0"/>
          <w:marTop w:val="0"/>
          <w:marBottom w:val="0"/>
          <w:divBdr>
            <w:top w:val="none" w:sz="0" w:space="0" w:color="auto"/>
            <w:left w:val="none" w:sz="0" w:space="0" w:color="auto"/>
            <w:bottom w:val="none" w:sz="0" w:space="0" w:color="auto"/>
            <w:right w:val="none" w:sz="0" w:space="0" w:color="auto"/>
          </w:divBdr>
        </w:div>
        <w:div w:id="1054353450">
          <w:marLeft w:val="0"/>
          <w:marRight w:val="0"/>
          <w:marTop w:val="0"/>
          <w:marBottom w:val="0"/>
          <w:divBdr>
            <w:top w:val="none" w:sz="0" w:space="0" w:color="auto"/>
            <w:left w:val="none" w:sz="0" w:space="0" w:color="auto"/>
            <w:bottom w:val="none" w:sz="0" w:space="0" w:color="auto"/>
            <w:right w:val="none" w:sz="0" w:space="0" w:color="auto"/>
          </w:divBdr>
        </w:div>
        <w:div w:id="1658874059">
          <w:marLeft w:val="0"/>
          <w:marRight w:val="0"/>
          <w:marTop w:val="0"/>
          <w:marBottom w:val="0"/>
          <w:divBdr>
            <w:top w:val="none" w:sz="0" w:space="0" w:color="auto"/>
            <w:left w:val="none" w:sz="0" w:space="0" w:color="auto"/>
            <w:bottom w:val="none" w:sz="0" w:space="0" w:color="auto"/>
            <w:right w:val="none" w:sz="0" w:space="0" w:color="auto"/>
          </w:divBdr>
        </w:div>
        <w:div w:id="1598633829">
          <w:marLeft w:val="0"/>
          <w:marRight w:val="0"/>
          <w:marTop w:val="0"/>
          <w:marBottom w:val="0"/>
          <w:divBdr>
            <w:top w:val="none" w:sz="0" w:space="0" w:color="auto"/>
            <w:left w:val="none" w:sz="0" w:space="0" w:color="auto"/>
            <w:bottom w:val="none" w:sz="0" w:space="0" w:color="auto"/>
            <w:right w:val="none" w:sz="0" w:space="0" w:color="auto"/>
          </w:divBdr>
        </w:div>
        <w:div w:id="614093320">
          <w:marLeft w:val="0"/>
          <w:marRight w:val="0"/>
          <w:marTop w:val="0"/>
          <w:marBottom w:val="0"/>
          <w:divBdr>
            <w:top w:val="none" w:sz="0" w:space="0" w:color="auto"/>
            <w:left w:val="none" w:sz="0" w:space="0" w:color="auto"/>
            <w:bottom w:val="none" w:sz="0" w:space="0" w:color="auto"/>
            <w:right w:val="none" w:sz="0" w:space="0" w:color="auto"/>
          </w:divBdr>
        </w:div>
        <w:div w:id="429745264">
          <w:marLeft w:val="0"/>
          <w:marRight w:val="0"/>
          <w:marTop w:val="0"/>
          <w:marBottom w:val="0"/>
          <w:divBdr>
            <w:top w:val="none" w:sz="0" w:space="0" w:color="auto"/>
            <w:left w:val="none" w:sz="0" w:space="0" w:color="auto"/>
            <w:bottom w:val="none" w:sz="0" w:space="0" w:color="auto"/>
            <w:right w:val="none" w:sz="0" w:space="0" w:color="auto"/>
          </w:divBdr>
        </w:div>
        <w:div w:id="1176726182">
          <w:marLeft w:val="0"/>
          <w:marRight w:val="0"/>
          <w:marTop w:val="0"/>
          <w:marBottom w:val="0"/>
          <w:divBdr>
            <w:top w:val="none" w:sz="0" w:space="0" w:color="auto"/>
            <w:left w:val="none" w:sz="0" w:space="0" w:color="auto"/>
            <w:bottom w:val="none" w:sz="0" w:space="0" w:color="auto"/>
            <w:right w:val="none" w:sz="0" w:space="0" w:color="auto"/>
          </w:divBdr>
        </w:div>
        <w:div w:id="212885994">
          <w:marLeft w:val="0"/>
          <w:marRight w:val="0"/>
          <w:marTop w:val="0"/>
          <w:marBottom w:val="0"/>
          <w:divBdr>
            <w:top w:val="none" w:sz="0" w:space="0" w:color="auto"/>
            <w:left w:val="none" w:sz="0" w:space="0" w:color="auto"/>
            <w:bottom w:val="none" w:sz="0" w:space="0" w:color="auto"/>
            <w:right w:val="none" w:sz="0" w:space="0" w:color="auto"/>
          </w:divBdr>
        </w:div>
        <w:div w:id="74985933">
          <w:marLeft w:val="0"/>
          <w:marRight w:val="0"/>
          <w:marTop w:val="0"/>
          <w:marBottom w:val="0"/>
          <w:divBdr>
            <w:top w:val="none" w:sz="0" w:space="0" w:color="auto"/>
            <w:left w:val="none" w:sz="0" w:space="0" w:color="auto"/>
            <w:bottom w:val="none" w:sz="0" w:space="0" w:color="auto"/>
            <w:right w:val="none" w:sz="0" w:space="0" w:color="auto"/>
          </w:divBdr>
        </w:div>
        <w:div w:id="170529174">
          <w:marLeft w:val="0"/>
          <w:marRight w:val="0"/>
          <w:marTop w:val="0"/>
          <w:marBottom w:val="0"/>
          <w:divBdr>
            <w:top w:val="none" w:sz="0" w:space="0" w:color="auto"/>
            <w:left w:val="none" w:sz="0" w:space="0" w:color="auto"/>
            <w:bottom w:val="none" w:sz="0" w:space="0" w:color="auto"/>
            <w:right w:val="none" w:sz="0" w:space="0" w:color="auto"/>
          </w:divBdr>
        </w:div>
        <w:div w:id="741608768">
          <w:marLeft w:val="0"/>
          <w:marRight w:val="0"/>
          <w:marTop w:val="0"/>
          <w:marBottom w:val="0"/>
          <w:divBdr>
            <w:top w:val="none" w:sz="0" w:space="0" w:color="auto"/>
            <w:left w:val="none" w:sz="0" w:space="0" w:color="auto"/>
            <w:bottom w:val="none" w:sz="0" w:space="0" w:color="auto"/>
            <w:right w:val="none" w:sz="0" w:space="0" w:color="auto"/>
          </w:divBdr>
        </w:div>
        <w:div w:id="1804419407">
          <w:marLeft w:val="0"/>
          <w:marRight w:val="0"/>
          <w:marTop w:val="0"/>
          <w:marBottom w:val="0"/>
          <w:divBdr>
            <w:top w:val="none" w:sz="0" w:space="0" w:color="auto"/>
            <w:left w:val="none" w:sz="0" w:space="0" w:color="auto"/>
            <w:bottom w:val="none" w:sz="0" w:space="0" w:color="auto"/>
            <w:right w:val="none" w:sz="0" w:space="0" w:color="auto"/>
          </w:divBdr>
        </w:div>
        <w:div w:id="2113625767">
          <w:marLeft w:val="0"/>
          <w:marRight w:val="0"/>
          <w:marTop w:val="0"/>
          <w:marBottom w:val="0"/>
          <w:divBdr>
            <w:top w:val="none" w:sz="0" w:space="0" w:color="auto"/>
            <w:left w:val="none" w:sz="0" w:space="0" w:color="auto"/>
            <w:bottom w:val="none" w:sz="0" w:space="0" w:color="auto"/>
            <w:right w:val="none" w:sz="0" w:space="0" w:color="auto"/>
          </w:divBdr>
        </w:div>
        <w:div w:id="1394691322">
          <w:marLeft w:val="0"/>
          <w:marRight w:val="0"/>
          <w:marTop w:val="0"/>
          <w:marBottom w:val="0"/>
          <w:divBdr>
            <w:top w:val="none" w:sz="0" w:space="0" w:color="auto"/>
            <w:left w:val="none" w:sz="0" w:space="0" w:color="auto"/>
            <w:bottom w:val="none" w:sz="0" w:space="0" w:color="auto"/>
            <w:right w:val="none" w:sz="0" w:space="0" w:color="auto"/>
          </w:divBdr>
        </w:div>
        <w:div w:id="1000280621">
          <w:marLeft w:val="0"/>
          <w:marRight w:val="0"/>
          <w:marTop w:val="0"/>
          <w:marBottom w:val="0"/>
          <w:divBdr>
            <w:top w:val="none" w:sz="0" w:space="0" w:color="auto"/>
            <w:left w:val="none" w:sz="0" w:space="0" w:color="auto"/>
            <w:bottom w:val="none" w:sz="0" w:space="0" w:color="auto"/>
            <w:right w:val="none" w:sz="0" w:space="0" w:color="auto"/>
          </w:divBdr>
        </w:div>
        <w:div w:id="1669793587">
          <w:marLeft w:val="0"/>
          <w:marRight w:val="0"/>
          <w:marTop w:val="0"/>
          <w:marBottom w:val="0"/>
          <w:divBdr>
            <w:top w:val="none" w:sz="0" w:space="0" w:color="auto"/>
            <w:left w:val="none" w:sz="0" w:space="0" w:color="auto"/>
            <w:bottom w:val="none" w:sz="0" w:space="0" w:color="auto"/>
            <w:right w:val="none" w:sz="0" w:space="0" w:color="auto"/>
          </w:divBdr>
        </w:div>
        <w:div w:id="1277444607">
          <w:marLeft w:val="0"/>
          <w:marRight w:val="0"/>
          <w:marTop w:val="0"/>
          <w:marBottom w:val="0"/>
          <w:divBdr>
            <w:top w:val="none" w:sz="0" w:space="0" w:color="auto"/>
            <w:left w:val="none" w:sz="0" w:space="0" w:color="auto"/>
            <w:bottom w:val="none" w:sz="0" w:space="0" w:color="auto"/>
            <w:right w:val="none" w:sz="0" w:space="0" w:color="auto"/>
          </w:divBdr>
        </w:div>
        <w:div w:id="2024940139">
          <w:marLeft w:val="0"/>
          <w:marRight w:val="0"/>
          <w:marTop w:val="0"/>
          <w:marBottom w:val="0"/>
          <w:divBdr>
            <w:top w:val="none" w:sz="0" w:space="0" w:color="auto"/>
            <w:left w:val="none" w:sz="0" w:space="0" w:color="auto"/>
            <w:bottom w:val="none" w:sz="0" w:space="0" w:color="auto"/>
            <w:right w:val="none" w:sz="0" w:space="0" w:color="auto"/>
          </w:divBdr>
        </w:div>
        <w:div w:id="37125608">
          <w:marLeft w:val="0"/>
          <w:marRight w:val="0"/>
          <w:marTop w:val="0"/>
          <w:marBottom w:val="0"/>
          <w:divBdr>
            <w:top w:val="none" w:sz="0" w:space="0" w:color="auto"/>
            <w:left w:val="none" w:sz="0" w:space="0" w:color="auto"/>
            <w:bottom w:val="none" w:sz="0" w:space="0" w:color="auto"/>
            <w:right w:val="none" w:sz="0" w:space="0" w:color="auto"/>
          </w:divBdr>
        </w:div>
        <w:div w:id="1660381098">
          <w:marLeft w:val="0"/>
          <w:marRight w:val="0"/>
          <w:marTop w:val="0"/>
          <w:marBottom w:val="0"/>
          <w:divBdr>
            <w:top w:val="none" w:sz="0" w:space="0" w:color="auto"/>
            <w:left w:val="none" w:sz="0" w:space="0" w:color="auto"/>
            <w:bottom w:val="none" w:sz="0" w:space="0" w:color="auto"/>
            <w:right w:val="none" w:sz="0" w:space="0" w:color="auto"/>
          </w:divBdr>
        </w:div>
        <w:div w:id="323315255">
          <w:marLeft w:val="0"/>
          <w:marRight w:val="0"/>
          <w:marTop w:val="0"/>
          <w:marBottom w:val="0"/>
          <w:divBdr>
            <w:top w:val="none" w:sz="0" w:space="0" w:color="auto"/>
            <w:left w:val="none" w:sz="0" w:space="0" w:color="auto"/>
            <w:bottom w:val="none" w:sz="0" w:space="0" w:color="auto"/>
            <w:right w:val="none" w:sz="0" w:space="0" w:color="auto"/>
          </w:divBdr>
        </w:div>
        <w:div w:id="57216460">
          <w:marLeft w:val="0"/>
          <w:marRight w:val="0"/>
          <w:marTop w:val="0"/>
          <w:marBottom w:val="0"/>
          <w:divBdr>
            <w:top w:val="none" w:sz="0" w:space="0" w:color="auto"/>
            <w:left w:val="none" w:sz="0" w:space="0" w:color="auto"/>
            <w:bottom w:val="none" w:sz="0" w:space="0" w:color="auto"/>
            <w:right w:val="none" w:sz="0" w:space="0" w:color="auto"/>
          </w:divBdr>
        </w:div>
        <w:div w:id="1205603074">
          <w:marLeft w:val="0"/>
          <w:marRight w:val="0"/>
          <w:marTop w:val="0"/>
          <w:marBottom w:val="0"/>
          <w:divBdr>
            <w:top w:val="none" w:sz="0" w:space="0" w:color="auto"/>
            <w:left w:val="none" w:sz="0" w:space="0" w:color="auto"/>
            <w:bottom w:val="none" w:sz="0" w:space="0" w:color="auto"/>
            <w:right w:val="none" w:sz="0" w:space="0" w:color="auto"/>
          </w:divBdr>
        </w:div>
        <w:div w:id="1246379990">
          <w:marLeft w:val="0"/>
          <w:marRight w:val="0"/>
          <w:marTop w:val="0"/>
          <w:marBottom w:val="0"/>
          <w:divBdr>
            <w:top w:val="none" w:sz="0" w:space="0" w:color="auto"/>
            <w:left w:val="none" w:sz="0" w:space="0" w:color="auto"/>
            <w:bottom w:val="none" w:sz="0" w:space="0" w:color="auto"/>
            <w:right w:val="none" w:sz="0" w:space="0" w:color="auto"/>
          </w:divBdr>
        </w:div>
        <w:div w:id="391392188">
          <w:marLeft w:val="0"/>
          <w:marRight w:val="0"/>
          <w:marTop w:val="0"/>
          <w:marBottom w:val="0"/>
          <w:divBdr>
            <w:top w:val="none" w:sz="0" w:space="0" w:color="auto"/>
            <w:left w:val="none" w:sz="0" w:space="0" w:color="auto"/>
            <w:bottom w:val="none" w:sz="0" w:space="0" w:color="auto"/>
            <w:right w:val="none" w:sz="0" w:space="0" w:color="auto"/>
          </w:divBdr>
        </w:div>
        <w:div w:id="1324964935">
          <w:marLeft w:val="0"/>
          <w:marRight w:val="0"/>
          <w:marTop w:val="0"/>
          <w:marBottom w:val="0"/>
          <w:divBdr>
            <w:top w:val="none" w:sz="0" w:space="0" w:color="auto"/>
            <w:left w:val="none" w:sz="0" w:space="0" w:color="auto"/>
            <w:bottom w:val="none" w:sz="0" w:space="0" w:color="auto"/>
            <w:right w:val="none" w:sz="0" w:space="0" w:color="auto"/>
          </w:divBdr>
        </w:div>
        <w:div w:id="808549088">
          <w:marLeft w:val="0"/>
          <w:marRight w:val="0"/>
          <w:marTop w:val="0"/>
          <w:marBottom w:val="0"/>
          <w:divBdr>
            <w:top w:val="none" w:sz="0" w:space="0" w:color="auto"/>
            <w:left w:val="none" w:sz="0" w:space="0" w:color="auto"/>
            <w:bottom w:val="none" w:sz="0" w:space="0" w:color="auto"/>
            <w:right w:val="none" w:sz="0" w:space="0" w:color="auto"/>
          </w:divBdr>
        </w:div>
        <w:div w:id="468744884">
          <w:marLeft w:val="0"/>
          <w:marRight w:val="0"/>
          <w:marTop w:val="0"/>
          <w:marBottom w:val="0"/>
          <w:divBdr>
            <w:top w:val="none" w:sz="0" w:space="0" w:color="auto"/>
            <w:left w:val="none" w:sz="0" w:space="0" w:color="auto"/>
            <w:bottom w:val="none" w:sz="0" w:space="0" w:color="auto"/>
            <w:right w:val="none" w:sz="0" w:space="0" w:color="auto"/>
          </w:divBdr>
        </w:div>
        <w:div w:id="2006661549">
          <w:marLeft w:val="0"/>
          <w:marRight w:val="0"/>
          <w:marTop w:val="0"/>
          <w:marBottom w:val="0"/>
          <w:divBdr>
            <w:top w:val="none" w:sz="0" w:space="0" w:color="auto"/>
            <w:left w:val="none" w:sz="0" w:space="0" w:color="auto"/>
            <w:bottom w:val="none" w:sz="0" w:space="0" w:color="auto"/>
            <w:right w:val="none" w:sz="0" w:space="0" w:color="auto"/>
          </w:divBdr>
        </w:div>
        <w:div w:id="1250886601">
          <w:marLeft w:val="0"/>
          <w:marRight w:val="0"/>
          <w:marTop w:val="0"/>
          <w:marBottom w:val="0"/>
          <w:divBdr>
            <w:top w:val="none" w:sz="0" w:space="0" w:color="auto"/>
            <w:left w:val="none" w:sz="0" w:space="0" w:color="auto"/>
            <w:bottom w:val="none" w:sz="0" w:space="0" w:color="auto"/>
            <w:right w:val="none" w:sz="0" w:space="0" w:color="auto"/>
          </w:divBdr>
        </w:div>
        <w:div w:id="1161970433">
          <w:marLeft w:val="0"/>
          <w:marRight w:val="0"/>
          <w:marTop w:val="0"/>
          <w:marBottom w:val="0"/>
          <w:divBdr>
            <w:top w:val="none" w:sz="0" w:space="0" w:color="auto"/>
            <w:left w:val="none" w:sz="0" w:space="0" w:color="auto"/>
            <w:bottom w:val="none" w:sz="0" w:space="0" w:color="auto"/>
            <w:right w:val="none" w:sz="0" w:space="0" w:color="auto"/>
          </w:divBdr>
        </w:div>
        <w:div w:id="717974570">
          <w:marLeft w:val="0"/>
          <w:marRight w:val="0"/>
          <w:marTop w:val="0"/>
          <w:marBottom w:val="0"/>
          <w:divBdr>
            <w:top w:val="none" w:sz="0" w:space="0" w:color="auto"/>
            <w:left w:val="none" w:sz="0" w:space="0" w:color="auto"/>
            <w:bottom w:val="none" w:sz="0" w:space="0" w:color="auto"/>
            <w:right w:val="none" w:sz="0" w:space="0" w:color="auto"/>
          </w:divBdr>
        </w:div>
        <w:div w:id="1034816217">
          <w:marLeft w:val="0"/>
          <w:marRight w:val="0"/>
          <w:marTop w:val="0"/>
          <w:marBottom w:val="0"/>
          <w:divBdr>
            <w:top w:val="none" w:sz="0" w:space="0" w:color="auto"/>
            <w:left w:val="none" w:sz="0" w:space="0" w:color="auto"/>
            <w:bottom w:val="none" w:sz="0" w:space="0" w:color="auto"/>
            <w:right w:val="none" w:sz="0" w:space="0" w:color="auto"/>
          </w:divBdr>
        </w:div>
        <w:div w:id="779105859">
          <w:marLeft w:val="0"/>
          <w:marRight w:val="0"/>
          <w:marTop w:val="0"/>
          <w:marBottom w:val="0"/>
          <w:divBdr>
            <w:top w:val="none" w:sz="0" w:space="0" w:color="auto"/>
            <w:left w:val="none" w:sz="0" w:space="0" w:color="auto"/>
            <w:bottom w:val="none" w:sz="0" w:space="0" w:color="auto"/>
            <w:right w:val="none" w:sz="0" w:space="0" w:color="auto"/>
          </w:divBdr>
        </w:div>
        <w:div w:id="943466095">
          <w:marLeft w:val="0"/>
          <w:marRight w:val="0"/>
          <w:marTop w:val="0"/>
          <w:marBottom w:val="0"/>
          <w:divBdr>
            <w:top w:val="none" w:sz="0" w:space="0" w:color="auto"/>
            <w:left w:val="none" w:sz="0" w:space="0" w:color="auto"/>
            <w:bottom w:val="none" w:sz="0" w:space="0" w:color="auto"/>
            <w:right w:val="none" w:sz="0" w:space="0" w:color="auto"/>
          </w:divBdr>
        </w:div>
        <w:div w:id="42599772">
          <w:marLeft w:val="0"/>
          <w:marRight w:val="0"/>
          <w:marTop w:val="0"/>
          <w:marBottom w:val="0"/>
          <w:divBdr>
            <w:top w:val="none" w:sz="0" w:space="0" w:color="auto"/>
            <w:left w:val="none" w:sz="0" w:space="0" w:color="auto"/>
            <w:bottom w:val="none" w:sz="0" w:space="0" w:color="auto"/>
            <w:right w:val="none" w:sz="0" w:space="0" w:color="auto"/>
          </w:divBdr>
        </w:div>
        <w:div w:id="634143275">
          <w:marLeft w:val="0"/>
          <w:marRight w:val="0"/>
          <w:marTop w:val="0"/>
          <w:marBottom w:val="0"/>
          <w:divBdr>
            <w:top w:val="none" w:sz="0" w:space="0" w:color="auto"/>
            <w:left w:val="none" w:sz="0" w:space="0" w:color="auto"/>
            <w:bottom w:val="none" w:sz="0" w:space="0" w:color="auto"/>
            <w:right w:val="none" w:sz="0" w:space="0" w:color="auto"/>
          </w:divBdr>
        </w:div>
        <w:div w:id="193613637">
          <w:marLeft w:val="0"/>
          <w:marRight w:val="0"/>
          <w:marTop w:val="0"/>
          <w:marBottom w:val="0"/>
          <w:divBdr>
            <w:top w:val="none" w:sz="0" w:space="0" w:color="auto"/>
            <w:left w:val="none" w:sz="0" w:space="0" w:color="auto"/>
            <w:bottom w:val="none" w:sz="0" w:space="0" w:color="auto"/>
            <w:right w:val="none" w:sz="0" w:space="0" w:color="auto"/>
          </w:divBdr>
        </w:div>
        <w:div w:id="713584612">
          <w:marLeft w:val="0"/>
          <w:marRight w:val="0"/>
          <w:marTop w:val="0"/>
          <w:marBottom w:val="0"/>
          <w:divBdr>
            <w:top w:val="none" w:sz="0" w:space="0" w:color="auto"/>
            <w:left w:val="none" w:sz="0" w:space="0" w:color="auto"/>
            <w:bottom w:val="none" w:sz="0" w:space="0" w:color="auto"/>
            <w:right w:val="none" w:sz="0" w:space="0" w:color="auto"/>
          </w:divBdr>
        </w:div>
        <w:div w:id="519929304">
          <w:marLeft w:val="0"/>
          <w:marRight w:val="0"/>
          <w:marTop w:val="0"/>
          <w:marBottom w:val="0"/>
          <w:divBdr>
            <w:top w:val="none" w:sz="0" w:space="0" w:color="auto"/>
            <w:left w:val="none" w:sz="0" w:space="0" w:color="auto"/>
            <w:bottom w:val="none" w:sz="0" w:space="0" w:color="auto"/>
            <w:right w:val="none" w:sz="0" w:space="0" w:color="auto"/>
          </w:divBdr>
        </w:div>
        <w:div w:id="1689482259">
          <w:marLeft w:val="0"/>
          <w:marRight w:val="0"/>
          <w:marTop w:val="0"/>
          <w:marBottom w:val="0"/>
          <w:divBdr>
            <w:top w:val="none" w:sz="0" w:space="0" w:color="auto"/>
            <w:left w:val="none" w:sz="0" w:space="0" w:color="auto"/>
            <w:bottom w:val="none" w:sz="0" w:space="0" w:color="auto"/>
            <w:right w:val="none" w:sz="0" w:space="0" w:color="auto"/>
          </w:divBdr>
        </w:div>
        <w:div w:id="487551400">
          <w:marLeft w:val="0"/>
          <w:marRight w:val="0"/>
          <w:marTop w:val="0"/>
          <w:marBottom w:val="0"/>
          <w:divBdr>
            <w:top w:val="none" w:sz="0" w:space="0" w:color="auto"/>
            <w:left w:val="none" w:sz="0" w:space="0" w:color="auto"/>
            <w:bottom w:val="none" w:sz="0" w:space="0" w:color="auto"/>
            <w:right w:val="none" w:sz="0" w:space="0" w:color="auto"/>
          </w:divBdr>
        </w:div>
        <w:div w:id="1894350029">
          <w:marLeft w:val="0"/>
          <w:marRight w:val="0"/>
          <w:marTop w:val="0"/>
          <w:marBottom w:val="0"/>
          <w:divBdr>
            <w:top w:val="none" w:sz="0" w:space="0" w:color="auto"/>
            <w:left w:val="none" w:sz="0" w:space="0" w:color="auto"/>
            <w:bottom w:val="none" w:sz="0" w:space="0" w:color="auto"/>
            <w:right w:val="none" w:sz="0" w:space="0" w:color="auto"/>
          </w:divBdr>
        </w:div>
        <w:div w:id="1955671659">
          <w:marLeft w:val="0"/>
          <w:marRight w:val="0"/>
          <w:marTop w:val="0"/>
          <w:marBottom w:val="0"/>
          <w:divBdr>
            <w:top w:val="none" w:sz="0" w:space="0" w:color="auto"/>
            <w:left w:val="none" w:sz="0" w:space="0" w:color="auto"/>
            <w:bottom w:val="none" w:sz="0" w:space="0" w:color="auto"/>
            <w:right w:val="none" w:sz="0" w:space="0" w:color="auto"/>
          </w:divBdr>
        </w:div>
        <w:div w:id="1383597802">
          <w:marLeft w:val="0"/>
          <w:marRight w:val="0"/>
          <w:marTop w:val="0"/>
          <w:marBottom w:val="0"/>
          <w:divBdr>
            <w:top w:val="none" w:sz="0" w:space="0" w:color="auto"/>
            <w:left w:val="none" w:sz="0" w:space="0" w:color="auto"/>
            <w:bottom w:val="none" w:sz="0" w:space="0" w:color="auto"/>
            <w:right w:val="none" w:sz="0" w:space="0" w:color="auto"/>
          </w:divBdr>
        </w:div>
        <w:div w:id="1247150498">
          <w:marLeft w:val="0"/>
          <w:marRight w:val="0"/>
          <w:marTop w:val="0"/>
          <w:marBottom w:val="0"/>
          <w:divBdr>
            <w:top w:val="none" w:sz="0" w:space="0" w:color="auto"/>
            <w:left w:val="none" w:sz="0" w:space="0" w:color="auto"/>
            <w:bottom w:val="none" w:sz="0" w:space="0" w:color="auto"/>
            <w:right w:val="none" w:sz="0" w:space="0" w:color="auto"/>
          </w:divBdr>
        </w:div>
        <w:div w:id="729694679">
          <w:marLeft w:val="0"/>
          <w:marRight w:val="0"/>
          <w:marTop w:val="0"/>
          <w:marBottom w:val="0"/>
          <w:divBdr>
            <w:top w:val="none" w:sz="0" w:space="0" w:color="auto"/>
            <w:left w:val="none" w:sz="0" w:space="0" w:color="auto"/>
            <w:bottom w:val="none" w:sz="0" w:space="0" w:color="auto"/>
            <w:right w:val="none" w:sz="0" w:space="0" w:color="auto"/>
          </w:divBdr>
        </w:div>
        <w:div w:id="2121796784">
          <w:marLeft w:val="0"/>
          <w:marRight w:val="0"/>
          <w:marTop w:val="0"/>
          <w:marBottom w:val="0"/>
          <w:divBdr>
            <w:top w:val="none" w:sz="0" w:space="0" w:color="auto"/>
            <w:left w:val="none" w:sz="0" w:space="0" w:color="auto"/>
            <w:bottom w:val="none" w:sz="0" w:space="0" w:color="auto"/>
            <w:right w:val="none" w:sz="0" w:space="0" w:color="auto"/>
          </w:divBdr>
        </w:div>
        <w:div w:id="1116489029">
          <w:marLeft w:val="0"/>
          <w:marRight w:val="0"/>
          <w:marTop w:val="0"/>
          <w:marBottom w:val="0"/>
          <w:divBdr>
            <w:top w:val="none" w:sz="0" w:space="0" w:color="auto"/>
            <w:left w:val="none" w:sz="0" w:space="0" w:color="auto"/>
            <w:bottom w:val="none" w:sz="0" w:space="0" w:color="auto"/>
            <w:right w:val="none" w:sz="0" w:space="0" w:color="auto"/>
          </w:divBdr>
        </w:div>
        <w:div w:id="274752216">
          <w:marLeft w:val="0"/>
          <w:marRight w:val="0"/>
          <w:marTop w:val="0"/>
          <w:marBottom w:val="0"/>
          <w:divBdr>
            <w:top w:val="none" w:sz="0" w:space="0" w:color="auto"/>
            <w:left w:val="none" w:sz="0" w:space="0" w:color="auto"/>
            <w:bottom w:val="none" w:sz="0" w:space="0" w:color="auto"/>
            <w:right w:val="none" w:sz="0" w:space="0" w:color="auto"/>
          </w:divBdr>
        </w:div>
        <w:div w:id="580794779">
          <w:marLeft w:val="0"/>
          <w:marRight w:val="0"/>
          <w:marTop w:val="0"/>
          <w:marBottom w:val="0"/>
          <w:divBdr>
            <w:top w:val="none" w:sz="0" w:space="0" w:color="auto"/>
            <w:left w:val="none" w:sz="0" w:space="0" w:color="auto"/>
            <w:bottom w:val="none" w:sz="0" w:space="0" w:color="auto"/>
            <w:right w:val="none" w:sz="0" w:space="0" w:color="auto"/>
          </w:divBdr>
        </w:div>
        <w:div w:id="237598512">
          <w:marLeft w:val="0"/>
          <w:marRight w:val="0"/>
          <w:marTop w:val="0"/>
          <w:marBottom w:val="0"/>
          <w:divBdr>
            <w:top w:val="none" w:sz="0" w:space="0" w:color="auto"/>
            <w:left w:val="none" w:sz="0" w:space="0" w:color="auto"/>
            <w:bottom w:val="none" w:sz="0" w:space="0" w:color="auto"/>
            <w:right w:val="none" w:sz="0" w:space="0" w:color="auto"/>
          </w:divBdr>
        </w:div>
        <w:div w:id="108816921">
          <w:marLeft w:val="0"/>
          <w:marRight w:val="0"/>
          <w:marTop w:val="0"/>
          <w:marBottom w:val="0"/>
          <w:divBdr>
            <w:top w:val="none" w:sz="0" w:space="0" w:color="auto"/>
            <w:left w:val="none" w:sz="0" w:space="0" w:color="auto"/>
            <w:bottom w:val="none" w:sz="0" w:space="0" w:color="auto"/>
            <w:right w:val="none" w:sz="0" w:space="0" w:color="auto"/>
          </w:divBdr>
        </w:div>
        <w:div w:id="1966545988">
          <w:marLeft w:val="0"/>
          <w:marRight w:val="0"/>
          <w:marTop w:val="0"/>
          <w:marBottom w:val="0"/>
          <w:divBdr>
            <w:top w:val="none" w:sz="0" w:space="0" w:color="auto"/>
            <w:left w:val="none" w:sz="0" w:space="0" w:color="auto"/>
            <w:bottom w:val="none" w:sz="0" w:space="0" w:color="auto"/>
            <w:right w:val="none" w:sz="0" w:space="0" w:color="auto"/>
          </w:divBdr>
        </w:div>
        <w:div w:id="2100445488">
          <w:marLeft w:val="0"/>
          <w:marRight w:val="0"/>
          <w:marTop w:val="0"/>
          <w:marBottom w:val="0"/>
          <w:divBdr>
            <w:top w:val="none" w:sz="0" w:space="0" w:color="auto"/>
            <w:left w:val="none" w:sz="0" w:space="0" w:color="auto"/>
            <w:bottom w:val="none" w:sz="0" w:space="0" w:color="auto"/>
            <w:right w:val="none" w:sz="0" w:space="0" w:color="auto"/>
          </w:divBdr>
        </w:div>
        <w:div w:id="1910118878">
          <w:marLeft w:val="0"/>
          <w:marRight w:val="0"/>
          <w:marTop w:val="0"/>
          <w:marBottom w:val="0"/>
          <w:divBdr>
            <w:top w:val="none" w:sz="0" w:space="0" w:color="auto"/>
            <w:left w:val="none" w:sz="0" w:space="0" w:color="auto"/>
            <w:bottom w:val="none" w:sz="0" w:space="0" w:color="auto"/>
            <w:right w:val="none" w:sz="0" w:space="0" w:color="auto"/>
          </w:divBdr>
        </w:div>
        <w:div w:id="1687322091">
          <w:marLeft w:val="0"/>
          <w:marRight w:val="0"/>
          <w:marTop w:val="0"/>
          <w:marBottom w:val="0"/>
          <w:divBdr>
            <w:top w:val="none" w:sz="0" w:space="0" w:color="auto"/>
            <w:left w:val="none" w:sz="0" w:space="0" w:color="auto"/>
            <w:bottom w:val="none" w:sz="0" w:space="0" w:color="auto"/>
            <w:right w:val="none" w:sz="0" w:space="0" w:color="auto"/>
          </w:divBdr>
        </w:div>
        <w:div w:id="1116438086">
          <w:marLeft w:val="0"/>
          <w:marRight w:val="0"/>
          <w:marTop w:val="0"/>
          <w:marBottom w:val="0"/>
          <w:divBdr>
            <w:top w:val="none" w:sz="0" w:space="0" w:color="auto"/>
            <w:left w:val="none" w:sz="0" w:space="0" w:color="auto"/>
            <w:bottom w:val="none" w:sz="0" w:space="0" w:color="auto"/>
            <w:right w:val="none" w:sz="0" w:space="0" w:color="auto"/>
          </w:divBdr>
        </w:div>
        <w:div w:id="43330894">
          <w:marLeft w:val="0"/>
          <w:marRight w:val="0"/>
          <w:marTop w:val="0"/>
          <w:marBottom w:val="0"/>
          <w:divBdr>
            <w:top w:val="none" w:sz="0" w:space="0" w:color="auto"/>
            <w:left w:val="none" w:sz="0" w:space="0" w:color="auto"/>
            <w:bottom w:val="none" w:sz="0" w:space="0" w:color="auto"/>
            <w:right w:val="none" w:sz="0" w:space="0" w:color="auto"/>
          </w:divBdr>
        </w:div>
        <w:div w:id="387533466">
          <w:marLeft w:val="0"/>
          <w:marRight w:val="0"/>
          <w:marTop w:val="0"/>
          <w:marBottom w:val="0"/>
          <w:divBdr>
            <w:top w:val="none" w:sz="0" w:space="0" w:color="auto"/>
            <w:left w:val="none" w:sz="0" w:space="0" w:color="auto"/>
            <w:bottom w:val="none" w:sz="0" w:space="0" w:color="auto"/>
            <w:right w:val="none" w:sz="0" w:space="0" w:color="auto"/>
          </w:divBdr>
        </w:div>
        <w:div w:id="412509092">
          <w:marLeft w:val="0"/>
          <w:marRight w:val="0"/>
          <w:marTop w:val="0"/>
          <w:marBottom w:val="0"/>
          <w:divBdr>
            <w:top w:val="none" w:sz="0" w:space="0" w:color="auto"/>
            <w:left w:val="none" w:sz="0" w:space="0" w:color="auto"/>
            <w:bottom w:val="none" w:sz="0" w:space="0" w:color="auto"/>
            <w:right w:val="none" w:sz="0" w:space="0" w:color="auto"/>
          </w:divBdr>
        </w:div>
        <w:div w:id="959338340">
          <w:marLeft w:val="0"/>
          <w:marRight w:val="0"/>
          <w:marTop w:val="0"/>
          <w:marBottom w:val="0"/>
          <w:divBdr>
            <w:top w:val="none" w:sz="0" w:space="0" w:color="auto"/>
            <w:left w:val="none" w:sz="0" w:space="0" w:color="auto"/>
            <w:bottom w:val="none" w:sz="0" w:space="0" w:color="auto"/>
            <w:right w:val="none" w:sz="0" w:space="0" w:color="auto"/>
          </w:divBdr>
        </w:div>
        <w:div w:id="651063437">
          <w:marLeft w:val="0"/>
          <w:marRight w:val="0"/>
          <w:marTop w:val="0"/>
          <w:marBottom w:val="0"/>
          <w:divBdr>
            <w:top w:val="none" w:sz="0" w:space="0" w:color="auto"/>
            <w:left w:val="none" w:sz="0" w:space="0" w:color="auto"/>
            <w:bottom w:val="none" w:sz="0" w:space="0" w:color="auto"/>
            <w:right w:val="none" w:sz="0" w:space="0" w:color="auto"/>
          </w:divBdr>
        </w:div>
        <w:div w:id="1756904044">
          <w:marLeft w:val="0"/>
          <w:marRight w:val="0"/>
          <w:marTop w:val="0"/>
          <w:marBottom w:val="0"/>
          <w:divBdr>
            <w:top w:val="none" w:sz="0" w:space="0" w:color="auto"/>
            <w:left w:val="none" w:sz="0" w:space="0" w:color="auto"/>
            <w:bottom w:val="none" w:sz="0" w:space="0" w:color="auto"/>
            <w:right w:val="none" w:sz="0" w:space="0" w:color="auto"/>
          </w:divBdr>
        </w:div>
      </w:divsChild>
    </w:div>
    <w:div w:id="1619753041">
      <w:bodyDiv w:val="1"/>
      <w:marLeft w:val="0"/>
      <w:marRight w:val="0"/>
      <w:marTop w:val="0"/>
      <w:marBottom w:val="0"/>
      <w:divBdr>
        <w:top w:val="none" w:sz="0" w:space="0" w:color="auto"/>
        <w:left w:val="none" w:sz="0" w:space="0" w:color="auto"/>
        <w:bottom w:val="none" w:sz="0" w:space="0" w:color="auto"/>
        <w:right w:val="none" w:sz="0" w:space="0" w:color="auto"/>
      </w:divBdr>
      <w:divsChild>
        <w:div w:id="2011178902">
          <w:marLeft w:val="0"/>
          <w:marRight w:val="0"/>
          <w:marTop w:val="0"/>
          <w:marBottom w:val="0"/>
          <w:divBdr>
            <w:top w:val="none" w:sz="0" w:space="0" w:color="auto"/>
            <w:left w:val="none" w:sz="0" w:space="0" w:color="auto"/>
            <w:bottom w:val="none" w:sz="0" w:space="0" w:color="auto"/>
            <w:right w:val="none" w:sz="0" w:space="0" w:color="auto"/>
          </w:divBdr>
        </w:div>
        <w:div w:id="751465862">
          <w:marLeft w:val="0"/>
          <w:marRight w:val="0"/>
          <w:marTop w:val="0"/>
          <w:marBottom w:val="0"/>
          <w:divBdr>
            <w:top w:val="none" w:sz="0" w:space="0" w:color="auto"/>
            <w:left w:val="none" w:sz="0" w:space="0" w:color="auto"/>
            <w:bottom w:val="none" w:sz="0" w:space="0" w:color="auto"/>
            <w:right w:val="none" w:sz="0" w:space="0" w:color="auto"/>
          </w:divBdr>
        </w:div>
        <w:div w:id="1037854047">
          <w:marLeft w:val="0"/>
          <w:marRight w:val="0"/>
          <w:marTop w:val="0"/>
          <w:marBottom w:val="0"/>
          <w:divBdr>
            <w:top w:val="none" w:sz="0" w:space="0" w:color="auto"/>
            <w:left w:val="none" w:sz="0" w:space="0" w:color="auto"/>
            <w:bottom w:val="none" w:sz="0" w:space="0" w:color="auto"/>
            <w:right w:val="none" w:sz="0" w:space="0" w:color="auto"/>
          </w:divBdr>
        </w:div>
        <w:div w:id="98837923">
          <w:marLeft w:val="0"/>
          <w:marRight w:val="0"/>
          <w:marTop w:val="0"/>
          <w:marBottom w:val="0"/>
          <w:divBdr>
            <w:top w:val="none" w:sz="0" w:space="0" w:color="auto"/>
            <w:left w:val="none" w:sz="0" w:space="0" w:color="auto"/>
            <w:bottom w:val="none" w:sz="0" w:space="0" w:color="auto"/>
            <w:right w:val="none" w:sz="0" w:space="0" w:color="auto"/>
          </w:divBdr>
        </w:div>
        <w:div w:id="1973096100">
          <w:marLeft w:val="0"/>
          <w:marRight w:val="0"/>
          <w:marTop w:val="0"/>
          <w:marBottom w:val="0"/>
          <w:divBdr>
            <w:top w:val="none" w:sz="0" w:space="0" w:color="auto"/>
            <w:left w:val="none" w:sz="0" w:space="0" w:color="auto"/>
            <w:bottom w:val="none" w:sz="0" w:space="0" w:color="auto"/>
            <w:right w:val="none" w:sz="0" w:space="0" w:color="auto"/>
          </w:divBdr>
        </w:div>
        <w:div w:id="806046191">
          <w:marLeft w:val="0"/>
          <w:marRight w:val="0"/>
          <w:marTop w:val="0"/>
          <w:marBottom w:val="0"/>
          <w:divBdr>
            <w:top w:val="none" w:sz="0" w:space="0" w:color="auto"/>
            <w:left w:val="none" w:sz="0" w:space="0" w:color="auto"/>
            <w:bottom w:val="none" w:sz="0" w:space="0" w:color="auto"/>
            <w:right w:val="none" w:sz="0" w:space="0" w:color="auto"/>
          </w:divBdr>
        </w:div>
        <w:div w:id="2047171893">
          <w:marLeft w:val="0"/>
          <w:marRight w:val="0"/>
          <w:marTop w:val="0"/>
          <w:marBottom w:val="0"/>
          <w:divBdr>
            <w:top w:val="none" w:sz="0" w:space="0" w:color="auto"/>
            <w:left w:val="none" w:sz="0" w:space="0" w:color="auto"/>
            <w:bottom w:val="none" w:sz="0" w:space="0" w:color="auto"/>
            <w:right w:val="none" w:sz="0" w:space="0" w:color="auto"/>
          </w:divBdr>
        </w:div>
        <w:div w:id="1560091275">
          <w:marLeft w:val="0"/>
          <w:marRight w:val="0"/>
          <w:marTop w:val="0"/>
          <w:marBottom w:val="0"/>
          <w:divBdr>
            <w:top w:val="none" w:sz="0" w:space="0" w:color="auto"/>
            <w:left w:val="none" w:sz="0" w:space="0" w:color="auto"/>
            <w:bottom w:val="none" w:sz="0" w:space="0" w:color="auto"/>
            <w:right w:val="none" w:sz="0" w:space="0" w:color="auto"/>
          </w:divBdr>
          <w:divsChild>
            <w:div w:id="1677608011">
              <w:marLeft w:val="0"/>
              <w:marRight w:val="0"/>
              <w:marTop w:val="0"/>
              <w:marBottom w:val="0"/>
              <w:divBdr>
                <w:top w:val="none" w:sz="0" w:space="0" w:color="auto"/>
                <w:left w:val="none" w:sz="0" w:space="0" w:color="auto"/>
                <w:bottom w:val="none" w:sz="0" w:space="0" w:color="auto"/>
                <w:right w:val="none" w:sz="0" w:space="0" w:color="auto"/>
              </w:divBdr>
            </w:div>
            <w:div w:id="426536531">
              <w:marLeft w:val="0"/>
              <w:marRight w:val="0"/>
              <w:marTop w:val="0"/>
              <w:marBottom w:val="0"/>
              <w:divBdr>
                <w:top w:val="none" w:sz="0" w:space="0" w:color="auto"/>
                <w:left w:val="none" w:sz="0" w:space="0" w:color="auto"/>
                <w:bottom w:val="none" w:sz="0" w:space="0" w:color="auto"/>
                <w:right w:val="none" w:sz="0" w:space="0" w:color="auto"/>
              </w:divBdr>
            </w:div>
            <w:div w:id="240256756">
              <w:marLeft w:val="0"/>
              <w:marRight w:val="0"/>
              <w:marTop w:val="0"/>
              <w:marBottom w:val="0"/>
              <w:divBdr>
                <w:top w:val="none" w:sz="0" w:space="0" w:color="auto"/>
                <w:left w:val="none" w:sz="0" w:space="0" w:color="auto"/>
                <w:bottom w:val="none" w:sz="0" w:space="0" w:color="auto"/>
                <w:right w:val="none" w:sz="0" w:space="0" w:color="auto"/>
              </w:divBdr>
            </w:div>
            <w:div w:id="1296177420">
              <w:marLeft w:val="0"/>
              <w:marRight w:val="0"/>
              <w:marTop w:val="0"/>
              <w:marBottom w:val="0"/>
              <w:divBdr>
                <w:top w:val="none" w:sz="0" w:space="0" w:color="auto"/>
                <w:left w:val="none" w:sz="0" w:space="0" w:color="auto"/>
                <w:bottom w:val="none" w:sz="0" w:space="0" w:color="auto"/>
                <w:right w:val="none" w:sz="0" w:space="0" w:color="auto"/>
              </w:divBdr>
            </w:div>
            <w:div w:id="1826818668">
              <w:marLeft w:val="0"/>
              <w:marRight w:val="0"/>
              <w:marTop w:val="0"/>
              <w:marBottom w:val="0"/>
              <w:divBdr>
                <w:top w:val="none" w:sz="0" w:space="0" w:color="auto"/>
                <w:left w:val="none" w:sz="0" w:space="0" w:color="auto"/>
                <w:bottom w:val="none" w:sz="0" w:space="0" w:color="auto"/>
                <w:right w:val="none" w:sz="0" w:space="0" w:color="auto"/>
              </w:divBdr>
            </w:div>
            <w:div w:id="1805658505">
              <w:marLeft w:val="0"/>
              <w:marRight w:val="0"/>
              <w:marTop w:val="0"/>
              <w:marBottom w:val="0"/>
              <w:divBdr>
                <w:top w:val="none" w:sz="0" w:space="0" w:color="auto"/>
                <w:left w:val="none" w:sz="0" w:space="0" w:color="auto"/>
                <w:bottom w:val="none" w:sz="0" w:space="0" w:color="auto"/>
                <w:right w:val="none" w:sz="0" w:space="0" w:color="auto"/>
              </w:divBdr>
            </w:div>
            <w:div w:id="70349460">
              <w:marLeft w:val="0"/>
              <w:marRight w:val="0"/>
              <w:marTop w:val="0"/>
              <w:marBottom w:val="0"/>
              <w:divBdr>
                <w:top w:val="none" w:sz="0" w:space="0" w:color="auto"/>
                <w:left w:val="none" w:sz="0" w:space="0" w:color="auto"/>
                <w:bottom w:val="none" w:sz="0" w:space="0" w:color="auto"/>
                <w:right w:val="none" w:sz="0" w:space="0" w:color="auto"/>
              </w:divBdr>
            </w:div>
            <w:div w:id="874972871">
              <w:marLeft w:val="0"/>
              <w:marRight w:val="0"/>
              <w:marTop w:val="0"/>
              <w:marBottom w:val="0"/>
              <w:divBdr>
                <w:top w:val="none" w:sz="0" w:space="0" w:color="auto"/>
                <w:left w:val="none" w:sz="0" w:space="0" w:color="auto"/>
                <w:bottom w:val="none" w:sz="0" w:space="0" w:color="auto"/>
                <w:right w:val="none" w:sz="0" w:space="0" w:color="auto"/>
              </w:divBdr>
            </w:div>
            <w:div w:id="93939454">
              <w:marLeft w:val="0"/>
              <w:marRight w:val="0"/>
              <w:marTop w:val="0"/>
              <w:marBottom w:val="0"/>
              <w:divBdr>
                <w:top w:val="none" w:sz="0" w:space="0" w:color="auto"/>
                <w:left w:val="none" w:sz="0" w:space="0" w:color="auto"/>
                <w:bottom w:val="none" w:sz="0" w:space="0" w:color="auto"/>
                <w:right w:val="none" w:sz="0" w:space="0" w:color="auto"/>
              </w:divBdr>
            </w:div>
            <w:div w:id="963466200">
              <w:marLeft w:val="0"/>
              <w:marRight w:val="0"/>
              <w:marTop w:val="0"/>
              <w:marBottom w:val="0"/>
              <w:divBdr>
                <w:top w:val="none" w:sz="0" w:space="0" w:color="auto"/>
                <w:left w:val="none" w:sz="0" w:space="0" w:color="auto"/>
                <w:bottom w:val="none" w:sz="0" w:space="0" w:color="auto"/>
                <w:right w:val="none" w:sz="0" w:space="0" w:color="auto"/>
              </w:divBdr>
            </w:div>
            <w:div w:id="406343427">
              <w:marLeft w:val="0"/>
              <w:marRight w:val="0"/>
              <w:marTop w:val="0"/>
              <w:marBottom w:val="0"/>
              <w:divBdr>
                <w:top w:val="none" w:sz="0" w:space="0" w:color="auto"/>
                <w:left w:val="none" w:sz="0" w:space="0" w:color="auto"/>
                <w:bottom w:val="none" w:sz="0" w:space="0" w:color="auto"/>
                <w:right w:val="none" w:sz="0" w:space="0" w:color="auto"/>
              </w:divBdr>
            </w:div>
            <w:div w:id="1199274382">
              <w:marLeft w:val="0"/>
              <w:marRight w:val="0"/>
              <w:marTop w:val="0"/>
              <w:marBottom w:val="0"/>
              <w:divBdr>
                <w:top w:val="none" w:sz="0" w:space="0" w:color="auto"/>
                <w:left w:val="none" w:sz="0" w:space="0" w:color="auto"/>
                <w:bottom w:val="none" w:sz="0" w:space="0" w:color="auto"/>
                <w:right w:val="none" w:sz="0" w:space="0" w:color="auto"/>
              </w:divBdr>
            </w:div>
            <w:div w:id="1657420014">
              <w:marLeft w:val="0"/>
              <w:marRight w:val="0"/>
              <w:marTop w:val="0"/>
              <w:marBottom w:val="0"/>
              <w:divBdr>
                <w:top w:val="none" w:sz="0" w:space="0" w:color="auto"/>
                <w:left w:val="none" w:sz="0" w:space="0" w:color="auto"/>
                <w:bottom w:val="none" w:sz="0" w:space="0" w:color="auto"/>
                <w:right w:val="none" w:sz="0" w:space="0" w:color="auto"/>
              </w:divBdr>
            </w:div>
            <w:div w:id="147289553">
              <w:marLeft w:val="0"/>
              <w:marRight w:val="0"/>
              <w:marTop w:val="0"/>
              <w:marBottom w:val="0"/>
              <w:divBdr>
                <w:top w:val="none" w:sz="0" w:space="0" w:color="auto"/>
                <w:left w:val="none" w:sz="0" w:space="0" w:color="auto"/>
                <w:bottom w:val="none" w:sz="0" w:space="0" w:color="auto"/>
                <w:right w:val="none" w:sz="0" w:space="0" w:color="auto"/>
              </w:divBdr>
            </w:div>
            <w:div w:id="251083692">
              <w:marLeft w:val="0"/>
              <w:marRight w:val="0"/>
              <w:marTop w:val="0"/>
              <w:marBottom w:val="0"/>
              <w:divBdr>
                <w:top w:val="none" w:sz="0" w:space="0" w:color="auto"/>
                <w:left w:val="none" w:sz="0" w:space="0" w:color="auto"/>
                <w:bottom w:val="none" w:sz="0" w:space="0" w:color="auto"/>
                <w:right w:val="none" w:sz="0" w:space="0" w:color="auto"/>
              </w:divBdr>
            </w:div>
            <w:div w:id="1445995891">
              <w:marLeft w:val="0"/>
              <w:marRight w:val="0"/>
              <w:marTop w:val="0"/>
              <w:marBottom w:val="0"/>
              <w:divBdr>
                <w:top w:val="none" w:sz="0" w:space="0" w:color="auto"/>
                <w:left w:val="none" w:sz="0" w:space="0" w:color="auto"/>
                <w:bottom w:val="none" w:sz="0" w:space="0" w:color="auto"/>
                <w:right w:val="none" w:sz="0" w:space="0" w:color="auto"/>
              </w:divBdr>
            </w:div>
            <w:div w:id="889465550">
              <w:marLeft w:val="0"/>
              <w:marRight w:val="0"/>
              <w:marTop w:val="0"/>
              <w:marBottom w:val="0"/>
              <w:divBdr>
                <w:top w:val="none" w:sz="0" w:space="0" w:color="auto"/>
                <w:left w:val="none" w:sz="0" w:space="0" w:color="auto"/>
                <w:bottom w:val="none" w:sz="0" w:space="0" w:color="auto"/>
                <w:right w:val="none" w:sz="0" w:space="0" w:color="auto"/>
              </w:divBdr>
            </w:div>
            <w:div w:id="993949815">
              <w:marLeft w:val="0"/>
              <w:marRight w:val="0"/>
              <w:marTop w:val="0"/>
              <w:marBottom w:val="0"/>
              <w:divBdr>
                <w:top w:val="none" w:sz="0" w:space="0" w:color="auto"/>
                <w:left w:val="none" w:sz="0" w:space="0" w:color="auto"/>
                <w:bottom w:val="none" w:sz="0" w:space="0" w:color="auto"/>
                <w:right w:val="none" w:sz="0" w:space="0" w:color="auto"/>
              </w:divBdr>
            </w:div>
            <w:div w:id="726030294">
              <w:marLeft w:val="0"/>
              <w:marRight w:val="0"/>
              <w:marTop w:val="0"/>
              <w:marBottom w:val="0"/>
              <w:divBdr>
                <w:top w:val="none" w:sz="0" w:space="0" w:color="auto"/>
                <w:left w:val="none" w:sz="0" w:space="0" w:color="auto"/>
                <w:bottom w:val="none" w:sz="0" w:space="0" w:color="auto"/>
                <w:right w:val="none" w:sz="0" w:space="0" w:color="auto"/>
              </w:divBdr>
            </w:div>
            <w:div w:id="1568761751">
              <w:marLeft w:val="0"/>
              <w:marRight w:val="0"/>
              <w:marTop w:val="0"/>
              <w:marBottom w:val="0"/>
              <w:divBdr>
                <w:top w:val="none" w:sz="0" w:space="0" w:color="auto"/>
                <w:left w:val="none" w:sz="0" w:space="0" w:color="auto"/>
                <w:bottom w:val="none" w:sz="0" w:space="0" w:color="auto"/>
                <w:right w:val="none" w:sz="0" w:space="0" w:color="auto"/>
              </w:divBdr>
            </w:div>
            <w:div w:id="688717859">
              <w:marLeft w:val="0"/>
              <w:marRight w:val="0"/>
              <w:marTop w:val="0"/>
              <w:marBottom w:val="0"/>
              <w:divBdr>
                <w:top w:val="none" w:sz="0" w:space="0" w:color="auto"/>
                <w:left w:val="none" w:sz="0" w:space="0" w:color="auto"/>
                <w:bottom w:val="none" w:sz="0" w:space="0" w:color="auto"/>
                <w:right w:val="none" w:sz="0" w:space="0" w:color="auto"/>
              </w:divBdr>
            </w:div>
            <w:div w:id="1387098280">
              <w:marLeft w:val="0"/>
              <w:marRight w:val="0"/>
              <w:marTop w:val="0"/>
              <w:marBottom w:val="0"/>
              <w:divBdr>
                <w:top w:val="none" w:sz="0" w:space="0" w:color="auto"/>
                <w:left w:val="none" w:sz="0" w:space="0" w:color="auto"/>
                <w:bottom w:val="none" w:sz="0" w:space="0" w:color="auto"/>
                <w:right w:val="none" w:sz="0" w:space="0" w:color="auto"/>
              </w:divBdr>
            </w:div>
            <w:div w:id="2037461935">
              <w:marLeft w:val="0"/>
              <w:marRight w:val="0"/>
              <w:marTop w:val="0"/>
              <w:marBottom w:val="0"/>
              <w:divBdr>
                <w:top w:val="none" w:sz="0" w:space="0" w:color="auto"/>
                <w:left w:val="none" w:sz="0" w:space="0" w:color="auto"/>
                <w:bottom w:val="none" w:sz="0" w:space="0" w:color="auto"/>
                <w:right w:val="none" w:sz="0" w:space="0" w:color="auto"/>
              </w:divBdr>
            </w:div>
            <w:div w:id="1199853653">
              <w:marLeft w:val="0"/>
              <w:marRight w:val="0"/>
              <w:marTop w:val="0"/>
              <w:marBottom w:val="0"/>
              <w:divBdr>
                <w:top w:val="none" w:sz="0" w:space="0" w:color="auto"/>
                <w:left w:val="none" w:sz="0" w:space="0" w:color="auto"/>
                <w:bottom w:val="none" w:sz="0" w:space="0" w:color="auto"/>
                <w:right w:val="none" w:sz="0" w:space="0" w:color="auto"/>
              </w:divBdr>
            </w:div>
            <w:div w:id="17386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javascript:openUrlLight('src_VIOtInOr')" TargetMode="External"/><Relationship Id="rId21" Type="http://schemas.openxmlformats.org/officeDocument/2006/relationships/hyperlink" Target="javascript:openUrlLight('src_IIMiMa')" TargetMode="External"/><Relationship Id="rId42" Type="http://schemas.openxmlformats.org/officeDocument/2006/relationships/hyperlink" Target="https://ihl-databases.icrc.org/customary-ihl/eng/docs/v1_rul_rule149" TargetMode="External"/><Relationship Id="rId47" Type="http://schemas.openxmlformats.org/officeDocument/2006/relationships/hyperlink" Target="https://ihl-databases.icrc.org/customary-ihl/eng/docs/v1_rul_rule149" TargetMode="External"/><Relationship Id="rId63" Type="http://schemas.openxmlformats.org/officeDocument/2006/relationships/hyperlink" Target="https://ihl-databases.icrc.org/customary-ihl/eng/docs/v1_rul_rule149" TargetMode="External"/><Relationship Id="rId68" Type="http://schemas.openxmlformats.org/officeDocument/2006/relationships/hyperlink" Target="https://ihl-databases.icrc.org/customary-ihl/eng/docs/v1_rul_rule149" TargetMode="External"/><Relationship Id="rId84" Type="http://schemas.openxmlformats.org/officeDocument/2006/relationships/hyperlink" Target="javascript:openUrlLight('src_ITr')" TargetMode="External"/><Relationship Id="rId89" Type="http://schemas.openxmlformats.org/officeDocument/2006/relationships/hyperlink" Target="javascript:openUrlLight('src_VIOtNaPr')" TargetMode="External"/><Relationship Id="rId2" Type="http://schemas.openxmlformats.org/officeDocument/2006/relationships/settings" Target="settings.xml"/><Relationship Id="rId16" Type="http://schemas.openxmlformats.org/officeDocument/2006/relationships/hyperlink" Target="javascript:openUrlLight('src_XInanMi')" TargetMode="External"/><Relationship Id="rId29" Type="http://schemas.openxmlformats.org/officeDocument/2006/relationships/hyperlink" Target="javascript:openUrlLight('src_XIInReCr')" TargetMode="External"/><Relationship Id="rId107" Type="http://schemas.openxmlformats.org/officeDocument/2006/relationships/hyperlink" Target="javascript:openUrlLight('src_XIInReCr')" TargetMode="External"/><Relationship Id="rId11" Type="http://schemas.openxmlformats.org/officeDocument/2006/relationships/hyperlink" Target="javascript:openUrlLight('src_VNaCa')" TargetMode="External"/><Relationship Id="rId24" Type="http://schemas.openxmlformats.org/officeDocument/2006/relationships/hyperlink" Target="javascript:openUrlLight('src_VIOtNaPr')" TargetMode="External"/><Relationship Id="rId32" Type="http://schemas.openxmlformats.org/officeDocument/2006/relationships/hyperlink" Target="https://ihl-databases.icrc.org/customary-ihl/eng/docs/v1_rul_rule149" TargetMode="External"/><Relationship Id="rId37" Type="http://schemas.openxmlformats.org/officeDocument/2006/relationships/hyperlink" Target="https://ihl-databases.icrc.org/customary-ihl/eng/docs/v1_rul_rule149" TargetMode="External"/><Relationship Id="rId40" Type="http://schemas.openxmlformats.org/officeDocument/2006/relationships/hyperlink" Target="https://ihl-databases.icrc.org/customary-ihl/eng/docs/v1_rul_rule149" TargetMode="External"/><Relationship Id="rId45" Type="http://schemas.openxmlformats.org/officeDocument/2006/relationships/hyperlink" Target="https://ihl-databases.icrc.org/customary-ihl/eng/docs/v1_rul_rule149" TargetMode="External"/><Relationship Id="rId53" Type="http://schemas.openxmlformats.org/officeDocument/2006/relationships/hyperlink" Target="https://ihl-databases.icrc.org/customary-ihl/eng/docs/v1_rul_rule149" TargetMode="External"/><Relationship Id="rId58" Type="http://schemas.openxmlformats.org/officeDocument/2006/relationships/hyperlink" Target="https://ihl-databases.icrc.org/customary-ihl/eng/docs/v1_rul_rule149" TargetMode="External"/><Relationship Id="rId66" Type="http://schemas.openxmlformats.org/officeDocument/2006/relationships/hyperlink" Target="https://ihl-databases.icrc.org/customary-ihl/eng/docs/v1_rul_rule149" TargetMode="External"/><Relationship Id="rId74" Type="http://schemas.openxmlformats.org/officeDocument/2006/relationships/hyperlink" Target="javascript:openUrlLight('src_IVNaLe')" TargetMode="External"/><Relationship Id="rId79" Type="http://schemas.openxmlformats.org/officeDocument/2006/relationships/hyperlink" Target="javascript:openUrlLight('src_IXInCo')" TargetMode="External"/><Relationship Id="rId87" Type="http://schemas.openxmlformats.org/officeDocument/2006/relationships/hyperlink" Target="javascript:openUrlLight('src_IVNaLe')" TargetMode="External"/><Relationship Id="rId102" Type="http://schemas.openxmlformats.org/officeDocument/2006/relationships/hyperlink" Target="javascript:openUrlLight('src_VIOtNaPr')" TargetMode="External"/><Relationship Id="rId110" Type="http://schemas.openxmlformats.org/officeDocument/2006/relationships/theme" Target="theme/theme1.xml"/><Relationship Id="rId5" Type="http://schemas.openxmlformats.org/officeDocument/2006/relationships/hyperlink" Target="javascript:openUrl('v2_rul_rule44_SectionA')" TargetMode="External"/><Relationship Id="rId61" Type="http://schemas.openxmlformats.org/officeDocument/2006/relationships/hyperlink" Target="https://ihl-databases.icrc.org/customary-ihl/eng/docs/v1_rul_rule149" TargetMode="External"/><Relationship Id="rId82" Type="http://schemas.openxmlformats.org/officeDocument/2006/relationships/hyperlink" Target="javascript:openUrlLight('src_XIOt')" TargetMode="External"/><Relationship Id="rId90" Type="http://schemas.openxmlformats.org/officeDocument/2006/relationships/hyperlink" Target="javascript:openUrlLight('src_VIUnNa')" TargetMode="External"/><Relationship Id="rId95" Type="http://schemas.openxmlformats.org/officeDocument/2006/relationships/hyperlink" Target="javascript:openUrlLight('src_XIOt')" TargetMode="External"/><Relationship Id="rId19" Type="http://schemas.openxmlformats.org/officeDocument/2006/relationships/hyperlink" Target="javascript:openUrlLight('src_ITr')" TargetMode="External"/><Relationship Id="rId14" Type="http://schemas.openxmlformats.org/officeDocument/2006/relationships/hyperlink" Target="javascript:openUrlLight('src_VIOtInOr')" TargetMode="External"/><Relationship Id="rId22" Type="http://schemas.openxmlformats.org/officeDocument/2006/relationships/hyperlink" Target="javascript:openUrlLight('src_IVNaLe')" TargetMode="External"/><Relationship Id="rId27" Type="http://schemas.openxmlformats.org/officeDocument/2006/relationships/hyperlink" Target="javascript:openUrlLight('src_IXInCo')" TargetMode="External"/><Relationship Id="rId30" Type="http://schemas.openxmlformats.org/officeDocument/2006/relationships/hyperlink" Target="javascript:openUrlLight('src_XIOt')" TargetMode="External"/><Relationship Id="rId35" Type="http://schemas.openxmlformats.org/officeDocument/2006/relationships/hyperlink" Target="https://ihl-databases.icrc.org/customary-ihl/eng/docs/v1_rul_rule149" TargetMode="External"/><Relationship Id="rId43" Type="http://schemas.openxmlformats.org/officeDocument/2006/relationships/hyperlink" Target="https://ihl-databases.icrc.org/customary-ihl/eng/docs/v1_rul_rule149" TargetMode="External"/><Relationship Id="rId48" Type="http://schemas.openxmlformats.org/officeDocument/2006/relationships/hyperlink" Target="https://ihl-databases.icrc.org/customary-ihl/eng/docs/v1_rul_rule149" TargetMode="External"/><Relationship Id="rId56" Type="http://schemas.openxmlformats.org/officeDocument/2006/relationships/hyperlink" Target="https://ihl-databases.icrc.org/customary-ihl/eng/docs/v1_rul_rule149" TargetMode="External"/><Relationship Id="rId64" Type="http://schemas.openxmlformats.org/officeDocument/2006/relationships/hyperlink" Target="https://ihl-databases.icrc.org/customary-ihl/eng/docs/v1_rul_rule149" TargetMode="External"/><Relationship Id="rId69" Type="http://schemas.openxmlformats.org/officeDocument/2006/relationships/hyperlink" Target="https://ihl-databases.icrc.org/customary-ihl/eng/docs/v1_rul_rule149" TargetMode="External"/><Relationship Id="rId77" Type="http://schemas.openxmlformats.org/officeDocument/2006/relationships/hyperlink" Target="javascript:openUrlLight('src_VIUnNa')" TargetMode="External"/><Relationship Id="rId100" Type="http://schemas.openxmlformats.org/officeDocument/2006/relationships/hyperlink" Target="javascript:openUrlLight('src_IVNaLe')" TargetMode="External"/><Relationship Id="rId105" Type="http://schemas.openxmlformats.org/officeDocument/2006/relationships/hyperlink" Target="javascript:openUrlLight('src_IXInCo')" TargetMode="External"/><Relationship Id="rId8" Type="http://schemas.openxmlformats.org/officeDocument/2006/relationships/hyperlink" Target="javascript:openUrlLight('src_IIOtIn')" TargetMode="External"/><Relationship Id="rId51" Type="http://schemas.openxmlformats.org/officeDocument/2006/relationships/hyperlink" Target="https://ihl-databases.icrc.org/customary-ihl/eng/docs/v1_rul_rule149" TargetMode="External"/><Relationship Id="rId72" Type="http://schemas.openxmlformats.org/officeDocument/2006/relationships/hyperlink" Target="javascript:openUrlLight('src_IIOtIn')" TargetMode="External"/><Relationship Id="rId80" Type="http://schemas.openxmlformats.org/officeDocument/2006/relationships/hyperlink" Target="javascript:openUrlLight('src_XInanMi')" TargetMode="External"/><Relationship Id="rId85" Type="http://schemas.openxmlformats.org/officeDocument/2006/relationships/hyperlink" Target="javascript:openUrlLight('src_IIOtIn')" TargetMode="External"/><Relationship Id="rId93" Type="http://schemas.openxmlformats.org/officeDocument/2006/relationships/hyperlink" Target="javascript:openUrlLight('src_XInanMi')" TargetMode="External"/><Relationship Id="rId98" Type="http://schemas.openxmlformats.org/officeDocument/2006/relationships/hyperlink" Target="javascript:openUrlLight('src_IIOtIn')" TargetMode="External"/><Relationship Id="rId3" Type="http://schemas.openxmlformats.org/officeDocument/2006/relationships/webSettings" Target="webSettings.xml"/><Relationship Id="rId12" Type="http://schemas.openxmlformats.org/officeDocument/2006/relationships/hyperlink" Target="javascript:openUrlLight('src_VIOtNaPr')" TargetMode="External"/><Relationship Id="rId17" Type="http://schemas.openxmlformats.org/officeDocument/2006/relationships/hyperlink" Target="javascript:openUrlLight('src_XIInReCr')" TargetMode="External"/><Relationship Id="rId25" Type="http://schemas.openxmlformats.org/officeDocument/2006/relationships/hyperlink" Target="javascript:openUrlLight('src_VIUnNa')" TargetMode="External"/><Relationship Id="rId33" Type="http://schemas.openxmlformats.org/officeDocument/2006/relationships/hyperlink" Target="https://ihl-databases.icrc.org/customary-ihl/eng/docs/v1_rul_rule149" TargetMode="External"/><Relationship Id="rId38" Type="http://schemas.openxmlformats.org/officeDocument/2006/relationships/hyperlink" Target="https://ihl-databases.icrc.org/customary-ihl/eng/docs/v1_rul_rule149" TargetMode="External"/><Relationship Id="rId46" Type="http://schemas.openxmlformats.org/officeDocument/2006/relationships/hyperlink" Target="https://ihl-databases.icrc.org/customary-ihl/eng/docs/v1_rul_rule149" TargetMode="External"/><Relationship Id="rId59" Type="http://schemas.openxmlformats.org/officeDocument/2006/relationships/hyperlink" Target="https://ihl-databases.icrc.org/customary-ihl/eng/docs/v1_rul_rule149" TargetMode="External"/><Relationship Id="rId67" Type="http://schemas.openxmlformats.org/officeDocument/2006/relationships/hyperlink" Target="https://ihl-databases.icrc.org/customary-ihl/eng/docs/v1_rul_rule149" TargetMode="External"/><Relationship Id="rId103" Type="http://schemas.openxmlformats.org/officeDocument/2006/relationships/hyperlink" Target="javascript:openUrlLight('src_VIUnNa')" TargetMode="External"/><Relationship Id="rId108" Type="http://schemas.openxmlformats.org/officeDocument/2006/relationships/hyperlink" Target="javascript:openUrl('v2_rul_rule150_SectionC')" TargetMode="External"/><Relationship Id="rId20" Type="http://schemas.openxmlformats.org/officeDocument/2006/relationships/hyperlink" Target="javascript:openUrlLight('src_IIOtIn')" TargetMode="External"/><Relationship Id="rId41" Type="http://schemas.openxmlformats.org/officeDocument/2006/relationships/hyperlink" Target="https://ihl-databases.icrc.org/customary-ihl/eng/docs/v1_rul_rule149" TargetMode="External"/><Relationship Id="rId54" Type="http://schemas.openxmlformats.org/officeDocument/2006/relationships/hyperlink" Target="https://ihl-databases.icrc.org/customary-ihl/eng/docs/v1_rul_rule149" TargetMode="External"/><Relationship Id="rId62" Type="http://schemas.openxmlformats.org/officeDocument/2006/relationships/hyperlink" Target="https://ihl-databases.icrc.org/customary-ihl/eng/docs/v1_rul_rule149" TargetMode="External"/><Relationship Id="rId70" Type="http://schemas.openxmlformats.org/officeDocument/2006/relationships/hyperlink" Target="https://ihl-databases.icrc.org/customary-ihl/eng/docs/v1_rul_rule149" TargetMode="External"/><Relationship Id="rId75" Type="http://schemas.openxmlformats.org/officeDocument/2006/relationships/hyperlink" Target="javascript:openUrlLight('src_VNaCa')" TargetMode="External"/><Relationship Id="rId83" Type="http://schemas.openxmlformats.org/officeDocument/2006/relationships/hyperlink" Target="javascript:openUrl('v2_rul_rule150_SectionA')" TargetMode="External"/><Relationship Id="rId88" Type="http://schemas.openxmlformats.org/officeDocument/2006/relationships/hyperlink" Target="javascript:openUrlLight('src_VNaCa')" TargetMode="External"/><Relationship Id="rId91" Type="http://schemas.openxmlformats.org/officeDocument/2006/relationships/hyperlink" Target="javascript:openUrlLight('src_VIOtInOr')" TargetMode="External"/><Relationship Id="rId96" Type="http://schemas.openxmlformats.org/officeDocument/2006/relationships/hyperlink" Target="javascript:openUrl('v2_rul_rule150_SectionB')" TargetMode="External"/><Relationship Id="rId1" Type="http://schemas.openxmlformats.org/officeDocument/2006/relationships/styles" Target="styles.xml"/><Relationship Id="rId6" Type="http://schemas.openxmlformats.org/officeDocument/2006/relationships/hyperlink" Target="javascript:openUrl('v2_rul_rule44_SectionB')" TargetMode="External"/><Relationship Id="rId15" Type="http://schemas.openxmlformats.org/officeDocument/2006/relationships/hyperlink" Target="javascript:openUrlLight('src_IXInCo')" TargetMode="External"/><Relationship Id="rId23" Type="http://schemas.openxmlformats.org/officeDocument/2006/relationships/hyperlink" Target="javascript:openUrlLight('src_VNaCa')" TargetMode="External"/><Relationship Id="rId28" Type="http://schemas.openxmlformats.org/officeDocument/2006/relationships/hyperlink" Target="javascript:openUrlLight('src_XInanMi')" TargetMode="External"/><Relationship Id="rId36" Type="http://schemas.openxmlformats.org/officeDocument/2006/relationships/hyperlink" Target="https://ihl-databases.icrc.org/customary-ihl/eng/docs/v1_rul_rule149" TargetMode="External"/><Relationship Id="rId49" Type="http://schemas.openxmlformats.org/officeDocument/2006/relationships/hyperlink" Target="https://ihl-databases.icrc.org/customary-ihl/eng/docs/v1_rul_rule149" TargetMode="External"/><Relationship Id="rId57" Type="http://schemas.openxmlformats.org/officeDocument/2006/relationships/hyperlink" Target="https://ihl-databases.icrc.org/customary-ihl/eng/docs/v1_rul_rule149" TargetMode="External"/><Relationship Id="rId106" Type="http://schemas.openxmlformats.org/officeDocument/2006/relationships/hyperlink" Target="javascript:openUrlLight('src_XInanMi')" TargetMode="External"/><Relationship Id="rId10" Type="http://schemas.openxmlformats.org/officeDocument/2006/relationships/hyperlink" Target="javascript:openUrlLight('src_IVNaLe')" TargetMode="External"/><Relationship Id="rId31" Type="http://schemas.openxmlformats.org/officeDocument/2006/relationships/hyperlink" Target="https://ihl-databases.icrc.org/customary-ihl/eng/docs/v1_rul_rule149" TargetMode="External"/><Relationship Id="rId44" Type="http://schemas.openxmlformats.org/officeDocument/2006/relationships/hyperlink" Target="https://ihl-databases.icrc.org/customary-ihl/eng/docs/v1_rul_rule149" TargetMode="External"/><Relationship Id="rId52" Type="http://schemas.openxmlformats.org/officeDocument/2006/relationships/hyperlink" Target="https://ihl-databases.icrc.org/customary-ihl/eng/docs/v1_rul_rule149" TargetMode="External"/><Relationship Id="rId60" Type="http://schemas.openxmlformats.org/officeDocument/2006/relationships/hyperlink" Target="https://ihl-databases.icrc.org/customary-ihl/eng/docs/v1_rul_rule149" TargetMode="External"/><Relationship Id="rId65" Type="http://schemas.openxmlformats.org/officeDocument/2006/relationships/hyperlink" Target="https://ihl-databases.icrc.org/customary-ihl/eng/docs/v1_rul_rule149" TargetMode="External"/><Relationship Id="rId73" Type="http://schemas.openxmlformats.org/officeDocument/2006/relationships/hyperlink" Target="javascript:openUrlLight('src_IIMiMa')" TargetMode="External"/><Relationship Id="rId78" Type="http://schemas.openxmlformats.org/officeDocument/2006/relationships/hyperlink" Target="javascript:openUrlLight('src_VIOtInOr')" TargetMode="External"/><Relationship Id="rId81" Type="http://schemas.openxmlformats.org/officeDocument/2006/relationships/hyperlink" Target="javascript:openUrlLight('src_XIInReCr')" TargetMode="External"/><Relationship Id="rId86" Type="http://schemas.openxmlformats.org/officeDocument/2006/relationships/hyperlink" Target="javascript:openUrlLight('src_IIMiMa')" TargetMode="External"/><Relationship Id="rId94" Type="http://schemas.openxmlformats.org/officeDocument/2006/relationships/hyperlink" Target="javascript:openUrlLight('src_XIInReCr')" TargetMode="External"/><Relationship Id="rId99" Type="http://schemas.openxmlformats.org/officeDocument/2006/relationships/hyperlink" Target="javascript:openUrlLight('src_IIMiMa')" TargetMode="External"/><Relationship Id="rId101" Type="http://schemas.openxmlformats.org/officeDocument/2006/relationships/hyperlink" Target="javascript:openUrlLight('src_VNaCa')" TargetMode="External"/><Relationship Id="rId4" Type="http://schemas.openxmlformats.org/officeDocument/2006/relationships/image" Target="media/image1.gif"/><Relationship Id="rId9" Type="http://schemas.openxmlformats.org/officeDocument/2006/relationships/hyperlink" Target="javascript:openUrlLight('src_IIMiMa')" TargetMode="External"/><Relationship Id="rId13" Type="http://schemas.openxmlformats.org/officeDocument/2006/relationships/hyperlink" Target="javascript:openUrlLight('src_VIUnNa')" TargetMode="External"/><Relationship Id="rId18" Type="http://schemas.openxmlformats.org/officeDocument/2006/relationships/hyperlink" Target="javascript:openUrlLight('src_XIOt')" TargetMode="External"/><Relationship Id="rId39" Type="http://schemas.openxmlformats.org/officeDocument/2006/relationships/hyperlink" Target="https://ihl-databases.icrc.org/customary-ihl/eng/docs/v1_rul_rule149" TargetMode="External"/><Relationship Id="rId109" Type="http://schemas.openxmlformats.org/officeDocument/2006/relationships/fontTable" Target="fontTable.xml"/><Relationship Id="rId34" Type="http://schemas.openxmlformats.org/officeDocument/2006/relationships/hyperlink" Target="https://ihl-databases.icrc.org/customary-ihl/eng/docs/v1_rul_rule149" TargetMode="External"/><Relationship Id="rId50" Type="http://schemas.openxmlformats.org/officeDocument/2006/relationships/hyperlink" Target="https://ihl-databases.icrc.org/customary-ihl/eng/docs/v1_rul_rule149" TargetMode="External"/><Relationship Id="rId55" Type="http://schemas.openxmlformats.org/officeDocument/2006/relationships/hyperlink" Target="https://ihl-databases.icrc.org/customary-ihl/eng/docs/v1_rul_rule149" TargetMode="External"/><Relationship Id="rId76" Type="http://schemas.openxmlformats.org/officeDocument/2006/relationships/hyperlink" Target="javascript:openUrlLight('src_VIOtNaPr')" TargetMode="External"/><Relationship Id="rId97" Type="http://schemas.openxmlformats.org/officeDocument/2006/relationships/hyperlink" Target="javascript:openUrlLight('src_ITr')" TargetMode="External"/><Relationship Id="rId104" Type="http://schemas.openxmlformats.org/officeDocument/2006/relationships/hyperlink" Target="javascript:openUrlLight('src_VIOtInOr')" TargetMode="External"/><Relationship Id="rId7" Type="http://schemas.openxmlformats.org/officeDocument/2006/relationships/hyperlink" Target="javascript:openUrlLight('src_ITr')" TargetMode="External"/><Relationship Id="rId71" Type="http://schemas.openxmlformats.org/officeDocument/2006/relationships/hyperlink" Target="javascript:openUrlLight('src_ITr')" TargetMode="External"/><Relationship Id="rId92" Type="http://schemas.openxmlformats.org/officeDocument/2006/relationships/hyperlink" Target="javascript:openUrlLight('src_IXIn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663</Pages>
  <Words>373005</Words>
  <Characters>2051532</Characters>
  <Application>Microsoft Office Word</Application>
  <DocSecurity>0</DocSecurity>
  <Lines>17096</Lines>
  <Paragraphs>4839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2419698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25</cp:revision>
  <dcterms:created xsi:type="dcterms:W3CDTF">2016-09-19T07:40:00Z</dcterms:created>
  <dcterms:modified xsi:type="dcterms:W3CDTF">2016-09-19T08:28:00Z</dcterms:modified>
</cp:coreProperties>
</file>